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FE479" w14:textId="77777777" w:rsidR="00BB3854" w:rsidRPr="00BB3854" w:rsidRDefault="00BB3854" w:rsidP="00281225">
      <w:pPr>
        <w:spacing w:after="0" w:line="360" w:lineRule="auto"/>
        <w:rPr>
          <w:b/>
          <w:sz w:val="24"/>
          <w:szCs w:val="24"/>
          <w:u w:val="single"/>
        </w:rPr>
      </w:pPr>
      <w:bookmarkStart w:id="0" w:name="_Hlk75756020"/>
      <w:r>
        <w:rPr>
          <w:b/>
          <w:sz w:val="24"/>
          <w:szCs w:val="24"/>
          <w:u w:val="single"/>
        </w:rPr>
        <w:t>PREVENTION AND CONTROL</w:t>
      </w:r>
    </w:p>
    <w:bookmarkEnd w:id="0"/>
    <w:p w14:paraId="409CEA79" w14:textId="09BDA574" w:rsidR="007C5B5F" w:rsidRPr="00D70CCD" w:rsidRDefault="00AC3B72" w:rsidP="00C31891">
      <w:pPr>
        <w:spacing w:after="0" w:line="240" w:lineRule="auto"/>
        <w:rPr>
          <w:b/>
          <w:sz w:val="24"/>
          <w:szCs w:val="24"/>
          <w:u w:val="single"/>
        </w:rPr>
      </w:pPr>
      <w:r w:rsidRPr="00D70CCD">
        <w:rPr>
          <w:b/>
          <w:sz w:val="24"/>
          <w:szCs w:val="24"/>
          <w:u w:val="single"/>
        </w:rPr>
        <w:t>NTIP Summary Report</w:t>
      </w:r>
      <w:r w:rsidR="001D0C36" w:rsidRPr="00D70CCD">
        <w:rPr>
          <w:b/>
          <w:sz w:val="24"/>
          <w:szCs w:val="24"/>
          <w:u w:val="single"/>
        </w:rPr>
        <w:t xml:space="preserve"> </w:t>
      </w:r>
    </w:p>
    <w:p w14:paraId="4B811826" w14:textId="4D7D499F" w:rsidR="00C31891" w:rsidRDefault="00C31891" w:rsidP="00C31891">
      <w:pPr>
        <w:spacing w:after="0" w:line="240" w:lineRule="auto"/>
        <w:rPr>
          <w:bCs/>
          <w:sz w:val="24"/>
          <w:szCs w:val="24"/>
        </w:rPr>
      </w:pPr>
      <w:r>
        <w:rPr>
          <w:bCs/>
          <w:i/>
          <w:iCs/>
          <w:sz w:val="24"/>
          <w:szCs w:val="24"/>
          <w:u w:val="single"/>
        </w:rPr>
        <w:t>Source</w:t>
      </w:r>
      <w:r>
        <w:rPr>
          <w:bCs/>
          <w:sz w:val="24"/>
          <w:szCs w:val="24"/>
        </w:rPr>
        <w:t>:</w:t>
      </w:r>
      <w:r>
        <w:rPr>
          <w:bCs/>
          <w:sz w:val="24"/>
          <w:szCs w:val="24"/>
        </w:rPr>
        <w:tab/>
        <w:t xml:space="preserve"> 2020 data (accessed </w:t>
      </w:r>
      <w:r w:rsidR="006C42C5">
        <w:rPr>
          <w:bCs/>
          <w:sz w:val="24"/>
          <w:szCs w:val="24"/>
        </w:rPr>
        <w:t>7/6/21</w:t>
      </w:r>
      <w:r>
        <w:rPr>
          <w:bCs/>
          <w:sz w:val="24"/>
          <w:szCs w:val="24"/>
        </w:rPr>
        <w:t>)</w:t>
      </w:r>
    </w:p>
    <w:p w14:paraId="5A2B4BB2" w14:textId="2FB50585" w:rsidR="00C37D2E" w:rsidRPr="00C31891" w:rsidRDefault="00C37D2E" w:rsidP="00C31891">
      <w:pPr>
        <w:spacing w:after="0" w:line="240" w:lineRule="auto"/>
        <w:rPr>
          <w:bCs/>
          <w:sz w:val="24"/>
          <w:szCs w:val="24"/>
        </w:rPr>
      </w:pPr>
      <w:r>
        <w:rPr>
          <w:bCs/>
          <w:sz w:val="24"/>
          <w:szCs w:val="24"/>
        </w:rPr>
        <w:tab/>
        <w:t xml:space="preserve"> 2021 Q1 </w:t>
      </w:r>
      <w:r w:rsidR="00013402">
        <w:rPr>
          <w:bCs/>
          <w:sz w:val="24"/>
          <w:szCs w:val="24"/>
        </w:rPr>
        <w:t xml:space="preserve">and Q2 </w:t>
      </w:r>
      <w:r>
        <w:rPr>
          <w:bCs/>
          <w:sz w:val="24"/>
          <w:szCs w:val="24"/>
        </w:rPr>
        <w:t xml:space="preserve">data </w:t>
      </w:r>
      <w:r w:rsidR="00400658">
        <w:rPr>
          <w:bCs/>
          <w:sz w:val="24"/>
          <w:szCs w:val="24"/>
        </w:rPr>
        <w:t xml:space="preserve">(accessed </w:t>
      </w:r>
      <w:r w:rsidR="00013402">
        <w:rPr>
          <w:bCs/>
          <w:sz w:val="24"/>
          <w:szCs w:val="24"/>
        </w:rPr>
        <w:t>7/6/21</w:t>
      </w:r>
      <w:r w:rsidR="00400658">
        <w:rPr>
          <w:bCs/>
          <w:sz w:val="24"/>
          <w:szCs w:val="24"/>
        </w:rPr>
        <w:t>)</w:t>
      </w:r>
    </w:p>
    <w:p w14:paraId="390B9617" w14:textId="77777777" w:rsidR="00C75E0A" w:rsidRDefault="00C75E0A" w:rsidP="00C31891">
      <w:pPr>
        <w:spacing w:after="0" w:line="240" w:lineRule="auto"/>
        <w:rPr>
          <w:sz w:val="24"/>
          <w:szCs w:val="24"/>
          <w:u w:val="single"/>
        </w:rPr>
      </w:pPr>
    </w:p>
    <w:tbl>
      <w:tblPr>
        <w:tblStyle w:val="TableGrid"/>
        <w:tblW w:w="0" w:type="auto"/>
        <w:tblLook w:val="04A0" w:firstRow="1" w:lastRow="0" w:firstColumn="1" w:lastColumn="0" w:noHBand="0" w:noVBand="1"/>
      </w:tblPr>
      <w:tblGrid>
        <w:gridCol w:w="4945"/>
        <w:gridCol w:w="1260"/>
        <w:gridCol w:w="1080"/>
        <w:gridCol w:w="990"/>
        <w:gridCol w:w="1075"/>
      </w:tblGrid>
      <w:tr w:rsidR="00025479" w14:paraId="334C0718" w14:textId="77777777" w:rsidTr="00025479">
        <w:tc>
          <w:tcPr>
            <w:tcW w:w="4945" w:type="dxa"/>
            <w:vMerge w:val="restart"/>
            <w:shd w:val="clear" w:color="auto" w:fill="BFBFBF" w:themeFill="background1" w:themeFillShade="BF"/>
            <w:vAlign w:val="center"/>
          </w:tcPr>
          <w:p w14:paraId="0AC3ABC1" w14:textId="26E333E6" w:rsidR="00025479" w:rsidRPr="00025479" w:rsidRDefault="00025479" w:rsidP="00C31891">
            <w:pPr>
              <w:jc w:val="center"/>
              <w:rPr>
                <w:b/>
                <w:bCs/>
                <w:sz w:val="24"/>
                <w:szCs w:val="24"/>
              </w:rPr>
            </w:pPr>
            <w:r>
              <w:rPr>
                <w:b/>
                <w:bCs/>
                <w:sz w:val="24"/>
                <w:szCs w:val="24"/>
              </w:rPr>
              <w:t>National TB Program Objective</w:t>
            </w:r>
          </w:p>
        </w:tc>
        <w:tc>
          <w:tcPr>
            <w:tcW w:w="1260" w:type="dxa"/>
            <w:vMerge w:val="restart"/>
            <w:shd w:val="clear" w:color="auto" w:fill="BFBFBF" w:themeFill="background1" w:themeFillShade="BF"/>
            <w:vAlign w:val="center"/>
          </w:tcPr>
          <w:p w14:paraId="0FA0C855" w14:textId="0C5B5CD2" w:rsidR="00025479" w:rsidRPr="00025479" w:rsidRDefault="00025479" w:rsidP="00C31891">
            <w:pPr>
              <w:jc w:val="center"/>
              <w:rPr>
                <w:b/>
                <w:bCs/>
                <w:sz w:val="24"/>
                <w:szCs w:val="24"/>
              </w:rPr>
            </w:pPr>
            <w:r>
              <w:rPr>
                <w:b/>
                <w:bCs/>
                <w:sz w:val="24"/>
                <w:szCs w:val="24"/>
              </w:rPr>
              <w:t>2025 Target</w:t>
            </w:r>
          </w:p>
        </w:tc>
        <w:tc>
          <w:tcPr>
            <w:tcW w:w="1080" w:type="dxa"/>
            <w:vMerge w:val="restart"/>
            <w:shd w:val="clear" w:color="auto" w:fill="BFBFBF" w:themeFill="background1" w:themeFillShade="BF"/>
            <w:vAlign w:val="center"/>
          </w:tcPr>
          <w:p w14:paraId="263227B8" w14:textId="299EF433" w:rsidR="00025479" w:rsidRPr="00025479" w:rsidRDefault="00025479" w:rsidP="00C31891">
            <w:pPr>
              <w:jc w:val="center"/>
              <w:rPr>
                <w:b/>
                <w:bCs/>
                <w:sz w:val="24"/>
                <w:szCs w:val="24"/>
              </w:rPr>
            </w:pPr>
            <w:r>
              <w:rPr>
                <w:b/>
                <w:bCs/>
                <w:sz w:val="24"/>
                <w:szCs w:val="24"/>
              </w:rPr>
              <w:t>2020 Result</w:t>
            </w:r>
          </w:p>
        </w:tc>
        <w:tc>
          <w:tcPr>
            <w:tcW w:w="2065" w:type="dxa"/>
            <w:gridSpan w:val="2"/>
            <w:shd w:val="clear" w:color="auto" w:fill="BFBFBF" w:themeFill="background1" w:themeFillShade="BF"/>
            <w:vAlign w:val="center"/>
          </w:tcPr>
          <w:p w14:paraId="106CA6EA" w14:textId="36983409" w:rsidR="00025479" w:rsidRPr="00025479" w:rsidRDefault="00025479" w:rsidP="00C31891">
            <w:pPr>
              <w:jc w:val="center"/>
              <w:rPr>
                <w:b/>
                <w:bCs/>
                <w:sz w:val="24"/>
                <w:szCs w:val="24"/>
              </w:rPr>
            </w:pPr>
            <w:r>
              <w:rPr>
                <w:b/>
                <w:bCs/>
                <w:sz w:val="24"/>
                <w:szCs w:val="24"/>
              </w:rPr>
              <w:t>2021 Result</w:t>
            </w:r>
          </w:p>
        </w:tc>
      </w:tr>
      <w:tr w:rsidR="00025479" w14:paraId="56D1F72C" w14:textId="77777777" w:rsidTr="00025479">
        <w:tc>
          <w:tcPr>
            <w:tcW w:w="4945" w:type="dxa"/>
            <w:vMerge/>
          </w:tcPr>
          <w:p w14:paraId="06B90461" w14:textId="77777777" w:rsidR="00025479" w:rsidRPr="00025479" w:rsidRDefault="00025479" w:rsidP="00C31891">
            <w:pPr>
              <w:rPr>
                <w:sz w:val="24"/>
                <w:szCs w:val="24"/>
              </w:rPr>
            </w:pPr>
          </w:p>
        </w:tc>
        <w:tc>
          <w:tcPr>
            <w:tcW w:w="1260" w:type="dxa"/>
            <w:vMerge/>
          </w:tcPr>
          <w:p w14:paraId="02E9BCDB" w14:textId="77777777" w:rsidR="00025479" w:rsidRPr="00025479" w:rsidRDefault="00025479" w:rsidP="00C31891">
            <w:pPr>
              <w:rPr>
                <w:sz w:val="24"/>
                <w:szCs w:val="24"/>
              </w:rPr>
            </w:pPr>
          </w:p>
        </w:tc>
        <w:tc>
          <w:tcPr>
            <w:tcW w:w="1080" w:type="dxa"/>
            <w:vMerge/>
          </w:tcPr>
          <w:p w14:paraId="5BFED933" w14:textId="77777777" w:rsidR="00025479" w:rsidRPr="00025479" w:rsidRDefault="00025479" w:rsidP="00C31891">
            <w:pPr>
              <w:rPr>
                <w:sz w:val="24"/>
                <w:szCs w:val="24"/>
              </w:rPr>
            </w:pPr>
          </w:p>
        </w:tc>
        <w:tc>
          <w:tcPr>
            <w:tcW w:w="990" w:type="dxa"/>
            <w:shd w:val="clear" w:color="auto" w:fill="BFBFBF" w:themeFill="background1" w:themeFillShade="BF"/>
            <w:vAlign w:val="center"/>
          </w:tcPr>
          <w:p w14:paraId="5ADF69D9" w14:textId="3369D4CD" w:rsidR="00025479" w:rsidRPr="00025479" w:rsidRDefault="00025479" w:rsidP="00C31891">
            <w:pPr>
              <w:jc w:val="center"/>
              <w:rPr>
                <w:b/>
                <w:bCs/>
                <w:sz w:val="24"/>
                <w:szCs w:val="24"/>
              </w:rPr>
            </w:pPr>
            <w:r w:rsidRPr="00025479">
              <w:rPr>
                <w:b/>
                <w:bCs/>
                <w:sz w:val="24"/>
                <w:szCs w:val="24"/>
              </w:rPr>
              <w:t>Q1</w:t>
            </w:r>
          </w:p>
        </w:tc>
        <w:tc>
          <w:tcPr>
            <w:tcW w:w="1075" w:type="dxa"/>
            <w:shd w:val="clear" w:color="auto" w:fill="BFBFBF" w:themeFill="background1" w:themeFillShade="BF"/>
            <w:vAlign w:val="center"/>
          </w:tcPr>
          <w:p w14:paraId="47EC7F06" w14:textId="1B68616E" w:rsidR="00025479" w:rsidRPr="00025479" w:rsidRDefault="00025479" w:rsidP="00C31891">
            <w:pPr>
              <w:jc w:val="center"/>
              <w:rPr>
                <w:b/>
                <w:bCs/>
                <w:sz w:val="24"/>
                <w:szCs w:val="24"/>
              </w:rPr>
            </w:pPr>
            <w:r w:rsidRPr="00025479">
              <w:rPr>
                <w:b/>
                <w:bCs/>
                <w:sz w:val="24"/>
                <w:szCs w:val="24"/>
              </w:rPr>
              <w:t>Q2</w:t>
            </w:r>
          </w:p>
        </w:tc>
      </w:tr>
      <w:tr w:rsidR="00C31891" w14:paraId="712D2D48" w14:textId="77777777" w:rsidTr="00C31891">
        <w:tc>
          <w:tcPr>
            <w:tcW w:w="9350" w:type="dxa"/>
            <w:gridSpan w:val="5"/>
            <w:shd w:val="clear" w:color="auto" w:fill="D9D9D9" w:themeFill="background1" w:themeFillShade="D9"/>
          </w:tcPr>
          <w:p w14:paraId="063D1A78" w14:textId="33CD4F72" w:rsidR="00C31891" w:rsidRPr="00025479" w:rsidRDefault="00C31891" w:rsidP="00C31891">
            <w:pPr>
              <w:rPr>
                <w:sz w:val="24"/>
                <w:szCs w:val="24"/>
              </w:rPr>
            </w:pPr>
            <w:r>
              <w:rPr>
                <w:b/>
                <w:bCs/>
                <w:sz w:val="24"/>
                <w:szCs w:val="24"/>
              </w:rPr>
              <w:t>Goals for Reducing TB Incidence</w:t>
            </w:r>
            <w:r w:rsidR="00B23A67">
              <w:rPr>
                <w:b/>
                <w:bCs/>
                <w:sz w:val="24"/>
                <w:szCs w:val="24"/>
              </w:rPr>
              <w:t xml:space="preserve"> (incidence per 100,000 population)</w:t>
            </w:r>
          </w:p>
        </w:tc>
      </w:tr>
      <w:tr w:rsidR="00C31891" w14:paraId="45E6587D" w14:textId="77777777" w:rsidTr="00025479">
        <w:tc>
          <w:tcPr>
            <w:tcW w:w="4945" w:type="dxa"/>
          </w:tcPr>
          <w:p w14:paraId="728C0869" w14:textId="26DC65D2" w:rsidR="00C31891" w:rsidRDefault="00C31891" w:rsidP="00C31891">
            <w:pPr>
              <w:rPr>
                <w:sz w:val="24"/>
                <w:szCs w:val="24"/>
              </w:rPr>
            </w:pPr>
            <w:r>
              <w:rPr>
                <w:sz w:val="24"/>
                <w:szCs w:val="24"/>
              </w:rPr>
              <w:t>TB Incidence</w:t>
            </w:r>
          </w:p>
        </w:tc>
        <w:tc>
          <w:tcPr>
            <w:tcW w:w="1260" w:type="dxa"/>
            <w:vAlign w:val="center"/>
          </w:tcPr>
          <w:p w14:paraId="012B98E3" w14:textId="08ACD80C" w:rsidR="00C31891" w:rsidRDefault="00C31891" w:rsidP="00C31891">
            <w:pPr>
              <w:jc w:val="center"/>
              <w:rPr>
                <w:sz w:val="24"/>
                <w:szCs w:val="24"/>
              </w:rPr>
            </w:pPr>
            <w:r>
              <w:rPr>
                <w:sz w:val="24"/>
                <w:szCs w:val="24"/>
              </w:rPr>
              <w:t>1.3</w:t>
            </w:r>
          </w:p>
        </w:tc>
        <w:tc>
          <w:tcPr>
            <w:tcW w:w="1080" w:type="dxa"/>
            <w:vAlign w:val="center"/>
          </w:tcPr>
          <w:p w14:paraId="0094EFF2" w14:textId="5711684E" w:rsidR="00C31891" w:rsidRPr="00AE6B24" w:rsidRDefault="00C31891" w:rsidP="00C31891">
            <w:pPr>
              <w:jc w:val="center"/>
              <w:rPr>
                <w:sz w:val="24"/>
                <w:szCs w:val="24"/>
                <w:vertAlign w:val="superscript"/>
              </w:rPr>
            </w:pPr>
            <w:r>
              <w:rPr>
                <w:sz w:val="24"/>
                <w:szCs w:val="24"/>
              </w:rPr>
              <w:t>1.7</w:t>
            </w:r>
            <w:r w:rsidR="00AE6B24">
              <w:rPr>
                <w:sz w:val="24"/>
                <w:szCs w:val="24"/>
                <w:vertAlign w:val="superscript"/>
              </w:rPr>
              <w:t>*</w:t>
            </w:r>
          </w:p>
        </w:tc>
        <w:tc>
          <w:tcPr>
            <w:tcW w:w="990" w:type="dxa"/>
            <w:vAlign w:val="center"/>
          </w:tcPr>
          <w:p w14:paraId="6CC5C239" w14:textId="22A1451B" w:rsidR="00C31891" w:rsidRPr="00906A10" w:rsidRDefault="00DE752E" w:rsidP="00C31891">
            <w:pPr>
              <w:jc w:val="center"/>
              <w:rPr>
                <w:sz w:val="24"/>
                <w:szCs w:val="24"/>
                <w:vertAlign w:val="superscript"/>
              </w:rPr>
            </w:pPr>
            <w:r>
              <w:rPr>
                <w:sz w:val="24"/>
                <w:szCs w:val="24"/>
              </w:rPr>
              <w:t>0.22</w:t>
            </w:r>
            <w:r w:rsidR="00906A10">
              <w:rPr>
                <w:rFonts w:cstheme="minorHAnsi"/>
                <w:sz w:val="24"/>
                <w:szCs w:val="24"/>
                <w:vertAlign w:val="superscript"/>
              </w:rPr>
              <w:t>§</w:t>
            </w:r>
          </w:p>
        </w:tc>
        <w:tc>
          <w:tcPr>
            <w:tcW w:w="1075" w:type="dxa"/>
            <w:vAlign w:val="center"/>
          </w:tcPr>
          <w:p w14:paraId="79B8E998" w14:textId="1ABC47E0" w:rsidR="00C31891" w:rsidRPr="00906A10" w:rsidRDefault="00964C03" w:rsidP="00C31891">
            <w:pPr>
              <w:jc w:val="center"/>
              <w:rPr>
                <w:sz w:val="24"/>
                <w:szCs w:val="24"/>
                <w:vertAlign w:val="superscript"/>
              </w:rPr>
            </w:pPr>
            <w:r>
              <w:rPr>
                <w:sz w:val="24"/>
                <w:szCs w:val="24"/>
              </w:rPr>
              <w:t>0.40</w:t>
            </w:r>
            <w:r w:rsidR="00906A10">
              <w:rPr>
                <w:rFonts w:cstheme="minorHAnsi"/>
                <w:sz w:val="24"/>
                <w:szCs w:val="24"/>
                <w:vertAlign w:val="superscript"/>
              </w:rPr>
              <w:t>§</w:t>
            </w:r>
          </w:p>
        </w:tc>
      </w:tr>
      <w:tr w:rsidR="00025479" w14:paraId="28F56E62" w14:textId="77777777" w:rsidTr="00025479">
        <w:tc>
          <w:tcPr>
            <w:tcW w:w="4945" w:type="dxa"/>
          </w:tcPr>
          <w:p w14:paraId="11120092" w14:textId="7E316C85" w:rsidR="00025479" w:rsidRPr="00025479" w:rsidRDefault="00C31891" w:rsidP="00C31891">
            <w:pPr>
              <w:rPr>
                <w:sz w:val="24"/>
                <w:szCs w:val="24"/>
              </w:rPr>
            </w:pPr>
            <w:r>
              <w:rPr>
                <w:sz w:val="24"/>
                <w:szCs w:val="24"/>
              </w:rPr>
              <w:t>U.S.-born Persons</w:t>
            </w:r>
          </w:p>
        </w:tc>
        <w:tc>
          <w:tcPr>
            <w:tcW w:w="1260" w:type="dxa"/>
            <w:vAlign w:val="center"/>
          </w:tcPr>
          <w:p w14:paraId="7AACA525" w14:textId="3F081625" w:rsidR="00025479" w:rsidRPr="00025479" w:rsidRDefault="00C31891" w:rsidP="00C31891">
            <w:pPr>
              <w:jc w:val="center"/>
              <w:rPr>
                <w:sz w:val="24"/>
                <w:szCs w:val="24"/>
              </w:rPr>
            </w:pPr>
            <w:r>
              <w:rPr>
                <w:sz w:val="24"/>
                <w:szCs w:val="24"/>
              </w:rPr>
              <w:t>0.4</w:t>
            </w:r>
          </w:p>
        </w:tc>
        <w:tc>
          <w:tcPr>
            <w:tcW w:w="1080" w:type="dxa"/>
            <w:vAlign w:val="center"/>
          </w:tcPr>
          <w:p w14:paraId="4C4880EA" w14:textId="51DB55C5" w:rsidR="00025479" w:rsidRPr="00AE6B24" w:rsidRDefault="00C31891" w:rsidP="00C31891">
            <w:pPr>
              <w:jc w:val="center"/>
              <w:rPr>
                <w:sz w:val="24"/>
                <w:szCs w:val="24"/>
                <w:vertAlign w:val="superscript"/>
              </w:rPr>
            </w:pPr>
            <w:r>
              <w:rPr>
                <w:sz w:val="24"/>
                <w:szCs w:val="24"/>
              </w:rPr>
              <w:t>0.9</w:t>
            </w:r>
            <w:r w:rsidR="00AE6B24">
              <w:rPr>
                <w:sz w:val="24"/>
                <w:szCs w:val="24"/>
                <w:vertAlign w:val="superscript"/>
              </w:rPr>
              <w:t>*</w:t>
            </w:r>
          </w:p>
        </w:tc>
        <w:tc>
          <w:tcPr>
            <w:tcW w:w="990" w:type="dxa"/>
            <w:vAlign w:val="center"/>
          </w:tcPr>
          <w:p w14:paraId="1486703F" w14:textId="1FE4D71B" w:rsidR="00025479" w:rsidRPr="00906A10" w:rsidRDefault="00DE752E" w:rsidP="00C31891">
            <w:pPr>
              <w:jc w:val="center"/>
              <w:rPr>
                <w:sz w:val="24"/>
                <w:szCs w:val="24"/>
                <w:vertAlign w:val="superscript"/>
              </w:rPr>
            </w:pPr>
            <w:r>
              <w:rPr>
                <w:sz w:val="24"/>
                <w:szCs w:val="24"/>
              </w:rPr>
              <w:t>0.11</w:t>
            </w:r>
            <w:r w:rsidR="00906A10">
              <w:rPr>
                <w:rFonts w:cstheme="minorHAnsi"/>
                <w:sz w:val="24"/>
                <w:szCs w:val="24"/>
                <w:vertAlign w:val="superscript"/>
              </w:rPr>
              <w:t>§</w:t>
            </w:r>
          </w:p>
        </w:tc>
        <w:tc>
          <w:tcPr>
            <w:tcW w:w="1075" w:type="dxa"/>
            <w:vAlign w:val="center"/>
          </w:tcPr>
          <w:p w14:paraId="048CCF32" w14:textId="441E2D39" w:rsidR="00025479" w:rsidRPr="00906A10" w:rsidRDefault="00906A10" w:rsidP="00C31891">
            <w:pPr>
              <w:jc w:val="center"/>
              <w:rPr>
                <w:sz w:val="24"/>
                <w:szCs w:val="24"/>
                <w:vertAlign w:val="superscript"/>
              </w:rPr>
            </w:pPr>
            <w:r>
              <w:rPr>
                <w:sz w:val="24"/>
                <w:szCs w:val="24"/>
              </w:rPr>
              <w:t>0.20</w:t>
            </w:r>
            <w:r>
              <w:rPr>
                <w:rFonts w:cstheme="minorHAnsi"/>
                <w:sz w:val="24"/>
                <w:szCs w:val="24"/>
                <w:vertAlign w:val="superscript"/>
              </w:rPr>
              <w:t>§</w:t>
            </w:r>
          </w:p>
        </w:tc>
      </w:tr>
      <w:tr w:rsidR="00025479" w14:paraId="6C97F5F5" w14:textId="77777777" w:rsidTr="00025479">
        <w:tc>
          <w:tcPr>
            <w:tcW w:w="4945" w:type="dxa"/>
          </w:tcPr>
          <w:p w14:paraId="63D98445" w14:textId="7BB36790" w:rsidR="00025479" w:rsidRPr="00025479" w:rsidRDefault="00C31891" w:rsidP="00C31891">
            <w:pPr>
              <w:rPr>
                <w:sz w:val="24"/>
                <w:szCs w:val="24"/>
              </w:rPr>
            </w:pPr>
            <w:r>
              <w:rPr>
                <w:sz w:val="24"/>
                <w:szCs w:val="24"/>
              </w:rPr>
              <w:t>Non-U.S.-born Persons</w:t>
            </w:r>
          </w:p>
        </w:tc>
        <w:tc>
          <w:tcPr>
            <w:tcW w:w="1260" w:type="dxa"/>
            <w:vAlign w:val="center"/>
          </w:tcPr>
          <w:p w14:paraId="2AB43B03" w14:textId="652CA7EE" w:rsidR="00025479" w:rsidRPr="00025479" w:rsidRDefault="00C31891" w:rsidP="00C31891">
            <w:pPr>
              <w:jc w:val="center"/>
              <w:rPr>
                <w:sz w:val="24"/>
                <w:szCs w:val="24"/>
              </w:rPr>
            </w:pPr>
            <w:r>
              <w:rPr>
                <w:sz w:val="24"/>
                <w:szCs w:val="24"/>
              </w:rPr>
              <w:t>8.8</w:t>
            </w:r>
          </w:p>
        </w:tc>
        <w:tc>
          <w:tcPr>
            <w:tcW w:w="1080" w:type="dxa"/>
            <w:vAlign w:val="center"/>
          </w:tcPr>
          <w:p w14:paraId="5F48A3CD" w14:textId="667653CF" w:rsidR="00025479" w:rsidRPr="00AE6B24" w:rsidRDefault="00C31891" w:rsidP="00C31891">
            <w:pPr>
              <w:jc w:val="center"/>
              <w:rPr>
                <w:sz w:val="24"/>
                <w:szCs w:val="24"/>
                <w:vertAlign w:val="superscript"/>
              </w:rPr>
            </w:pPr>
            <w:r>
              <w:rPr>
                <w:sz w:val="24"/>
                <w:szCs w:val="24"/>
              </w:rPr>
              <w:t>15.4</w:t>
            </w:r>
            <w:r w:rsidR="00AE6B24">
              <w:rPr>
                <w:sz w:val="24"/>
                <w:szCs w:val="24"/>
                <w:vertAlign w:val="superscript"/>
              </w:rPr>
              <w:t>*</w:t>
            </w:r>
          </w:p>
        </w:tc>
        <w:tc>
          <w:tcPr>
            <w:tcW w:w="990" w:type="dxa"/>
            <w:vAlign w:val="center"/>
          </w:tcPr>
          <w:p w14:paraId="00C0D4C8" w14:textId="291CE66D" w:rsidR="00025479" w:rsidRPr="00906A10" w:rsidRDefault="00DE752E" w:rsidP="00C31891">
            <w:pPr>
              <w:jc w:val="center"/>
              <w:rPr>
                <w:sz w:val="24"/>
                <w:szCs w:val="24"/>
                <w:vertAlign w:val="superscript"/>
              </w:rPr>
            </w:pPr>
            <w:r>
              <w:rPr>
                <w:sz w:val="24"/>
                <w:szCs w:val="24"/>
              </w:rPr>
              <w:t>2.1</w:t>
            </w:r>
            <w:r w:rsidR="00906A10">
              <w:rPr>
                <w:rFonts w:cstheme="minorHAnsi"/>
                <w:sz w:val="24"/>
                <w:szCs w:val="24"/>
                <w:vertAlign w:val="superscript"/>
              </w:rPr>
              <w:t>§</w:t>
            </w:r>
          </w:p>
        </w:tc>
        <w:tc>
          <w:tcPr>
            <w:tcW w:w="1075" w:type="dxa"/>
            <w:vAlign w:val="center"/>
          </w:tcPr>
          <w:p w14:paraId="00AF9FF4" w14:textId="54B9BD2C" w:rsidR="00025479" w:rsidRPr="00906A10" w:rsidRDefault="00906A10" w:rsidP="00C31891">
            <w:pPr>
              <w:jc w:val="center"/>
              <w:rPr>
                <w:sz w:val="24"/>
                <w:szCs w:val="24"/>
                <w:vertAlign w:val="superscript"/>
              </w:rPr>
            </w:pPr>
            <w:r>
              <w:rPr>
                <w:sz w:val="24"/>
                <w:szCs w:val="24"/>
              </w:rPr>
              <w:t>3.7</w:t>
            </w:r>
            <w:r>
              <w:rPr>
                <w:rFonts w:cstheme="minorHAnsi"/>
                <w:sz w:val="24"/>
                <w:szCs w:val="24"/>
                <w:vertAlign w:val="superscript"/>
              </w:rPr>
              <w:t>§</w:t>
            </w:r>
          </w:p>
        </w:tc>
      </w:tr>
      <w:tr w:rsidR="00C31891" w14:paraId="310AB286" w14:textId="77777777" w:rsidTr="00025479">
        <w:tc>
          <w:tcPr>
            <w:tcW w:w="4945" w:type="dxa"/>
          </w:tcPr>
          <w:p w14:paraId="4C3FE887" w14:textId="0669874A" w:rsidR="00C31891" w:rsidRDefault="00C31891" w:rsidP="00C31891">
            <w:pPr>
              <w:rPr>
                <w:sz w:val="24"/>
                <w:szCs w:val="24"/>
              </w:rPr>
            </w:pPr>
            <w:r>
              <w:rPr>
                <w:sz w:val="24"/>
                <w:szCs w:val="24"/>
              </w:rPr>
              <w:t>U.S.-born, Non-Hispanic Blacks</w:t>
            </w:r>
          </w:p>
        </w:tc>
        <w:tc>
          <w:tcPr>
            <w:tcW w:w="1260" w:type="dxa"/>
            <w:vAlign w:val="center"/>
          </w:tcPr>
          <w:p w14:paraId="4AC86619" w14:textId="59162CB3" w:rsidR="00C31891" w:rsidRDefault="00C31891" w:rsidP="00C31891">
            <w:pPr>
              <w:jc w:val="center"/>
              <w:rPr>
                <w:sz w:val="24"/>
                <w:szCs w:val="24"/>
              </w:rPr>
            </w:pPr>
            <w:r>
              <w:rPr>
                <w:sz w:val="24"/>
                <w:szCs w:val="24"/>
              </w:rPr>
              <w:t>1.0</w:t>
            </w:r>
          </w:p>
        </w:tc>
        <w:tc>
          <w:tcPr>
            <w:tcW w:w="1080" w:type="dxa"/>
            <w:vAlign w:val="center"/>
          </w:tcPr>
          <w:p w14:paraId="0501BA42" w14:textId="647A25F5" w:rsidR="00C31891" w:rsidRPr="00AE6B24" w:rsidRDefault="00C31891" w:rsidP="00C31891">
            <w:pPr>
              <w:jc w:val="center"/>
              <w:rPr>
                <w:sz w:val="24"/>
                <w:szCs w:val="24"/>
                <w:vertAlign w:val="superscript"/>
              </w:rPr>
            </w:pPr>
            <w:r>
              <w:rPr>
                <w:sz w:val="24"/>
                <w:szCs w:val="24"/>
              </w:rPr>
              <w:t>3.1</w:t>
            </w:r>
            <w:r w:rsidR="00AE6B24">
              <w:rPr>
                <w:sz w:val="24"/>
                <w:szCs w:val="24"/>
                <w:vertAlign w:val="superscript"/>
              </w:rPr>
              <w:t>*</w:t>
            </w:r>
          </w:p>
        </w:tc>
        <w:tc>
          <w:tcPr>
            <w:tcW w:w="990" w:type="dxa"/>
            <w:vAlign w:val="center"/>
          </w:tcPr>
          <w:p w14:paraId="2E531C0B" w14:textId="54C09F3D" w:rsidR="00C31891" w:rsidRPr="00906A10" w:rsidRDefault="00DE752E" w:rsidP="00C31891">
            <w:pPr>
              <w:jc w:val="center"/>
              <w:rPr>
                <w:sz w:val="24"/>
                <w:szCs w:val="24"/>
                <w:vertAlign w:val="superscript"/>
              </w:rPr>
            </w:pPr>
            <w:r>
              <w:rPr>
                <w:sz w:val="24"/>
                <w:szCs w:val="24"/>
              </w:rPr>
              <w:t>0.54</w:t>
            </w:r>
            <w:r w:rsidR="00906A10">
              <w:rPr>
                <w:rFonts w:cstheme="minorHAnsi"/>
                <w:sz w:val="24"/>
                <w:szCs w:val="24"/>
                <w:vertAlign w:val="superscript"/>
              </w:rPr>
              <w:t>§</w:t>
            </w:r>
          </w:p>
        </w:tc>
        <w:tc>
          <w:tcPr>
            <w:tcW w:w="1075" w:type="dxa"/>
            <w:vAlign w:val="center"/>
          </w:tcPr>
          <w:p w14:paraId="45678FF6" w14:textId="749B162D" w:rsidR="00C31891" w:rsidRPr="00906A10" w:rsidRDefault="00906A10" w:rsidP="00C31891">
            <w:pPr>
              <w:jc w:val="center"/>
              <w:rPr>
                <w:sz w:val="24"/>
                <w:szCs w:val="24"/>
                <w:vertAlign w:val="superscript"/>
              </w:rPr>
            </w:pPr>
            <w:r>
              <w:rPr>
                <w:sz w:val="24"/>
                <w:szCs w:val="24"/>
              </w:rPr>
              <w:t>0.63</w:t>
            </w:r>
            <w:r>
              <w:rPr>
                <w:rFonts w:cstheme="minorHAnsi"/>
                <w:sz w:val="24"/>
                <w:szCs w:val="24"/>
                <w:vertAlign w:val="superscript"/>
              </w:rPr>
              <w:t>§</w:t>
            </w:r>
          </w:p>
        </w:tc>
      </w:tr>
      <w:tr w:rsidR="00C31891" w14:paraId="2C14C180" w14:textId="77777777" w:rsidTr="00025479">
        <w:tc>
          <w:tcPr>
            <w:tcW w:w="4945" w:type="dxa"/>
          </w:tcPr>
          <w:p w14:paraId="4E13C5F2" w14:textId="19AE3584" w:rsidR="00C31891" w:rsidRDefault="00C31891" w:rsidP="00C31891">
            <w:pPr>
              <w:rPr>
                <w:sz w:val="24"/>
                <w:szCs w:val="24"/>
              </w:rPr>
            </w:pPr>
            <w:r>
              <w:rPr>
                <w:sz w:val="24"/>
                <w:szCs w:val="24"/>
              </w:rPr>
              <w:t>Children Younger than 5 Years of Age</w:t>
            </w:r>
          </w:p>
        </w:tc>
        <w:tc>
          <w:tcPr>
            <w:tcW w:w="1260" w:type="dxa"/>
            <w:vAlign w:val="center"/>
          </w:tcPr>
          <w:p w14:paraId="679DA815" w14:textId="0F58E3C0" w:rsidR="00C31891" w:rsidRDefault="00C31891" w:rsidP="00C31891">
            <w:pPr>
              <w:jc w:val="center"/>
              <w:rPr>
                <w:sz w:val="24"/>
                <w:szCs w:val="24"/>
              </w:rPr>
            </w:pPr>
            <w:r>
              <w:rPr>
                <w:sz w:val="24"/>
                <w:szCs w:val="24"/>
              </w:rPr>
              <w:t>0.1</w:t>
            </w:r>
          </w:p>
        </w:tc>
        <w:tc>
          <w:tcPr>
            <w:tcW w:w="1080" w:type="dxa"/>
            <w:vAlign w:val="center"/>
          </w:tcPr>
          <w:p w14:paraId="26461F4C" w14:textId="3D0F0836" w:rsidR="00C31891" w:rsidRPr="00AE6B24" w:rsidRDefault="00C31891" w:rsidP="00C31891">
            <w:pPr>
              <w:jc w:val="center"/>
              <w:rPr>
                <w:sz w:val="24"/>
                <w:szCs w:val="24"/>
                <w:vertAlign w:val="superscript"/>
              </w:rPr>
            </w:pPr>
            <w:r>
              <w:rPr>
                <w:sz w:val="24"/>
                <w:szCs w:val="24"/>
              </w:rPr>
              <w:t>0.5</w:t>
            </w:r>
            <w:r w:rsidR="00AE6B24">
              <w:rPr>
                <w:sz w:val="24"/>
                <w:szCs w:val="24"/>
                <w:vertAlign w:val="superscript"/>
              </w:rPr>
              <w:t>*</w:t>
            </w:r>
          </w:p>
        </w:tc>
        <w:tc>
          <w:tcPr>
            <w:tcW w:w="990" w:type="dxa"/>
            <w:vAlign w:val="center"/>
          </w:tcPr>
          <w:p w14:paraId="6B2B6F23" w14:textId="7CA9D779" w:rsidR="00C31891" w:rsidRPr="00025479" w:rsidRDefault="00DE752E" w:rsidP="00C31891">
            <w:pPr>
              <w:jc w:val="center"/>
              <w:rPr>
                <w:sz w:val="24"/>
                <w:szCs w:val="24"/>
              </w:rPr>
            </w:pPr>
            <w:r>
              <w:rPr>
                <w:sz w:val="24"/>
                <w:szCs w:val="24"/>
              </w:rPr>
              <w:t>0.0</w:t>
            </w:r>
            <w:r w:rsidR="00906A10" w:rsidRPr="00906A10">
              <w:rPr>
                <w:rFonts w:cstheme="minorHAnsi"/>
                <w:sz w:val="24"/>
                <w:szCs w:val="24"/>
                <w:vertAlign w:val="superscript"/>
              </w:rPr>
              <w:t>§</w:t>
            </w:r>
          </w:p>
        </w:tc>
        <w:tc>
          <w:tcPr>
            <w:tcW w:w="1075" w:type="dxa"/>
            <w:vAlign w:val="center"/>
          </w:tcPr>
          <w:p w14:paraId="7C538B52" w14:textId="7CAEAA57" w:rsidR="00C31891" w:rsidRPr="00906A10" w:rsidRDefault="00906A10" w:rsidP="00C31891">
            <w:pPr>
              <w:jc w:val="center"/>
              <w:rPr>
                <w:sz w:val="24"/>
                <w:szCs w:val="24"/>
                <w:vertAlign w:val="superscript"/>
              </w:rPr>
            </w:pPr>
            <w:r>
              <w:rPr>
                <w:sz w:val="24"/>
                <w:szCs w:val="24"/>
              </w:rPr>
              <w:t>0.00</w:t>
            </w:r>
            <w:r>
              <w:rPr>
                <w:rFonts w:cstheme="minorHAnsi"/>
                <w:sz w:val="24"/>
                <w:szCs w:val="24"/>
                <w:vertAlign w:val="superscript"/>
              </w:rPr>
              <w:t>§</w:t>
            </w:r>
          </w:p>
        </w:tc>
      </w:tr>
      <w:tr w:rsidR="00C31891" w14:paraId="62C4D59A" w14:textId="77777777" w:rsidTr="00C31891">
        <w:tc>
          <w:tcPr>
            <w:tcW w:w="9350" w:type="dxa"/>
            <w:gridSpan w:val="5"/>
            <w:shd w:val="clear" w:color="auto" w:fill="D9D9D9" w:themeFill="background1" w:themeFillShade="D9"/>
          </w:tcPr>
          <w:p w14:paraId="1F1E26D7" w14:textId="56610CF0" w:rsidR="00C31891" w:rsidRPr="00C31891" w:rsidRDefault="00C31891" w:rsidP="00C31891">
            <w:pPr>
              <w:rPr>
                <w:b/>
                <w:bCs/>
                <w:sz w:val="24"/>
                <w:szCs w:val="24"/>
              </w:rPr>
            </w:pPr>
            <w:r>
              <w:rPr>
                <w:b/>
                <w:bCs/>
                <w:sz w:val="24"/>
                <w:szCs w:val="24"/>
              </w:rPr>
              <w:t>Objectives on Case Management and Treatment</w:t>
            </w:r>
            <w:r w:rsidR="00B23A67">
              <w:rPr>
                <w:b/>
                <w:bCs/>
                <w:sz w:val="24"/>
                <w:szCs w:val="24"/>
              </w:rPr>
              <w:t xml:space="preserve"> (%)</w:t>
            </w:r>
          </w:p>
        </w:tc>
      </w:tr>
      <w:tr w:rsidR="00C31891" w14:paraId="15A91B70" w14:textId="77777777" w:rsidTr="00025479">
        <w:tc>
          <w:tcPr>
            <w:tcW w:w="4945" w:type="dxa"/>
          </w:tcPr>
          <w:p w14:paraId="1E8BF191" w14:textId="792D241A" w:rsidR="00C31891" w:rsidRDefault="00C31891" w:rsidP="00C31891">
            <w:pPr>
              <w:rPr>
                <w:sz w:val="24"/>
                <w:szCs w:val="24"/>
              </w:rPr>
            </w:pPr>
            <w:r>
              <w:rPr>
                <w:sz w:val="24"/>
                <w:szCs w:val="24"/>
              </w:rPr>
              <w:t>Known HIV Status</w:t>
            </w:r>
          </w:p>
        </w:tc>
        <w:tc>
          <w:tcPr>
            <w:tcW w:w="1260" w:type="dxa"/>
            <w:vAlign w:val="center"/>
          </w:tcPr>
          <w:p w14:paraId="79BF02DE" w14:textId="0944196F" w:rsidR="00C31891" w:rsidRDefault="002168AA" w:rsidP="00C31891">
            <w:pPr>
              <w:jc w:val="center"/>
              <w:rPr>
                <w:sz w:val="24"/>
                <w:szCs w:val="24"/>
              </w:rPr>
            </w:pPr>
            <w:r>
              <w:rPr>
                <w:sz w:val="24"/>
                <w:szCs w:val="24"/>
              </w:rPr>
              <w:t>99.0</w:t>
            </w:r>
          </w:p>
        </w:tc>
        <w:tc>
          <w:tcPr>
            <w:tcW w:w="1080" w:type="dxa"/>
            <w:vAlign w:val="center"/>
          </w:tcPr>
          <w:p w14:paraId="2FDDEB85" w14:textId="04BAE227" w:rsidR="00C31891" w:rsidRPr="00AE6B24" w:rsidRDefault="002168AA" w:rsidP="00C31891">
            <w:pPr>
              <w:jc w:val="center"/>
              <w:rPr>
                <w:sz w:val="24"/>
                <w:szCs w:val="24"/>
                <w:vertAlign w:val="superscript"/>
              </w:rPr>
            </w:pPr>
            <w:r>
              <w:rPr>
                <w:sz w:val="24"/>
                <w:szCs w:val="24"/>
              </w:rPr>
              <w:t>96.4</w:t>
            </w:r>
            <w:r w:rsidR="00AE6B24">
              <w:rPr>
                <w:sz w:val="24"/>
                <w:szCs w:val="24"/>
                <w:vertAlign w:val="superscript"/>
              </w:rPr>
              <w:t>*</w:t>
            </w:r>
          </w:p>
        </w:tc>
        <w:tc>
          <w:tcPr>
            <w:tcW w:w="990" w:type="dxa"/>
            <w:vAlign w:val="center"/>
          </w:tcPr>
          <w:p w14:paraId="6FA1244E" w14:textId="3D893164" w:rsidR="00C31891" w:rsidRPr="006C42C5" w:rsidRDefault="0074340E" w:rsidP="00C31891">
            <w:pPr>
              <w:jc w:val="center"/>
              <w:rPr>
                <w:sz w:val="24"/>
                <w:szCs w:val="24"/>
                <w:vertAlign w:val="superscript"/>
              </w:rPr>
            </w:pPr>
            <w:r>
              <w:rPr>
                <w:sz w:val="24"/>
                <w:szCs w:val="24"/>
              </w:rPr>
              <w:t>100</w:t>
            </w:r>
            <w:r w:rsidR="006C42C5">
              <w:rPr>
                <w:rFonts w:cstheme="minorHAnsi"/>
                <w:sz w:val="24"/>
                <w:szCs w:val="24"/>
                <w:vertAlign w:val="superscript"/>
              </w:rPr>
              <w:t>§</w:t>
            </w:r>
          </w:p>
        </w:tc>
        <w:tc>
          <w:tcPr>
            <w:tcW w:w="1075" w:type="dxa"/>
            <w:vAlign w:val="center"/>
          </w:tcPr>
          <w:p w14:paraId="13FAC01F" w14:textId="53C9BE52" w:rsidR="00C31891" w:rsidRPr="006C42C5" w:rsidRDefault="006C42C5" w:rsidP="00C31891">
            <w:pPr>
              <w:jc w:val="center"/>
              <w:rPr>
                <w:sz w:val="24"/>
                <w:szCs w:val="24"/>
                <w:vertAlign w:val="superscript"/>
              </w:rPr>
            </w:pPr>
            <w:r>
              <w:rPr>
                <w:sz w:val="24"/>
                <w:szCs w:val="24"/>
              </w:rPr>
              <w:t>96.0</w:t>
            </w:r>
            <w:r>
              <w:rPr>
                <w:sz w:val="24"/>
                <w:szCs w:val="24"/>
                <w:vertAlign w:val="superscript"/>
              </w:rPr>
              <w:t>*</w:t>
            </w:r>
            <w:r w:rsidR="00906A10">
              <w:rPr>
                <w:rFonts w:cstheme="minorHAnsi"/>
                <w:sz w:val="24"/>
                <w:szCs w:val="24"/>
                <w:vertAlign w:val="superscript"/>
              </w:rPr>
              <w:t>§</w:t>
            </w:r>
          </w:p>
        </w:tc>
      </w:tr>
      <w:tr w:rsidR="002168AA" w14:paraId="66BB71EA" w14:textId="77777777" w:rsidTr="00025479">
        <w:tc>
          <w:tcPr>
            <w:tcW w:w="4945" w:type="dxa"/>
          </w:tcPr>
          <w:p w14:paraId="6819FBA8" w14:textId="79A15D09" w:rsidR="002168AA" w:rsidRDefault="002168AA" w:rsidP="00C31891">
            <w:pPr>
              <w:rPr>
                <w:sz w:val="24"/>
                <w:szCs w:val="24"/>
              </w:rPr>
            </w:pPr>
            <w:r>
              <w:rPr>
                <w:sz w:val="24"/>
                <w:szCs w:val="24"/>
              </w:rPr>
              <w:t>Treatment Initiation</w:t>
            </w:r>
          </w:p>
        </w:tc>
        <w:tc>
          <w:tcPr>
            <w:tcW w:w="1260" w:type="dxa"/>
            <w:vAlign w:val="center"/>
          </w:tcPr>
          <w:p w14:paraId="47D85185" w14:textId="14907C56" w:rsidR="002168AA" w:rsidRDefault="002168AA" w:rsidP="00C31891">
            <w:pPr>
              <w:jc w:val="center"/>
              <w:rPr>
                <w:sz w:val="24"/>
                <w:szCs w:val="24"/>
              </w:rPr>
            </w:pPr>
            <w:r>
              <w:rPr>
                <w:sz w:val="24"/>
                <w:szCs w:val="24"/>
              </w:rPr>
              <w:t>96.0</w:t>
            </w:r>
          </w:p>
        </w:tc>
        <w:tc>
          <w:tcPr>
            <w:tcW w:w="1080" w:type="dxa"/>
            <w:vAlign w:val="center"/>
          </w:tcPr>
          <w:p w14:paraId="50BC2DF6" w14:textId="1082A02D" w:rsidR="002168AA" w:rsidRPr="00AE6B24" w:rsidRDefault="002168AA" w:rsidP="00C31891">
            <w:pPr>
              <w:jc w:val="center"/>
              <w:rPr>
                <w:sz w:val="24"/>
                <w:szCs w:val="24"/>
                <w:vertAlign w:val="superscript"/>
              </w:rPr>
            </w:pPr>
            <w:r>
              <w:rPr>
                <w:sz w:val="24"/>
                <w:szCs w:val="24"/>
              </w:rPr>
              <w:t>96.4</w:t>
            </w:r>
            <w:r w:rsidR="00AE6B24">
              <w:rPr>
                <w:sz w:val="24"/>
                <w:szCs w:val="24"/>
                <w:vertAlign w:val="superscript"/>
              </w:rPr>
              <w:t>*</w:t>
            </w:r>
          </w:p>
        </w:tc>
        <w:tc>
          <w:tcPr>
            <w:tcW w:w="990" w:type="dxa"/>
            <w:vAlign w:val="center"/>
          </w:tcPr>
          <w:p w14:paraId="5E3C1D9E" w14:textId="5931AFD6" w:rsidR="002168AA" w:rsidRPr="006C42C5" w:rsidRDefault="0074340E" w:rsidP="00C31891">
            <w:pPr>
              <w:jc w:val="center"/>
              <w:rPr>
                <w:sz w:val="24"/>
                <w:szCs w:val="24"/>
                <w:vertAlign w:val="superscript"/>
              </w:rPr>
            </w:pPr>
            <w:r>
              <w:rPr>
                <w:sz w:val="24"/>
                <w:szCs w:val="24"/>
              </w:rPr>
              <w:t>100</w:t>
            </w:r>
            <w:r w:rsidR="006C42C5">
              <w:rPr>
                <w:rFonts w:cstheme="minorHAnsi"/>
                <w:sz w:val="24"/>
                <w:szCs w:val="24"/>
                <w:vertAlign w:val="superscript"/>
              </w:rPr>
              <w:t>§</w:t>
            </w:r>
          </w:p>
        </w:tc>
        <w:tc>
          <w:tcPr>
            <w:tcW w:w="1075" w:type="dxa"/>
            <w:vAlign w:val="center"/>
          </w:tcPr>
          <w:p w14:paraId="43491BC7" w14:textId="7D972D39" w:rsidR="002168AA" w:rsidRPr="006C42C5" w:rsidRDefault="006C42C5" w:rsidP="00C31891">
            <w:pPr>
              <w:jc w:val="center"/>
              <w:rPr>
                <w:sz w:val="24"/>
                <w:szCs w:val="24"/>
                <w:vertAlign w:val="superscript"/>
              </w:rPr>
            </w:pPr>
            <w:r>
              <w:rPr>
                <w:sz w:val="24"/>
                <w:szCs w:val="24"/>
              </w:rPr>
              <w:t>87.5</w:t>
            </w:r>
            <w:r>
              <w:rPr>
                <w:sz w:val="24"/>
                <w:szCs w:val="24"/>
                <w:vertAlign w:val="superscript"/>
              </w:rPr>
              <w:t>*</w:t>
            </w:r>
            <w:r w:rsidR="00906A10">
              <w:rPr>
                <w:rFonts w:cstheme="minorHAnsi"/>
                <w:sz w:val="24"/>
                <w:szCs w:val="24"/>
                <w:vertAlign w:val="superscript"/>
              </w:rPr>
              <w:t>§</w:t>
            </w:r>
          </w:p>
        </w:tc>
      </w:tr>
      <w:tr w:rsidR="002168AA" w14:paraId="645810C7" w14:textId="77777777" w:rsidTr="00025479">
        <w:tc>
          <w:tcPr>
            <w:tcW w:w="4945" w:type="dxa"/>
          </w:tcPr>
          <w:p w14:paraId="7DBD65A6" w14:textId="36DE2FA7" w:rsidR="002168AA" w:rsidRDefault="002168AA" w:rsidP="00C31891">
            <w:pPr>
              <w:rPr>
                <w:sz w:val="24"/>
                <w:szCs w:val="24"/>
              </w:rPr>
            </w:pPr>
            <w:r>
              <w:rPr>
                <w:sz w:val="24"/>
                <w:szCs w:val="24"/>
              </w:rPr>
              <w:t>Recommended Initial Therapy</w:t>
            </w:r>
          </w:p>
        </w:tc>
        <w:tc>
          <w:tcPr>
            <w:tcW w:w="1260" w:type="dxa"/>
            <w:vAlign w:val="center"/>
          </w:tcPr>
          <w:p w14:paraId="65F18511" w14:textId="05FEADE3" w:rsidR="002168AA" w:rsidRDefault="002168AA" w:rsidP="00C31891">
            <w:pPr>
              <w:jc w:val="center"/>
              <w:rPr>
                <w:sz w:val="24"/>
                <w:szCs w:val="24"/>
              </w:rPr>
            </w:pPr>
            <w:r>
              <w:rPr>
                <w:sz w:val="24"/>
                <w:szCs w:val="24"/>
              </w:rPr>
              <w:t>97.0</w:t>
            </w:r>
          </w:p>
        </w:tc>
        <w:tc>
          <w:tcPr>
            <w:tcW w:w="1080" w:type="dxa"/>
            <w:vAlign w:val="center"/>
          </w:tcPr>
          <w:p w14:paraId="7D8ACF70" w14:textId="7E47A60D" w:rsidR="002168AA" w:rsidRPr="00AE6B24" w:rsidRDefault="002168AA" w:rsidP="00C31891">
            <w:pPr>
              <w:jc w:val="center"/>
              <w:rPr>
                <w:sz w:val="24"/>
                <w:szCs w:val="24"/>
                <w:vertAlign w:val="superscript"/>
              </w:rPr>
            </w:pPr>
            <w:r>
              <w:rPr>
                <w:sz w:val="24"/>
                <w:szCs w:val="24"/>
              </w:rPr>
              <w:t>94.5</w:t>
            </w:r>
            <w:r w:rsidR="00AE6B24">
              <w:rPr>
                <w:sz w:val="24"/>
                <w:szCs w:val="24"/>
                <w:vertAlign w:val="superscript"/>
              </w:rPr>
              <w:t>*</w:t>
            </w:r>
          </w:p>
        </w:tc>
        <w:tc>
          <w:tcPr>
            <w:tcW w:w="990" w:type="dxa"/>
            <w:vAlign w:val="center"/>
          </w:tcPr>
          <w:p w14:paraId="5144FBF7" w14:textId="716C0CBD" w:rsidR="002168AA" w:rsidRPr="006C42C5" w:rsidRDefault="00400658" w:rsidP="00C31891">
            <w:pPr>
              <w:jc w:val="center"/>
              <w:rPr>
                <w:sz w:val="24"/>
                <w:szCs w:val="24"/>
                <w:vertAlign w:val="superscript"/>
              </w:rPr>
            </w:pPr>
            <w:r>
              <w:rPr>
                <w:sz w:val="24"/>
                <w:szCs w:val="24"/>
              </w:rPr>
              <w:t>100</w:t>
            </w:r>
            <w:r w:rsidR="006C42C5">
              <w:rPr>
                <w:rFonts w:cstheme="minorHAnsi"/>
                <w:sz w:val="24"/>
                <w:szCs w:val="24"/>
                <w:vertAlign w:val="superscript"/>
              </w:rPr>
              <w:t>§</w:t>
            </w:r>
          </w:p>
        </w:tc>
        <w:tc>
          <w:tcPr>
            <w:tcW w:w="1075" w:type="dxa"/>
            <w:vAlign w:val="center"/>
          </w:tcPr>
          <w:p w14:paraId="5E830B5E" w14:textId="2BAED0F4" w:rsidR="002168AA" w:rsidRPr="006C42C5" w:rsidRDefault="006C42C5" w:rsidP="00C31891">
            <w:pPr>
              <w:jc w:val="center"/>
              <w:rPr>
                <w:sz w:val="24"/>
                <w:szCs w:val="24"/>
                <w:vertAlign w:val="superscript"/>
              </w:rPr>
            </w:pPr>
            <w:r>
              <w:rPr>
                <w:sz w:val="24"/>
                <w:szCs w:val="24"/>
              </w:rPr>
              <w:t>88.0</w:t>
            </w:r>
            <w:r>
              <w:rPr>
                <w:sz w:val="24"/>
                <w:szCs w:val="24"/>
                <w:vertAlign w:val="superscript"/>
              </w:rPr>
              <w:t>*</w:t>
            </w:r>
            <w:r w:rsidR="00906A10">
              <w:rPr>
                <w:rFonts w:cstheme="minorHAnsi"/>
                <w:sz w:val="24"/>
                <w:szCs w:val="24"/>
                <w:vertAlign w:val="superscript"/>
              </w:rPr>
              <w:t>§</w:t>
            </w:r>
          </w:p>
        </w:tc>
      </w:tr>
      <w:tr w:rsidR="002168AA" w14:paraId="1F342953" w14:textId="77777777" w:rsidTr="00025479">
        <w:tc>
          <w:tcPr>
            <w:tcW w:w="4945" w:type="dxa"/>
          </w:tcPr>
          <w:p w14:paraId="24CD3EE5" w14:textId="5E0D8D76" w:rsidR="002168AA" w:rsidRDefault="002168AA" w:rsidP="00C31891">
            <w:pPr>
              <w:rPr>
                <w:sz w:val="24"/>
                <w:szCs w:val="24"/>
              </w:rPr>
            </w:pPr>
            <w:r>
              <w:rPr>
                <w:sz w:val="24"/>
                <w:szCs w:val="24"/>
              </w:rPr>
              <w:t>Sputum Culture Result Reported</w:t>
            </w:r>
          </w:p>
        </w:tc>
        <w:tc>
          <w:tcPr>
            <w:tcW w:w="1260" w:type="dxa"/>
            <w:vAlign w:val="center"/>
          </w:tcPr>
          <w:p w14:paraId="70F28DF6" w14:textId="16618B40" w:rsidR="002168AA" w:rsidRDefault="002168AA" w:rsidP="00C31891">
            <w:pPr>
              <w:jc w:val="center"/>
              <w:rPr>
                <w:sz w:val="24"/>
                <w:szCs w:val="24"/>
              </w:rPr>
            </w:pPr>
            <w:r>
              <w:rPr>
                <w:sz w:val="24"/>
                <w:szCs w:val="24"/>
              </w:rPr>
              <w:t>99.0</w:t>
            </w:r>
          </w:p>
        </w:tc>
        <w:tc>
          <w:tcPr>
            <w:tcW w:w="1080" w:type="dxa"/>
            <w:vAlign w:val="center"/>
          </w:tcPr>
          <w:p w14:paraId="243D0E1B" w14:textId="1DBA3A69" w:rsidR="002168AA" w:rsidRPr="00AE6B24" w:rsidRDefault="002168AA" w:rsidP="00C31891">
            <w:pPr>
              <w:jc w:val="center"/>
              <w:rPr>
                <w:sz w:val="24"/>
                <w:szCs w:val="24"/>
                <w:vertAlign w:val="superscript"/>
              </w:rPr>
            </w:pPr>
            <w:r>
              <w:rPr>
                <w:sz w:val="24"/>
                <w:szCs w:val="24"/>
              </w:rPr>
              <w:t>96.8</w:t>
            </w:r>
            <w:r w:rsidR="00AE6B24">
              <w:rPr>
                <w:sz w:val="24"/>
                <w:szCs w:val="24"/>
                <w:vertAlign w:val="superscript"/>
              </w:rPr>
              <w:t>*</w:t>
            </w:r>
          </w:p>
        </w:tc>
        <w:tc>
          <w:tcPr>
            <w:tcW w:w="990" w:type="dxa"/>
            <w:vAlign w:val="center"/>
          </w:tcPr>
          <w:p w14:paraId="5552DF79" w14:textId="03F51CAB" w:rsidR="002168AA" w:rsidRPr="002146F4" w:rsidRDefault="002146F4" w:rsidP="00C31891">
            <w:pPr>
              <w:jc w:val="center"/>
              <w:rPr>
                <w:sz w:val="24"/>
                <w:szCs w:val="24"/>
                <w:vertAlign w:val="superscript"/>
              </w:rPr>
            </w:pPr>
            <w:r>
              <w:rPr>
                <w:sz w:val="24"/>
                <w:szCs w:val="24"/>
              </w:rPr>
              <w:t>100</w:t>
            </w:r>
            <w:r>
              <w:rPr>
                <w:rFonts w:cstheme="minorHAnsi"/>
                <w:sz w:val="24"/>
                <w:szCs w:val="24"/>
                <w:vertAlign w:val="superscript"/>
              </w:rPr>
              <w:t>§</w:t>
            </w:r>
          </w:p>
        </w:tc>
        <w:tc>
          <w:tcPr>
            <w:tcW w:w="1075" w:type="dxa"/>
            <w:vAlign w:val="center"/>
          </w:tcPr>
          <w:p w14:paraId="6754119A" w14:textId="04E4F2D9" w:rsidR="002168AA" w:rsidRPr="006C42C5" w:rsidRDefault="006C42C5" w:rsidP="00C31891">
            <w:pPr>
              <w:jc w:val="center"/>
              <w:rPr>
                <w:sz w:val="24"/>
                <w:szCs w:val="24"/>
                <w:vertAlign w:val="superscript"/>
              </w:rPr>
            </w:pPr>
            <w:r>
              <w:rPr>
                <w:sz w:val="24"/>
                <w:szCs w:val="24"/>
              </w:rPr>
              <w:t>88.2</w:t>
            </w:r>
            <w:r>
              <w:rPr>
                <w:sz w:val="24"/>
                <w:szCs w:val="24"/>
                <w:vertAlign w:val="superscript"/>
              </w:rPr>
              <w:t>*</w:t>
            </w:r>
            <w:r>
              <w:rPr>
                <w:rFonts w:cstheme="minorHAnsi"/>
                <w:sz w:val="24"/>
                <w:szCs w:val="24"/>
                <w:vertAlign w:val="superscript"/>
              </w:rPr>
              <w:t>§</w:t>
            </w:r>
          </w:p>
        </w:tc>
      </w:tr>
      <w:tr w:rsidR="002168AA" w14:paraId="0C521DC6" w14:textId="77777777" w:rsidTr="00025479">
        <w:tc>
          <w:tcPr>
            <w:tcW w:w="4945" w:type="dxa"/>
          </w:tcPr>
          <w:p w14:paraId="6145F8AF" w14:textId="7A758D43" w:rsidR="002168AA" w:rsidRDefault="002168AA" w:rsidP="00C31891">
            <w:pPr>
              <w:rPr>
                <w:sz w:val="24"/>
                <w:szCs w:val="24"/>
              </w:rPr>
            </w:pPr>
            <w:r>
              <w:rPr>
                <w:sz w:val="24"/>
                <w:szCs w:val="24"/>
              </w:rPr>
              <w:t>Sputum Culture Conversion</w:t>
            </w:r>
          </w:p>
        </w:tc>
        <w:tc>
          <w:tcPr>
            <w:tcW w:w="1260" w:type="dxa"/>
            <w:vAlign w:val="center"/>
          </w:tcPr>
          <w:p w14:paraId="546236E0" w14:textId="3727C90D" w:rsidR="002168AA" w:rsidRDefault="002168AA" w:rsidP="00C31891">
            <w:pPr>
              <w:jc w:val="center"/>
              <w:rPr>
                <w:sz w:val="24"/>
                <w:szCs w:val="24"/>
              </w:rPr>
            </w:pPr>
            <w:r>
              <w:rPr>
                <w:sz w:val="24"/>
                <w:szCs w:val="24"/>
              </w:rPr>
              <w:t>83.0</w:t>
            </w:r>
          </w:p>
        </w:tc>
        <w:tc>
          <w:tcPr>
            <w:tcW w:w="1080" w:type="dxa"/>
            <w:vAlign w:val="center"/>
          </w:tcPr>
          <w:p w14:paraId="56E01F64" w14:textId="4583572A" w:rsidR="002168AA" w:rsidRDefault="006C42C5" w:rsidP="00C31891">
            <w:pPr>
              <w:jc w:val="center"/>
              <w:rPr>
                <w:sz w:val="24"/>
                <w:szCs w:val="24"/>
              </w:rPr>
            </w:pPr>
            <w:r>
              <w:rPr>
                <w:sz w:val="24"/>
                <w:szCs w:val="24"/>
              </w:rPr>
              <w:t>91.9</w:t>
            </w:r>
          </w:p>
        </w:tc>
        <w:tc>
          <w:tcPr>
            <w:tcW w:w="990" w:type="dxa"/>
            <w:vAlign w:val="center"/>
          </w:tcPr>
          <w:p w14:paraId="6F212E5F" w14:textId="445CED86" w:rsidR="002168AA" w:rsidRPr="00AE6B24" w:rsidRDefault="006C42C5" w:rsidP="00C31891">
            <w:pPr>
              <w:jc w:val="center"/>
              <w:rPr>
                <w:sz w:val="24"/>
                <w:szCs w:val="24"/>
                <w:vertAlign w:val="superscript"/>
              </w:rPr>
            </w:pPr>
            <w:r>
              <w:rPr>
                <w:sz w:val="24"/>
                <w:szCs w:val="24"/>
              </w:rPr>
              <w:t>71.4</w:t>
            </w:r>
            <w:r w:rsidR="00AE6B24">
              <w:rPr>
                <w:sz w:val="24"/>
                <w:szCs w:val="24"/>
                <w:vertAlign w:val="superscript"/>
              </w:rPr>
              <w:t>*</w:t>
            </w:r>
            <w:r>
              <w:rPr>
                <w:rFonts w:cstheme="minorHAnsi"/>
                <w:sz w:val="24"/>
                <w:szCs w:val="24"/>
                <w:vertAlign w:val="superscript"/>
              </w:rPr>
              <w:t>§</w:t>
            </w:r>
          </w:p>
        </w:tc>
        <w:tc>
          <w:tcPr>
            <w:tcW w:w="1075" w:type="dxa"/>
            <w:vAlign w:val="center"/>
          </w:tcPr>
          <w:p w14:paraId="66FCD3B1" w14:textId="751A16AD" w:rsidR="002168AA" w:rsidRPr="006C42C5" w:rsidRDefault="006C42C5" w:rsidP="00C31891">
            <w:pPr>
              <w:jc w:val="center"/>
              <w:rPr>
                <w:sz w:val="24"/>
                <w:szCs w:val="24"/>
                <w:vertAlign w:val="superscript"/>
              </w:rPr>
            </w:pPr>
            <w:r>
              <w:rPr>
                <w:sz w:val="24"/>
                <w:szCs w:val="24"/>
              </w:rPr>
              <w:t>20.0</w:t>
            </w:r>
            <w:r>
              <w:rPr>
                <w:sz w:val="24"/>
                <w:szCs w:val="24"/>
                <w:vertAlign w:val="superscript"/>
              </w:rPr>
              <w:t>*</w:t>
            </w:r>
            <w:r>
              <w:rPr>
                <w:rFonts w:cstheme="minorHAnsi"/>
                <w:sz w:val="24"/>
                <w:szCs w:val="24"/>
                <w:vertAlign w:val="superscript"/>
              </w:rPr>
              <w:t>§</w:t>
            </w:r>
          </w:p>
        </w:tc>
      </w:tr>
      <w:tr w:rsidR="002168AA" w14:paraId="44674CF2" w14:textId="77777777" w:rsidTr="00025479">
        <w:tc>
          <w:tcPr>
            <w:tcW w:w="4945" w:type="dxa"/>
          </w:tcPr>
          <w:p w14:paraId="35F84EB3" w14:textId="07C7821A" w:rsidR="002168AA" w:rsidRDefault="002168AA" w:rsidP="00C31891">
            <w:pPr>
              <w:rPr>
                <w:sz w:val="24"/>
                <w:szCs w:val="24"/>
              </w:rPr>
            </w:pPr>
            <w:r>
              <w:rPr>
                <w:sz w:val="24"/>
                <w:szCs w:val="24"/>
              </w:rPr>
              <w:t>Completion of Treatment</w:t>
            </w:r>
          </w:p>
        </w:tc>
        <w:tc>
          <w:tcPr>
            <w:tcW w:w="1260" w:type="dxa"/>
            <w:vAlign w:val="center"/>
          </w:tcPr>
          <w:p w14:paraId="11EFFC93" w14:textId="0C58D769" w:rsidR="002168AA" w:rsidRDefault="002168AA" w:rsidP="00C31891">
            <w:pPr>
              <w:jc w:val="center"/>
              <w:rPr>
                <w:sz w:val="24"/>
                <w:szCs w:val="24"/>
              </w:rPr>
            </w:pPr>
            <w:r>
              <w:rPr>
                <w:sz w:val="24"/>
                <w:szCs w:val="24"/>
              </w:rPr>
              <w:t>95.0</w:t>
            </w:r>
          </w:p>
        </w:tc>
        <w:tc>
          <w:tcPr>
            <w:tcW w:w="1080" w:type="dxa"/>
            <w:vAlign w:val="center"/>
          </w:tcPr>
          <w:p w14:paraId="3EB95B2F" w14:textId="71723B12" w:rsidR="002168AA" w:rsidRPr="00AE6B24" w:rsidRDefault="006C42C5" w:rsidP="00C31891">
            <w:pPr>
              <w:jc w:val="center"/>
              <w:rPr>
                <w:sz w:val="24"/>
                <w:szCs w:val="24"/>
                <w:vertAlign w:val="superscript"/>
              </w:rPr>
            </w:pPr>
            <w:r>
              <w:rPr>
                <w:sz w:val="24"/>
                <w:szCs w:val="24"/>
              </w:rPr>
              <w:t>62.5</w:t>
            </w:r>
            <w:r w:rsidR="00AE6B24">
              <w:rPr>
                <w:sz w:val="24"/>
                <w:szCs w:val="24"/>
                <w:vertAlign w:val="superscript"/>
              </w:rPr>
              <w:t>*</w:t>
            </w:r>
            <w:r w:rsidR="00AE6B24">
              <w:rPr>
                <w:rFonts w:cstheme="minorHAnsi"/>
                <w:sz w:val="24"/>
                <w:szCs w:val="24"/>
                <w:vertAlign w:val="superscript"/>
              </w:rPr>
              <w:t>§</w:t>
            </w:r>
          </w:p>
        </w:tc>
        <w:tc>
          <w:tcPr>
            <w:tcW w:w="990" w:type="dxa"/>
            <w:vAlign w:val="center"/>
          </w:tcPr>
          <w:p w14:paraId="67EBF45C" w14:textId="67BDDF7C" w:rsidR="002168AA" w:rsidRPr="00AE6B24" w:rsidRDefault="00400658" w:rsidP="00C31891">
            <w:pPr>
              <w:jc w:val="center"/>
              <w:rPr>
                <w:sz w:val="24"/>
                <w:szCs w:val="24"/>
                <w:vertAlign w:val="superscript"/>
              </w:rPr>
            </w:pPr>
            <w:r>
              <w:rPr>
                <w:sz w:val="24"/>
                <w:szCs w:val="24"/>
              </w:rPr>
              <w:t>0.0</w:t>
            </w:r>
            <w:r w:rsidR="00AE6B24">
              <w:rPr>
                <w:sz w:val="24"/>
                <w:szCs w:val="24"/>
                <w:vertAlign w:val="superscript"/>
              </w:rPr>
              <w:t>*</w:t>
            </w:r>
            <w:r w:rsidR="006C42C5">
              <w:rPr>
                <w:rFonts w:cstheme="minorHAnsi"/>
                <w:sz w:val="24"/>
                <w:szCs w:val="24"/>
                <w:vertAlign w:val="superscript"/>
              </w:rPr>
              <w:t>§</w:t>
            </w:r>
          </w:p>
        </w:tc>
        <w:tc>
          <w:tcPr>
            <w:tcW w:w="1075" w:type="dxa"/>
            <w:vAlign w:val="center"/>
          </w:tcPr>
          <w:p w14:paraId="620A68E7" w14:textId="020DEFE5" w:rsidR="002168AA" w:rsidRPr="00906A10" w:rsidRDefault="00906A10" w:rsidP="00C31891">
            <w:pPr>
              <w:jc w:val="center"/>
              <w:rPr>
                <w:sz w:val="24"/>
                <w:szCs w:val="24"/>
                <w:vertAlign w:val="superscript"/>
              </w:rPr>
            </w:pPr>
            <w:r>
              <w:rPr>
                <w:sz w:val="24"/>
                <w:szCs w:val="24"/>
              </w:rPr>
              <w:t>0.0</w:t>
            </w:r>
            <w:r>
              <w:rPr>
                <w:sz w:val="24"/>
                <w:szCs w:val="24"/>
                <w:vertAlign w:val="superscript"/>
              </w:rPr>
              <w:t>*</w:t>
            </w:r>
            <w:r>
              <w:rPr>
                <w:rFonts w:cstheme="minorHAnsi"/>
                <w:sz w:val="24"/>
                <w:szCs w:val="24"/>
                <w:vertAlign w:val="superscript"/>
              </w:rPr>
              <w:t>§</w:t>
            </w:r>
          </w:p>
        </w:tc>
      </w:tr>
      <w:tr w:rsidR="002168AA" w14:paraId="26D897C9" w14:textId="77777777" w:rsidTr="002168AA">
        <w:tc>
          <w:tcPr>
            <w:tcW w:w="9350" w:type="dxa"/>
            <w:gridSpan w:val="5"/>
            <w:shd w:val="clear" w:color="auto" w:fill="D9D9D9" w:themeFill="background1" w:themeFillShade="D9"/>
          </w:tcPr>
          <w:p w14:paraId="17D37913" w14:textId="5C034F18" w:rsidR="002168AA" w:rsidRPr="00025479" w:rsidRDefault="002168AA" w:rsidP="002168AA">
            <w:pPr>
              <w:rPr>
                <w:sz w:val="24"/>
                <w:szCs w:val="24"/>
              </w:rPr>
            </w:pPr>
            <w:r>
              <w:rPr>
                <w:b/>
                <w:bCs/>
                <w:sz w:val="24"/>
                <w:szCs w:val="24"/>
              </w:rPr>
              <w:t>Objectives on Laboratory Reporting</w:t>
            </w:r>
            <w:r w:rsidR="00B23A67">
              <w:rPr>
                <w:b/>
                <w:bCs/>
                <w:sz w:val="24"/>
                <w:szCs w:val="24"/>
              </w:rPr>
              <w:t xml:space="preserve"> (%)</w:t>
            </w:r>
          </w:p>
        </w:tc>
      </w:tr>
      <w:tr w:rsidR="002168AA" w14:paraId="3E314148" w14:textId="77777777" w:rsidTr="00025479">
        <w:tc>
          <w:tcPr>
            <w:tcW w:w="4945" w:type="dxa"/>
          </w:tcPr>
          <w:p w14:paraId="60F8BC0D" w14:textId="1AD44547" w:rsidR="002168AA" w:rsidRDefault="002168AA" w:rsidP="00C31891">
            <w:pPr>
              <w:rPr>
                <w:sz w:val="24"/>
                <w:szCs w:val="24"/>
              </w:rPr>
            </w:pPr>
            <w:r>
              <w:rPr>
                <w:sz w:val="24"/>
                <w:szCs w:val="24"/>
              </w:rPr>
              <w:t>Turnaround Time—Culture</w:t>
            </w:r>
          </w:p>
        </w:tc>
        <w:tc>
          <w:tcPr>
            <w:tcW w:w="1260" w:type="dxa"/>
            <w:vAlign w:val="center"/>
          </w:tcPr>
          <w:p w14:paraId="41532FB7" w14:textId="2516BC4A" w:rsidR="002168AA" w:rsidRDefault="002168AA" w:rsidP="00C31891">
            <w:pPr>
              <w:jc w:val="center"/>
              <w:rPr>
                <w:sz w:val="24"/>
                <w:szCs w:val="24"/>
              </w:rPr>
            </w:pPr>
            <w:r>
              <w:rPr>
                <w:sz w:val="24"/>
                <w:szCs w:val="24"/>
              </w:rPr>
              <w:t>78.0</w:t>
            </w:r>
          </w:p>
        </w:tc>
        <w:tc>
          <w:tcPr>
            <w:tcW w:w="1080" w:type="dxa"/>
            <w:vAlign w:val="center"/>
          </w:tcPr>
          <w:p w14:paraId="2F5A5606" w14:textId="1B672730" w:rsidR="002168AA" w:rsidRPr="00AE6B24" w:rsidRDefault="002146F4" w:rsidP="00C31891">
            <w:pPr>
              <w:jc w:val="center"/>
              <w:rPr>
                <w:sz w:val="24"/>
                <w:szCs w:val="24"/>
                <w:vertAlign w:val="superscript"/>
              </w:rPr>
            </w:pPr>
            <w:r>
              <w:rPr>
                <w:sz w:val="24"/>
                <w:szCs w:val="24"/>
              </w:rPr>
              <w:t>59.7</w:t>
            </w:r>
            <w:r w:rsidR="00AE6B24">
              <w:rPr>
                <w:sz w:val="24"/>
                <w:szCs w:val="24"/>
                <w:vertAlign w:val="superscript"/>
              </w:rPr>
              <w:t>*</w:t>
            </w:r>
          </w:p>
        </w:tc>
        <w:tc>
          <w:tcPr>
            <w:tcW w:w="990" w:type="dxa"/>
            <w:vAlign w:val="center"/>
          </w:tcPr>
          <w:p w14:paraId="37A2F627" w14:textId="106B5E46" w:rsidR="002168AA" w:rsidRPr="00AE6B24" w:rsidRDefault="002146F4" w:rsidP="00C31891">
            <w:pPr>
              <w:jc w:val="center"/>
              <w:rPr>
                <w:sz w:val="24"/>
                <w:szCs w:val="24"/>
                <w:vertAlign w:val="superscript"/>
              </w:rPr>
            </w:pPr>
            <w:r>
              <w:rPr>
                <w:sz w:val="24"/>
                <w:szCs w:val="24"/>
              </w:rPr>
              <w:t>37.5</w:t>
            </w:r>
            <w:r w:rsidR="00AE6B24">
              <w:rPr>
                <w:sz w:val="24"/>
                <w:szCs w:val="24"/>
                <w:vertAlign w:val="superscript"/>
              </w:rPr>
              <w:t>*</w:t>
            </w:r>
            <w:r w:rsidR="006C42C5">
              <w:rPr>
                <w:rFonts w:cstheme="minorHAnsi"/>
                <w:sz w:val="24"/>
                <w:szCs w:val="24"/>
                <w:vertAlign w:val="superscript"/>
              </w:rPr>
              <w:t>§</w:t>
            </w:r>
          </w:p>
        </w:tc>
        <w:tc>
          <w:tcPr>
            <w:tcW w:w="1075" w:type="dxa"/>
            <w:vAlign w:val="center"/>
          </w:tcPr>
          <w:p w14:paraId="01CA0512" w14:textId="0C0D4B9A" w:rsidR="002168AA" w:rsidRPr="006C42C5" w:rsidRDefault="006C42C5" w:rsidP="00C31891">
            <w:pPr>
              <w:jc w:val="center"/>
              <w:rPr>
                <w:sz w:val="24"/>
                <w:szCs w:val="24"/>
                <w:vertAlign w:val="superscript"/>
              </w:rPr>
            </w:pPr>
            <w:r>
              <w:rPr>
                <w:sz w:val="24"/>
                <w:szCs w:val="24"/>
              </w:rPr>
              <w:t>30.8</w:t>
            </w:r>
            <w:r>
              <w:rPr>
                <w:sz w:val="24"/>
                <w:szCs w:val="24"/>
                <w:vertAlign w:val="superscript"/>
              </w:rPr>
              <w:t>*</w:t>
            </w:r>
            <w:r>
              <w:rPr>
                <w:rFonts w:cstheme="minorHAnsi"/>
                <w:sz w:val="24"/>
                <w:szCs w:val="24"/>
                <w:vertAlign w:val="superscript"/>
              </w:rPr>
              <w:t>§</w:t>
            </w:r>
          </w:p>
        </w:tc>
      </w:tr>
      <w:tr w:rsidR="002168AA" w14:paraId="3C310390" w14:textId="77777777" w:rsidTr="00025479">
        <w:tc>
          <w:tcPr>
            <w:tcW w:w="4945" w:type="dxa"/>
          </w:tcPr>
          <w:p w14:paraId="13634B30" w14:textId="58C9826F" w:rsidR="002168AA" w:rsidRDefault="002168AA" w:rsidP="00C31891">
            <w:pPr>
              <w:rPr>
                <w:sz w:val="24"/>
                <w:szCs w:val="24"/>
              </w:rPr>
            </w:pPr>
            <w:r>
              <w:rPr>
                <w:sz w:val="24"/>
                <w:szCs w:val="24"/>
              </w:rPr>
              <w:t>Turnaround Time—NAA</w:t>
            </w:r>
          </w:p>
        </w:tc>
        <w:tc>
          <w:tcPr>
            <w:tcW w:w="1260" w:type="dxa"/>
            <w:vAlign w:val="center"/>
          </w:tcPr>
          <w:p w14:paraId="63482170" w14:textId="7442209F" w:rsidR="002168AA" w:rsidRDefault="002168AA" w:rsidP="00C31891">
            <w:pPr>
              <w:jc w:val="center"/>
              <w:rPr>
                <w:sz w:val="24"/>
                <w:szCs w:val="24"/>
              </w:rPr>
            </w:pPr>
            <w:r>
              <w:rPr>
                <w:sz w:val="24"/>
                <w:szCs w:val="24"/>
              </w:rPr>
              <w:t>97.0</w:t>
            </w:r>
          </w:p>
        </w:tc>
        <w:tc>
          <w:tcPr>
            <w:tcW w:w="1080" w:type="dxa"/>
            <w:vAlign w:val="center"/>
          </w:tcPr>
          <w:p w14:paraId="6137BDF2" w14:textId="7066880A" w:rsidR="002168AA" w:rsidRPr="00AE6B24" w:rsidRDefault="002168AA" w:rsidP="00C31891">
            <w:pPr>
              <w:jc w:val="center"/>
              <w:rPr>
                <w:sz w:val="24"/>
                <w:szCs w:val="24"/>
                <w:vertAlign w:val="superscript"/>
              </w:rPr>
            </w:pPr>
            <w:r>
              <w:rPr>
                <w:sz w:val="24"/>
                <w:szCs w:val="24"/>
              </w:rPr>
              <w:t>7</w:t>
            </w:r>
            <w:r w:rsidR="002146F4">
              <w:rPr>
                <w:sz w:val="24"/>
                <w:szCs w:val="24"/>
              </w:rPr>
              <w:t>4.1</w:t>
            </w:r>
            <w:r w:rsidR="00AE6B24">
              <w:rPr>
                <w:sz w:val="24"/>
                <w:szCs w:val="24"/>
                <w:vertAlign w:val="superscript"/>
              </w:rPr>
              <w:t>*</w:t>
            </w:r>
          </w:p>
        </w:tc>
        <w:tc>
          <w:tcPr>
            <w:tcW w:w="990" w:type="dxa"/>
            <w:vAlign w:val="center"/>
          </w:tcPr>
          <w:p w14:paraId="327EDB36" w14:textId="0E8E3DE5" w:rsidR="002168AA" w:rsidRPr="006C42C5" w:rsidRDefault="00400658" w:rsidP="00C31891">
            <w:pPr>
              <w:jc w:val="center"/>
              <w:rPr>
                <w:sz w:val="24"/>
                <w:szCs w:val="24"/>
                <w:vertAlign w:val="superscript"/>
              </w:rPr>
            </w:pPr>
            <w:r>
              <w:rPr>
                <w:sz w:val="24"/>
                <w:szCs w:val="24"/>
              </w:rPr>
              <w:t>100</w:t>
            </w:r>
            <w:r w:rsidR="006C42C5">
              <w:rPr>
                <w:sz w:val="24"/>
                <w:szCs w:val="24"/>
                <w:vertAlign w:val="superscript"/>
              </w:rPr>
              <w:t>*</w:t>
            </w:r>
            <w:r w:rsidR="006C42C5">
              <w:rPr>
                <w:rFonts w:cstheme="minorHAnsi"/>
                <w:sz w:val="24"/>
                <w:szCs w:val="24"/>
                <w:vertAlign w:val="superscript"/>
              </w:rPr>
              <w:t>§</w:t>
            </w:r>
          </w:p>
        </w:tc>
        <w:tc>
          <w:tcPr>
            <w:tcW w:w="1075" w:type="dxa"/>
            <w:vAlign w:val="center"/>
          </w:tcPr>
          <w:p w14:paraId="47AC687B" w14:textId="6BB8E0A8" w:rsidR="002168AA" w:rsidRPr="006C42C5" w:rsidRDefault="006C42C5" w:rsidP="00C31891">
            <w:pPr>
              <w:jc w:val="center"/>
              <w:rPr>
                <w:sz w:val="24"/>
                <w:szCs w:val="24"/>
                <w:vertAlign w:val="superscript"/>
              </w:rPr>
            </w:pPr>
            <w:r>
              <w:rPr>
                <w:sz w:val="24"/>
                <w:szCs w:val="24"/>
              </w:rPr>
              <w:t>100</w:t>
            </w:r>
            <w:r w:rsidR="00906A10" w:rsidRPr="00906A10">
              <w:rPr>
                <w:sz w:val="24"/>
                <w:szCs w:val="24"/>
                <w:vertAlign w:val="superscript"/>
              </w:rPr>
              <w:t>*</w:t>
            </w:r>
            <w:r>
              <w:rPr>
                <w:rFonts w:cstheme="minorHAnsi"/>
                <w:sz w:val="24"/>
                <w:szCs w:val="24"/>
                <w:vertAlign w:val="superscript"/>
              </w:rPr>
              <w:t>§</w:t>
            </w:r>
          </w:p>
        </w:tc>
      </w:tr>
      <w:tr w:rsidR="002168AA" w14:paraId="544525BA" w14:textId="77777777" w:rsidTr="00025479">
        <w:tc>
          <w:tcPr>
            <w:tcW w:w="4945" w:type="dxa"/>
          </w:tcPr>
          <w:p w14:paraId="2B08D2CB" w14:textId="5698D09A" w:rsidR="002168AA" w:rsidRDefault="002168AA" w:rsidP="00C31891">
            <w:pPr>
              <w:rPr>
                <w:sz w:val="24"/>
                <w:szCs w:val="24"/>
              </w:rPr>
            </w:pPr>
            <w:r>
              <w:rPr>
                <w:sz w:val="24"/>
                <w:szCs w:val="24"/>
              </w:rPr>
              <w:t>Drug-Susceptibility Testing</w:t>
            </w:r>
          </w:p>
        </w:tc>
        <w:tc>
          <w:tcPr>
            <w:tcW w:w="1260" w:type="dxa"/>
            <w:vAlign w:val="center"/>
          </w:tcPr>
          <w:p w14:paraId="0C8B72AB" w14:textId="27EA6761" w:rsidR="002168AA" w:rsidRDefault="002168AA" w:rsidP="00C31891">
            <w:pPr>
              <w:jc w:val="center"/>
              <w:rPr>
                <w:sz w:val="24"/>
                <w:szCs w:val="24"/>
              </w:rPr>
            </w:pPr>
            <w:r>
              <w:rPr>
                <w:sz w:val="24"/>
                <w:szCs w:val="24"/>
              </w:rPr>
              <w:t>100</w:t>
            </w:r>
          </w:p>
        </w:tc>
        <w:tc>
          <w:tcPr>
            <w:tcW w:w="1080" w:type="dxa"/>
            <w:vAlign w:val="center"/>
          </w:tcPr>
          <w:p w14:paraId="5CBAB115" w14:textId="67DBE2D4" w:rsidR="002168AA" w:rsidRPr="00AE6B24" w:rsidRDefault="002168AA" w:rsidP="00C31891">
            <w:pPr>
              <w:jc w:val="center"/>
              <w:rPr>
                <w:sz w:val="24"/>
                <w:szCs w:val="24"/>
                <w:vertAlign w:val="superscript"/>
              </w:rPr>
            </w:pPr>
            <w:r>
              <w:rPr>
                <w:sz w:val="24"/>
                <w:szCs w:val="24"/>
              </w:rPr>
              <w:t>96.5</w:t>
            </w:r>
            <w:r w:rsidR="00AE6B24">
              <w:rPr>
                <w:sz w:val="24"/>
                <w:szCs w:val="24"/>
                <w:vertAlign w:val="superscript"/>
              </w:rPr>
              <w:t>*</w:t>
            </w:r>
          </w:p>
        </w:tc>
        <w:tc>
          <w:tcPr>
            <w:tcW w:w="990" w:type="dxa"/>
            <w:vAlign w:val="center"/>
          </w:tcPr>
          <w:p w14:paraId="01285DDB" w14:textId="1B6A9795" w:rsidR="002168AA" w:rsidRPr="00AE6B24" w:rsidRDefault="006C42C5" w:rsidP="00C31891">
            <w:pPr>
              <w:jc w:val="center"/>
              <w:rPr>
                <w:sz w:val="24"/>
                <w:szCs w:val="24"/>
                <w:vertAlign w:val="superscript"/>
              </w:rPr>
            </w:pPr>
            <w:r>
              <w:rPr>
                <w:sz w:val="24"/>
                <w:szCs w:val="24"/>
              </w:rPr>
              <w:t>90.0</w:t>
            </w:r>
            <w:r w:rsidR="00AE6B24">
              <w:rPr>
                <w:sz w:val="24"/>
                <w:szCs w:val="24"/>
                <w:vertAlign w:val="superscript"/>
              </w:rPr>
              <w:t>*</w:t>
            </w:r>
            <w:r>
              <w:rPr>
                <w:rFonts w:cstheme="minorHAnsi"/>
                <w:sz w:val="24"/>
                <w:szCs w:val="24"/>
                <w:vertAlign w:val="superscript"/>
              </w:rPr>
              <w:t>§</w:t>
            </w:r>
          </w:p>
        </w:tc>
        <w:tc>
          <w:tcPr>
            <w:tcW w:w="1075" w:type="dxa"/>
            <w:vAlign w:val="center"/>
          </w:tcPr>
          <w:p w14:paraId="04A54B44" w14:textId="308C28FD" w:rsidR="002168AA" w:rsidRPr="006C42C5" w:rsidRDefault="006C42C5" w:rsidP="00C31891">
            <w:pPr>
              <w:jc w:val="center"/>
              <w:rPr>
                <w:sz w:val="24"/>
                <w:szCs w:val="24"/>
                <w:vertAlign w:val="superscript"/>
              </w:rPr>
            </w:pPr>
            <w:r>
              <w:rPr>
                <w:sz w:val="24"/>
                <w:szCs w:val="24"/>
              </w:rPr>
              <w:t>78.9</w:t>
            </w:r>
            <w:r>
              <w:rPr>
                <w:sz w:val="24"/>
                <w:szCs w:val="24"/>
                <w:vertAlign w:val="superscript"/>
              </w:rPr>
              <w:t>*</w:t>
            </w:r>
            <w:r>
              <w:rPr>
                <w:rFonts w:cstheme="minorHAnsi"/>
                <w:sz w:val="24"/>
                <w:szCs w:val="24"/>
                <w:vertAlign w:val="superscript"/>
              </w:rPr>
              <w:t>§</w:t>
            </w:r>
          </w:p>
        </w:tc>
      </w:tr>
      <w:tr w:rsidR="002168AA" w14:paraId="11B4220E" w14:textId="77777777" w:rsidTr="00025479">
        <w:tc>
          <w:tcPr>
            <w:tcW w:w="4945" w:type="dxa"/>
          </w:tcPr>
          <w:p w14:paraId="3D538210" w14:textId="21FB1B4A" w:rsidR="002168AA" w:rsidRDefault="002168AA" w:rsidP="00C31891">
            <w:pPr>
              <w:rPr>
                <w:sz w:val="24"/>
                <w:szCs w:val="24"/>
              </w:rPr>
            </w:pPr>
            <w:r>
              <w:rPr>
                <w:sz w:val="24"/>
                <w:szCs w:val="24"/>
              </w:rPr>
              <w:t>Universal Genotyping</w:t>
            </w:r>
          </w:p>
        </w:tc>
        <w:tc>
          <w:tcPr>
            <w:tcW w:w="1260" w:type="dxa"/>
            <w:vAlign w:val="center"/>
          </w:tcPr>
          <w:p w14:paraId="47B174C8" w14:textId="668CB234" w:rsidR="002168AA" w:rsidRDefault="002168AA" w:rsidP="00C31891">
            <w:pPr>
              <w:jc w:val="center"/>
              <w:rPr>
                <w:sz w:val="24"/>
                <w:szCs w:val="24"/>
              </w:rPr>
            </w:pPr>
            <w:r>
              <w:rPr>
                <w:sz w:val="24"/>
                <w:szCs w:val="24"/>
              </w:rPr>
              <w:t>100</w:t>
            </w:r>
          </w:p>
        </w:tc>
        <w:tc>
          <w:tcPr>
            <w:tcW w:w="1080" w:type="dxa"/>
            <w:vAlign w:val="center"/>
          </w:tcPr>
          <w:p w14:paraId="7DD9F5BE" w14:textId="7999CF7B" w:rsidR="002168AA" w:rsidRPr="00AE6B24" w:rsidRDefault="002168AA" w:rsidP="00C31891">
            <w:pPr>
              <w:jc w:val="center"/>
              <w:rPr>
                <w:sz w:val="24"/>
                <w:szCs w:val="24"/>
                <w:vertAlign w:val="superscript"/>
              </w:rPr>
            </w:pPr>
            <w:r>
              <w:rPr>
                <w:sz w:val="24"/>
                <w:szCs w:val="24"/>
              </w:rPr>
              <w:t>96.5</w:t>
            </w:r>
            <w:r w:rsidR="00AE6B24">
              <w:rPr>
                <w:sz w:val="24"/>
                <w:szCs w:val="24"/>
                <w:vertAlign w:val="superscript"/>
              </w:rPr>
              <w:t>*</w:t>
            </w:r>
          </w:p>
        </w:tc>
        <w:tc>
          <w:tcPr>
            <w:tcW w:w="990" w:type="dxa"/>
            <w:vAlign w:val="center"/>
          </w:tcPr>
          <w:p w14:paraId="2DB5791A" w14:textId="6D6661F8" w:rsidR="002168AA" w:rsidRPr="00AE6B24" w:rsidRDefault="006C42C5" w:rsidP="00C31891">
            <w:pPr>
              <w:jc w:val="center"/>
              <w:rPr>
                <w:sz w:val="24"/>
                <w:szCs w:val="24"/>
                <w:vertAlign w:val="superscript"/>
              </w:rPr>
            </w:pPr>
            <w:r>
              <w:rPr>
                <w:sz w:val="24"/>
                <w:szCs w:val="24"/>
              </w:rPr>
              <w:t>90.0</w:t>
            </w:r>
            <w:r w:rsidR="00AE6B24">
              <w:rPr>
                <w:sz w:val="24"/>
                <w:szCs w:val="24"/>
                <w:vertAlign w:val="superscript"/>
              </w:rPr>
              <w:t>*</w:t>
            </w:r>
            <w:r>
              <w:rPr>
                <w:rFonts w:cstheme="minorHAnsi"/>
                <w:sz w:val="24"/>
                <w:szCs w:val="24"/>
                <w:vertAlign w:val="superscript"/>
              </w:rPr>
              <w:t>§</w:t>
            </w:r>
          </w:p>
        </w:tc>
        <w:tc>
          <w:tcPr>
            <w:tcW w:w="1075" w:type="dxa"/>
            <w:vAlign w:val="center"/>
          </w:tcPr>
          <w:p w14:paraId="25F3B6AF" w14:textId="1FD8BCA9" w:rsidR="002168AA" w:rsidRPr="006C42C5" w:rsidRDefault="002146F4" w:rsidP="00C31891">
            <w:pPr>
              <w:jc w:val="center"/>
              <w:rPr>
                <w:sz w:val="24"/>
                <w:szCs w:val="24"/>
                <w:vertAlign w:val="superscript"/>
              </w:rPr>
            </w:pPr>
            <w:r>
              <w:rPr>
                <w:sz w:val="24"/>
                <w:szCs w:val="24"/>
              </w:rPr>
              <w:t>89.5</w:t>
            </w:r>
            <w:r w:rsidR="006C42C5">
              <w:rPr>
                <w:sz w:val="24"/>
                <w:szCs w:val="24"/>
                <w:vertAlign w:val="superscript"/>
              </w:rPr>
              <w:t>*</w:t>
            </w:r>
            <w:r w:rsidR="006C42C5">
              <w:rPr>
                <w:rFonts w:cstheme="minorHAnsi"/>
                <w:sz w:val="24"/>
                <w:szCs w:val="24"/>
                <w:vertAlign w:val="superscript"/>
              </w:rPr>
              <w:t>§</w:t>
            </w:r>
          </w:p>
        </w:tc>
      </w:tr>
      <w:tr w:rsidR="002168AA" w14:paraId="7A3EFFA9" w14:textId="77777777" w:rsidTr="002168AA">
        <w:tc>
          <w:tcPr>
            <w:tcW w:w="9350" w:type="dxa"/>
            <w:gridSpan w:val="5"/>
            <w:shd w:val="clear" w:color="auto" w:fill="D9D9D9" w:themeFill="background1" w:themeFillShade="D9"/>
          </w:tcPr>
          <w:p w14:paraId="73B17769" w14:textId="4710D7FC" w:rsidR="002168AA" w:rsidRPr="002168AA" w:rsidRDefault="002168AA" w:rsidP="002168AA">
            <w:pPr>
              <w:rPr>
                <w:b/>
                <w:bCs/>
                <w:sz w:val="24"/>
                <w:szCs w:val="24"/>
              </w:rPr>
            </w:pPr>
            <w:r>
              <w:rPr>
                <w:b/>
                <w:bCs/>
                <w:sz w:val="24"/>
                <w:szCs w:val="24"/>
              </w:rPr>
              <w:t>Objectives on Contact Investigations (preliminary 2020 ARPE data)</w:t>
            </w:r>
            <w:r w:rsidR="00B23A67">
              <w:rPr>
                <w:b/>
                <w:bCs/>
                <w:sz w:val="24"/>
                <w:szCs w:val="24"/>
              </w:rPr>
              <w:t xml:space="preserve"> (%)</w:t>
            </w:r>
          </w:p>
        </w:tc>
      </w:tr>
      <w:tr w:rsidR="002168AA" w14:paraId="1651F64A" w14:textId="77777777" w:rsidTr="00025479">
        <w:tc>
          <w:tcPr>
            <w:tcW w:w="4945" w:type="dxa"/>
          </w:tcPr>
          <w:p w14:paraId="279B2E44" w14:textId="2F22519D" w:rsidR="002168AA" w:rsidRDefault="002168AA" w:rsidP="00C31891">
            <w:pPr>
              <w:rPr>
                <w:sz w:val="24"/>
                <w:szCs w:val="24"/>
              </w:rPr>
            </w:pPr>
            <w:r>
              <w:rPr>
                <w:sz w:val="24"/>
                <w:szCs w:val="24"/>
              </w:rPr>
              <w:t>Contact Elicitation</w:t>
            </w:r>
          </w:p>
        </w:tc>
        <w:tc>
          <w:tcPr>
            <w:tcW w:w="1260" w:type="dxa"/>
            <w:vAlign w:val="center"/>
          </w:tcPr>
          <w:p w14:paraId="074AAC77" w14:textId="32D476E3" w:rsidR="002168AA" w:rsidRDefault="002168AA" w:rsidP="00C31891">
            <w:pPr>
              <w:jc w:val="center"/>
              <w:rPr>
                <w:sz w:val="24"/>
                <w:szCs w:val="24"/>
              </w:rPr>
            </w:pPr>
            <w:r>
              <w:rPr>
                <w:sz w:val="24"/>
                <w:szCs w:val="24"/>
              </w:rPr>
              <w:t>100</w:t>
            </w:r>
          </w:p>
        </w:tc>
        <w:tc>
          <w:tcPr>
            <w:tcW w:w="1080" w:type="dxa"/>
            <w:vAlign w:val="center"/>
          </w:tcPr>
          <w:p w14:paraId="56C708D4" w14:textId="101411E8" w:rsidR="002168AA" w:rsidRPr="00AE6B24" w:rsidRDefault="002168AA" w:rsidP="00C31891">
            <w:pPr>
              <w:jc w:val="center"/>
              <w:rPr>
                <w:sz w:val="24"/>
                <w:szCs w:val="24"/>
                <w:vertAlign w:val="superscript"/>
              </w:rPr>
            </w:pPr>
            <w:r>
              <w:rPr>
                <w:sz w:val="24"/>
                <w:szCs w:val="24"/>
              </w:rPr>
              <w:t>90.0</w:t>
            </w:r>
            <w:r w:rsidR="00AE6B24">
              <w:rPr>
                <w:sz w:val="24"/>
                <w:szCs w:val="24"/>
                <w:vertAlign w:val="superscript"/>
              </w:rPr>
              <w:t>*</w:t>
            </w:r>
            <w:r w:rsidR="00AE6B24">
              <w:rPr>
                <w:rFonts w:cstheme="minorHAnsi"/>
                <w:sz w:val="24"/>
                <w:szCs w:val="24"/>
                <w:vertAlign w:val="superscript"/>
              </w:rPr>
              <w:t>§</w:t>
            </w:r>
          </w:p>
        </w:tc>
        <w:tc>
          <w:tcPr>
            <w:tcW w:w="990" w:type="dxa"/>
            <w:vAlign w:val="center"/>
          </w:tcPr>
          <w:p w14:paraId="2CAA7E50" w14:textId="706FEBCE" w:rsidR="002168AA" w:rsidRPr="00025479" w:rsidRDefault="00400658" w:rsidP="00C31891">
            <w:pPr>
              <w:jc w:val="center"/>
              <w:rPr>
                <w:sz w:val="24"/>
                <w:szCs w:val="24"/>
              </w:rPr>
            </w:pPr>
            <w:r>
              <w:rPr>
                <w:sz w:val="24"/>
                <w:szCs w:val="24"/>
              </w:rPr>
              <w:t>--</w:t>
            </w:r>
          </w:p>
        </w:tc>
        <w:tc>
          <w:tcPr>
            <w:tcW w:w="1075" w:type="dxa"/>
            <w:vAlign w:val="center"/>
          </w:tcPr>
          <w:p w14:paraId="23BC9FFA" w14:textId="21DAA12B" w:rsidR="002168AA" w:rsidRPr="00025479" w:rsidRDefault="006C42C5" w:rsidP="00C31891">
            <w:pPr>
              <w:jc w:val="center"/>
              <w:rPr>
                <w:sz w:val="24"/>
                <w:szCs w:val="24"/>
              </w:rPr>
            </w:pPr>
            <w:r>
              <w:rPr>
                <w:sz w:val="24"/>
                <w:szCs w:val="24"/>
              </w:rPr>
              <w:t>--</w:t>
            </w:r>
          </w:p>
        </w:tc>
      </w:tr>
      <w:tr w:rsidR="002168AA" w14:paraId="6CE99053" w14:textId="77777777" w:rsidTr="00025479">
        <w:tc>
          <w:tcPr>
            <w:tcW w:w="4945" w:type="dxa"/>
          </w:tcPr>
          <w:p w14:paraId="0FAD19DE" w14:textId="469B8A97" w:rsidR="002168AA" w:rsidRDefault="002168AA" w:rsidP="00C31891">
            <w:pPr>
              <w:rPr>
                <w:sz w:val="24"/>
                <w:szCs w:val="24"/>
              </w:rPr>
            </w:pPr>
            <w:r>
              <w:rPr>
                <w:sz w:val="24"/>
                <w:szCs w:val="24"/>
              </w:rPr>
              <w:t>Contact Examination</w:t>
            </w:r>
          </w:p>
        </w:tc>
        <w:tc>
          <w:tcPr>
            <w:tcW w:w="1260" w:type="dxa"/>
            <w:vAlign w:val="center"/>
          </w:tcPr>
          <w:p w14:paraId="7EC609F9" w14:textId="53B5CDEB" w:rsidR="002168AA" w:rsidRDefault="002168AA" w:rsidP="00C31891">
            <w:pPr>
              <w:jc w:val="center"/>
              <w:rPr>
                <w:sz w:val="24"/>
                <w:szCs w:val="24"/>
              </w:rPr>
            </w:pPr>
            <w:r>
              <w:rPr>
                <w:sz w:val="24"/>
                <w:szCs w:val="24"/>
              </w:rPr>
              <w:t>94.0</w:t>
            </w:r>
          </w:p>
        </w:tc>
        <w:tc>
          <w:tcPr>
            <w:tcW w:w="1080" w:type="dxa"/>
            <w:vAlign w:val="center"/>
          </w:tcPr>
          <w:p w14:paraId="0E799BBB" w14:textId="6CFFB072" w:rsidR="002168AA" w:rsidRPr="00AE6B24" w:rsidRDefault="002168AA" w:rsidP="00C31891">
            <w:pPr>
              <w:jc w:val="center"/>
              <w:rPr>
                <w:sz w:val="24"/>
                <w:szCs w:val="24"/>
                <w:vertAlign w:val="superscript"/>
              </w:rPr>
            </w:pPr>
            <w:r>
              <w:rPr>
                <w:sz w:val="24"/>
                <w:szCs w:val="24"/>
              </w:rPr>
              <w:t>85.3</w:t>
            </w:r>
            <w:r w:rsidR="00AE6B24">
              <w:rPr>
                <w:sz w:val="24"/>
                <w:szCs w:val="24"/>
                <w:vertAlign w:val="superscript"/>
              </w:rPr>
              <w:t>*</w:t>
            </w:r>
            <w:r w:rsidR="00AE6B24">
              <w:rPr>
                <w:rFonts w:cstheme="minorHAnsi"/>
                <w:sz w:val="24"/>
                <w:szCs w:val="24"/>
                <w:vertAlign w:val="superscript"/>
              </w:rPr>
              <w:t>§</w:t>
            </w:r>
          </w:p>
        </w:tc>
        <w:tc>
          <w:tcPr>
            <w:tcW w:w="990" w:type="dxa"/>
            <w:vAlign w:val="center"/>
          </w:tcPr>
          <w:p w14:paraId="6A581B97" w14:textId="38BC2B4C" w:rsidR="002168AA" w:rsidRPr="00025479" w:rsidRDefault="00400658" w:rsidP="00C31891">
            <w:pPr>
              <w:jc w:val="center"/>
              <w:rPr>
                <w:sz w:val="24"/>
                <w:szCs w:val="24"/>
              </w:rPr>
            </w:pPr>
            <w:r>
              <w:rPr>
                <w:sz w:val="24"/>
                <w:szCs w:val="24"/>
              </w:rPr>
              <w:t>--</w:t>
            </w:r>
          </w:p>
        </w:tc>
        <w:tc>
          <w:tcPr>
            <w:tcW w:w="1075" w:type="dxa"/>
            <w:vAlign w:val="center"/>
          </w:tcPr>
          <w:p w14:paraId="512754B5" w14:textId="694F997B" w:rsidR="002168AA" w:rsidRPr="00025479" w:rsidRDefault="006C42C5" w:rsidP="00C31891">
            <w:pPr>
              <w:jc w:val="center"/>
              <w:rPr>
                <w:sz w:val="24"/>
                <w:szCs w:val="24"/>
              </w:rPr>
            </w:pPr>
            <w:r>
              <w:rPr>
                <w:sz w:val="24"/>
                <w:szCs w:val="24"/>
              </w:rPr>
              <w:t>--</w:t>
            </w:r>
          </w:p>
        </w:tc>
      </w:tr>
      <w:tr w:rsidR="002168AA" w14:paraId="0DC2ABB7" w14:textId="77777777" w:rsidTr="00025479">
        <w:tc>
          <w:tcPr>
            <w:tcW w:w="4945" w:type="dxa"/>
          </w:tcPr>
          <w:p w14:paraId="16E772B5" w14:textId="41A807BB" w:rsidR="002168AA" w:rsidRDefault="002168AA" w:rsidP="00C31891">
            <w:pPr>
              <w:rPr>
                <w:sz w:val="24"/>
                <w:szCs w:val="24"/>
              </w:rPr>
            </w:pPr>
            <w:r>
              <w:rPr>
                <w:sz w:val="24"/>
                <w:szCs w:val="24"/>
              </w:rPr>
              <w:t>LTBI Treatment Initiation</w:t>
            </w:r>
          </w:p>
        </w:tc>
        <w:tc>
          <w:tcPr>
            <w:tcW w:w="1260" w:type="dxa"/>
            <w:vAlign w:val="center"/>
          </w:tcPr>
          <w:p w14:paraId="482841A6" w14:textId="00A9857E" w:rsidR="002168AA" w:rsidRDefault="002168AA" w:rsidP="00C31891">
            <w:pPr>
              <w:jc w:val="center"/>
              <w:rPr>
                <w:sz w:val="24"/>
                <w:szCs w:val="24"/>
              </w:rPr>
            </w:pPr>
            <w:r>
              <w:rPr>
                <w:sz w:val="24"/>
                <w:szCs w:val="24"/>
              </w:rPr>
              <w:t>92.0</w:t>
            </w:r>
          </w:p>
        </w:tc>
        <w:tc>
          <w:tcPr>
            <w:tcW w:w="1080" w:type="dxa"/>
            <w:vAlign w:val="center"/>
          </w:tcPr>
          <w:p w14:paraId="4B6B6A7A" w14:textId="2820E3FA" w:rsidR="002168AA" w:rsidRPr="00AE6B24" w:rsidRDefault="002168AA" w:rsidP="00C31891">
            <w:pPr>
              <w:jc w:val="center"/>
              <w:rPr>
                <w:sz w:val="24"/>
                <w:szCs w:val="24"/>
                <w:vertAlign w:val="superscript"/>
              </w:rPr>
            </w:pPr>
            <w:r>
              <w:rPr>
                <w:sz w:val="24"/>
                <w:szCs w:val="24"/>
              </w:rPr>
              <w:t>72.5</w:t>
            </w:r>
            <w:r w:rsidR="00AE6B24">
              <w:rPr>
                <w:sz w:val="24"/>
                <w:szCs w:val="24"/>
                <w:vertAlign w:val="superscript"/>
              </w:rPr>
              <w:t>*</w:t>
            </w:r>
            <w:r w:rsidR="00AE6B24">
              <w:rPr>
                <w:rFonts w:cstheme="minorHAnsi"/>
                <w:sz w:val="24"/>
                <w:szCs w:val="24"/>
                <w:vertAlign w:val="superscript"/>
              </w:rPr>
              <w:t>§</w:t>
            </w:r>
          </w:p>
        </w:tc>
        <w:tc>
          <w:tcPr>
            <w:tcW w:w="990" w:type="dxa"/>
            <w:vAlign w:val="center"/>
          </w:tcPr>
          <w:p w14:paraId="72E096BF" w14:textId="16D06C77" w:rsidR="002168AA" w:rsidRPr="00025479" w:rsidRDefault="00400658" w:rsidP="00C31891">
            <w:pPr>
              <w:jc w:val="center"/>
              <w:rPr>
                <w:sz w:val="24"/>
                <w:szCs w:val="24"/>
              </w:rPr>
            </w:pPr>
            <w:r>
              <w:rPr>
                <w:sz w:val="24"/>
                <w:szCs w:val="24"/>
              </w:rPr>
              <w:t>--</w:t>
            </w:r>
          </w:p>
        </w:tc>
        <w:tc>
          <w:tcPr>
            <w:tcW w:w="1075" w:type="dxa"/>
            <w:vAlign w:val="center"/>
          </w:tcPr>
          <w:p w14:paraId="2D0401B8" w14:textId="34FB4B58" w:rsidR="002168AA" w:rsidRPr="00025479" w:rsidRDefault="006C42C5" w:rsidP="00C31891">
            <w:pPr>
              <w:jc w:val="center"/>
              <w:rPr>
                <w:sz w:val="24"/>
                <w:szCs w:val="24"/>
              </w:rPr>
            </w:pPr>
            <w:r>
              <w:rPr>
                <w:sz w:val="24"/>
                <w:szCs w:val="24"/>
              </w:rPr>
              <w:t>--</w:t>
            </w:r>
          </w:p>
        </w:tc>
      </w:tr>
      <w:tr w:rsidR="002168AA" w14:paraId="666F6CD4" w14:textId="77777777" w:rsidTr="00025479">
        <w:tc>
          <w:tcPr>
            <w:tcW w:w="4945" w:type="dxa"/>
          </w:tcPr>
          <w:p w14:paraId="5A3CA658" w14:textId="4E953A42" w:rsidR="002168AA" w:rsidRDefault="002168AA" w:rsidP="00C31891">
            <w:pPr>
              <w:rPr>
                <w:sz w:val="24"/>
                <w:szCs w:val="24"/>
              </w:rPr>
            </w:pPr>
            <w:r>
              <w:rPr>
                <w:sz w:val="24"/>
                <w:szCs w:val="24"/>
              </w:rPr>
              <w:t>LTBI Treatment Completion</w:t>
            </w:r>
          </w:p>
        </w:tc>
        <w:tc>
          <w:tcPr>
            <w:tcW w:w="1260" w:type="dxa"/>
            <w:vAlign w:val="center"/>
          </w:tcPr>
          <w:p w14:paraId="63C66298" w14:textId="0272F371" w:rsidR="002168AA" w:rsidRDefault="002168AA" w:rsidP="00C31891">
            <w:pPr>
              <w:jc w:val="center"/>
              <w:rPr>
                <w:sz w:val="24"/>
                <w:szCs w:val="24"/>
              </w:rPr>
            </w:pPr>
            <w:r>
              <w:rPr>
                <w:sz w:val="24"/>
                <w:szCs w:val="24"/>
              </w:rPr>
              <w:t>93.0</w:t>
            </w:r>
          </w:p>
        </w:tc>
        <w:tc>
          <w:tcPr>
            <w:tcW w:w="1080" w:type="dxa"/>
            <w:vAlign w:val="center"/>
          </w:tcPr>
          <w:p w14:paraId="4CC15F3F" w14:textId="10D6AA4A" w:rsidR="002168AA" w:rsidRPr="00AE6B24" w:rsidRDefault="002168AA" w:rsidP="00C31891">
            <w:pPr>
              <w:jc w:val="center"/>
              <w:rPr>
                <w:sz w:val="24"/>
                <w:szCs w:val="24"/>
                <w:vertAlign w:val="superscript"/>
              </w:rPr>
            </w:pPr>
            <w:r>
              <w:rPr>
                <w:sz w:val="24"/>
                <w:szCs w:val="24"/>
              </w:rPr>
              <w:t>86.5</w:t>
            </w:r>
            <w:r w:rsidR="00AE6B24">
              <w:rPr>
                <w:sz w:val="24"/>
                <w:szCs w:val="24"/>
                <w:vertAlign w:val="superscript"/>
              </w:rPr>
              <w:t>*</w:t>
            </w:r>
            <w:r w:rsidR="00AE6B24">
              <w:rPr>
                <w:rFonts w:cstheme="minorHAnsi"/>
                <w:sz w:val="24"/>
                <w:szCs w:val="24"/>
                <w:vertAlign w:val="superscript"/>
              </w:rPr>
              <w:t>§</w:t>
            </w:r>
          </w:p>
        </w:tc>
        <w:tc>
          <w:tcPr>
            <w:tcW w:w="990" w:type="dxa"/>
            <w:vAlign w:val="center"/>
          </w:tcPr>
          <w:p w14:paraId="316FE1A8" w14:textId="598B540A" w:rsidR="002168AA" w:rsidRPr="00025479" w:rsidRDefault="00400658" w:rsidP="00C31891">
            <w:pPr>
              <w:jc w:val="center"/>
              <w:rPr>
                <w:sz w:val="24"/>
                <w:szCs w:val="24"/>
              </w:rPr>
            </w:pPr>
            <w:r>
              <w:rPr>
                <w:sz w:val="24"/>
                <w:szCs w:val="24"/>
              </w:rPr>
              <w:t>--</w:t>
            </w:r>
          </w:p>
        </w:tc>
        <w:tc>
          <w:tcPr>
            <w:tcW w:w="1075" w:type="dxa"/>
            <w:vAlign w:val="center"/>
          </w:tcPr>
          <w:p w14:paraId="2C30C7D8" w14:textId="63ACF580" w:rsidR="002168AA" w:rsidRPr="00025479" w:rsidRDefault="006C42C5" w:rsidP="00C31891">
            <w:pPr>
              <w:jc w:val="center"/>
              <w:rPr>
                <w:sz w:val="24"/>
                <w:szCs w:val="24"/>
              </w:rPr>
            </w:pPr>
            <w:r>
              <w:rPr>
                <w:sz w:val="24"/>
                <w:szCs w:val="24"/>
              </w:rPr>
              <w:t>--</w:t>
            </w:r>
          </w:p>
        </w:tc>
      </w:tr>
      <w:tr w:rsidR="008D0F8B" w14:paraId="12DCE7E3" w14:textId="77777777" w:rsidTr="008D0F8B">
        <w:tc>
          <w:tcPr>
            <w:tcW w:w="9350" w:type="dxa"/>
            <w:gridSpan w:val="5"/>
            <w:shd w:val="clear" w:color="auto" w:fill="D9D9D9" w:themeFill="background1" w:themeFillShade="D9"/>
          </w:tcPr>
          <w:p w14:paraId="39BFEC66" w14:textId="6BCC359B" w:rsidR="008D0F8B" w:rsidRPr="008D0F8B" w:rsidRDefault="008D0F8B" w:rsidP="008D0F8B">
            <w:pPr>
              <w:rPr>
                <w:b/>
                <w:bCs/>
                <w:sz w:val="24"/>
                <w:szCs w:val="24"/>
              </w:rPr>
            </w:pPr>
            <w:r>
              <w:rPr>
                <w:b/>
                <w:bCs/>
                <w:sz w:val="24"/>
                <w:szCs w:val="24"/>
              </w:rPr>
              <w:t>Objectives on Examination of Immigrants and Refugees</w:t>
            </w:r>
            <w:r w:rsidR="00B23A67">
              <w:rPr>
                <w:b/>
                <w:bCs/>
                <w:sz w:val="24"/>
                <w:szCs w:val="24"/>
              </w:rPr>
              <w:t xml:space="preserve"> (%)</w:t>
            </w:r>
          </w:p>
        </w:tc>
      </w:tr>
      <w:tr w:rsidR="002168AA" w14:paraId="26A38E61" w14:textId="77777777" w:rsidTr="00025479">
        <w:tc>
          <w:tcPr>
            <w:tcW w:w="4945" w:type="dxa"/>
          </w:tcPr>
          <w:p w14:paraId="6A12FCEE" w14:textId="70E9FD3F" w:rsidR="002168AA" w:rsidRDefault="008D0F8B" w:rsidP="00C31891">
            <w:pPr>
              <w:rPr>
                <w:sz w:val="24"/>
                <w:szCs w:val="24"/>
              </w:rPr>
            </w:pPr>
            <w:r>
              <w:rPr>
                <w:sz w:val="24"/>
                <w:szCs w:val="24"/>
              </w:rPr>
              <w:t>Examination Initiation</w:t>
            </w:r>
          </w:p>
        </w:tc>
        <w:tc>
          <w:tcPr>
            <w:tcW w:w="1260" w:type="dxa"/>
            <w:vAlign w:val="center"/>
          </w:tcPr>
          <w:p w14:paraId="757E2AAC" w14:textId="0EF1E02A" w:rsidR="002168AA" w:rsidRDefault="008D0F8B" w:rsidP="00C31891">
            <w:pPr>
              <w:jc w:val="center"/>
              <w:rPr>
                <w:sz w:val="24"/>
                <w:szCs w:val="24"/>
              </w:rPr>
            </w:pPr>
            <w:r>
              <w:rPr>
                <w:sz w:val="24"/>
                <w:szCs w:val="24"/>
              </w:rPr>
              <w:t>72.0</w:t>
            </w:r>
          </w:p>
        </w:tc>
        <w:tc>
          <w:tcPr>
            <w:tcW w:w="1080" w:type="dxa"/>
            <w:vAlign w:val="center"/>
          </w:tcPr>
          <w:p w14:paraId="0437FE20" w14:textId="2D53C4D6" w:rsidR="002168AA" w:rsidRPr="00AE6B24" w:rsidRDefault="008D0F8B" w:rsidP="00C31891">
            <w:pPr>
              <w:jc w:val="center"/>
              <w:rPr>
                <w:sz w:val="24"/>
                <w:szCs w:val="24"/>
                <w:vertAlign w:val="superscript"/>
              </w:rPr>
            </w:pPr>
            <w:r>
              <w:rPr>
                <w:sz w:val="24"/>
                <w:szCs w:val="24"/>
              </w:rPr>
              <w:t>56.0</w:t>
            </w:r>
            <w:r w:rsidR="00AE6B24">
              <w:rPr>
                <w:sz w:val="24"/>
                <w:szCs w:val="24"/>
                <w:vertAlign w:val="superscript"/>
              </w:rPr>
              <w:t>*</w:t>
            </w:r>
          </w:p>
        </w:tc>
        <w:tc>
          <w:tcPr>
            <w:tcW w:w="990" w:type="dxa"/>
            <w:vAlign w:val="center"/>
          </w:tcPr>
          <w:p w14:paraId="731CCBFE" w14:textId="0BC9608E" w:rsidR="002168AA" w:rsidRPr="00AE6B24" w:rsidRDefault="00400658" w:rsidP="00C31891">
            <w:pPr>
              <w:jc w:val="center"/>
              <w:rPr>
                <w:sz w:val="24"/>
                <w:szCs w:val="24"/>
                <w:vertAlign w:val="superscript"/>
              </w:rPr>
            </w:pPr>
            <w:r>
              <w:rPr>
                <w:sz w:val="24"/>
                <w:szCs w:val="24"/>
              </w:rPr>
              <w:t>78.6</w:t>
            </w:r>
            <w:r w:rsidR="00AE6B24">
              <w:rPr>
                <w:sz w:val="24"/>
                <w:szCs w:val="24"/>
                <w:vertAlign w:val="superscript"/>
              </w:rPr>
              <w:t>*</w:t>
            </w:r>
            <w:r w:rsidR="006C42C5">
              <w:rPr>
                <w:rFonts w:cstheme="minorHAnsi"/>
                <w:sz w:val="24"/>
                <w:szCs w:val="24"/>
                <w:vertAlign w:val="superscript"/>
              </w:rPr>
              <w:t>§</w:t>
            </w:r>
          </w:p>
        </w:tc>
        <w:tc>
          <w:tcPr>
            <w:tcW w:w="1075" w:type="dxa"/>
            <w:vAlign w:val="center"/>
          </w:tcPr>
          <w:p w14:paraId="32CABC38" w14:textId="1EAFBE58" w:rsidR="002168AA" w:rsidRPr="006C42C5" w:rsidRDefault="006C42C5" w:rsidP="00C31891">
            <w:pPr>
              <w:jc w:val="center"/>
              <w:rPr>
                <w:sz w:val="24"/>
                <w:szCs w:val="24"/>
                <w:vertAlign w:val="superscript"/>
              </w:rPr>
            </w:pPr>
            <w:r>
              <w:rPr>
                <w:sz w:val="24"/>
                <w:szCs w:val="24"/>
              </w:rPr>
              <w:t>31.2</w:t>
            </w:r>
            <w:r>
              <w:rPr>
                <w:sz w:val="24"/>
                <w:szCs w:val="24"/>
                <w:vertAlign w:val="superscript"/>
              </w:rPr>
              <w:t>*</w:t>
            </w:r>
            <w:r w:rsidR="00013402">
              <w:rPr>
                <w:rFonts w:cstheme="minorHAnsi"/>
                <w:sz w:val="24"/>
                <w:szCs w:val="24"/>
                <w:vertAlign w:val="superscript"/>
              </w:rPr>
              <w:t>§</w:t>
            </w:r>
          </w:p>
        </w:tc>
      </w:tr>
      <w:tr w:rsidR="008D0F8B" w14:paraId="56558567" w14:textId="77777777" w:rsidTr="00025479">
        <w:tc>
          <w:tcPr>
            <w:tcW w:w="4945" w:type="dxa"/>
          </w:tcPr>
          <w:p w14:paraId="3EC97666" w14:textId="5A58C74B" w:rsidR="008D0F8B" w:rsidRDefault="008D0F8B" w:rsidP="00C31891">
            <w:pPr>
              <w:rPr>
                <w:sz w:val="24"/>
                <w:szCs w:val="24"/>
              </w:rPr>
            </w:pPr>
            <w:r>
              <w:rPr>
                <w:sz w:val="24"/>
                <w:szCs w:val="24"/>
              </w:rPr>
              <w:t>Examination Completion</w:t>
            </w:r>
          </w:p>
        </w:tc>
        <w:tc>
          <w:tcPr>
            <w:tcW w:w="1260" w:type="dxa"/>
            <w:vAlign w:val="center"/>
          </w:tcPr>
          <w:p w14:paraId="51CFF474" w14:textId="70316D61" w:rsidR="008D0F8B" w:rsidRDefault="008D0F8B" w:rsidP="00C31891">
            <w:pPr>
              <w:jc w:val="center"/>
              <w:rPr>
                <w:sz w:val="24"/>
                <w:szCs w:val="24"/>
              </w:rPr>
            </w:pPr>
            <w:r>
              <w:rPr>
                <w:sz w:val="24"/>
                <w:szCs w:val="24"/>
              </w:rPr>
              <w:t>78.0</w:t>
            </w:r>
          </w:p>
        </w:tc>
        <w:tc>
          <w:tcPr>
            <w:tcW w:w="1080" w:type="dxa"/>
            <w:vAlign w:val="center"/>
          </w:tcPr>
          <w:p w14:paraId="31E1F855" w14:textId="01B323DB" w:rsidR="008D0F8B" w:rsidRPr="00AE6B24" w:rsidRDefault="008D0F8B" w:rsidP="00C31891">
            <w:pPr>
              <w:jc w:val="center"/>
              <w:rPr>
                <w:sz w:val="24"/>
                <w:szCs w:val="24"/>
                <w:vertAlign w:val="superscript"/>
              </w:rPr>
            </w:pPr>
            <w:r>
              <w:rPr>
                <w:sz w:val="24"/>
                <w:szCs w:val="24"/>
              </w:rPr>
              <w:t>56.0</w:t>
            </w:r>
            <w:r w:rsidR="00AE6B24">
              <w:rPr>
                <w:sz w:val="24"/>
                <w:szCs w:val="24"/>
                <w:vertAlign w:val="superscript"/>
              </w:rPr>
              <w:t>*</w:t>
            </w:r>
          </w:p>
        </w:tc>
        <w:tc>
          <w:tcPr>
            <w:tcW w:w="990" w:type="dxa"/>
            <w:vAlign w:val="center"/>
          </w:tcPr>
          <w:p w14:paraId="4500A7D3" w14:textId="4789EBFF" w:rsidR="008D0F8B" w:rsidRPr="00AE6B24" w:rsidRDefault="006C42C5" w:rsidP="00C31891">
            <w:pPr>
              <w:jc w:val="center"/>
              <w:rPr>
                <w:sz w:val="24"/>
                <w:szCs w:val="24"/>
                <w:vertAlign w:val="superscript"/>
              </w:rPr>
            </w:pPr>
            <w:r>
              <w:rPr>
                <w:sz w:val="24"/>
                <w:szCs w:val="24"/>
              </w:rPr>
              <w:t>50.0</w:t>
            </w:r>
            <w:r w:rsidR="00AE6B24">
              <w:rPr>
                <w:sz w:val="24"/>
                <w:szCs w:val="24"/>
                <w:vertAlign w:val="superscript"/>
              </w:rPr>
              <w:t>*</w:t>
            </w:r>
            <w:r>
              <w:rPr>
                <w:rFonts w:cstheme="minorHAnsi"/>
                <w:sz w:val="24"/>
                <w:szCs w:val="24"/>
                <w:vertAlign w:val="superscript"/>
              </w:rPr>
              <w:t>§</w:t>
            </w:r>
          </w:p>
        </w:tc>
        <w:tc>
          <w:tcPr>
            <w:tcW w:w="1075" w:type="dxa"/>
            <w:vAlign w:val="center"/>
          </w:tcPr>
          <w:p w14:paraId="4533266A" w14:textId="61E80FB7" w:rsidR="008D0F8B" w:rsidRPr="006C42C5" w:rsidRDefault="006C42C5" w:rsidP="00C31891">
            <w:pPr>
              <w:jc w:val="center"/>
              <w:rPr>
                <w:sz w:val="24"/>
                <w:szCs w:val="24"/>
                <w:vertAlign w:val="superscript"/>
              </w:rPr>
            </w:pPr>
            <w:r>
              <w:rPr>
                <w:sz w:val="24"/>
                <w:szCs w:val="24"/>
              </w:rPr>
              <w:t>25.0</w:t>
            </w:r>
            <w:r>
              <w:rPr>
                <w:sz w:val="24"/>
                <w:szCs w:val="24"/>
                <w:vertAlign w:val="superscript"/>
              </w:rPr>
              <w:t>*</w:t>
            </w:r>
            <w:r w:rsidR="00013402">
              <w:rPr>
                <w:rFonts w:cstheme="minorHAnsi"/>
                <w:sz w:val="24"/>
                <w:szCs w:val="24"/>
                <w:vertAlign w:val="superscript"/>
              </w:rPr>
              <w:t>§</w:t>
            </w:r>
          </w:p>
        </w:tc>
      </w:tr>
      <w:tr w:rsidR="008D0F8B" w14:paraId="2153C634" w14:textId="77777777" w:rsidTr="00025479">
        <w:tc>
          <w:tcPr>
            <w:tcW w:w="4945" w:type="dxa"/>
          </w:tcPr>
          <w:p w14:paraId="0DCE9951" w14:textId="1C90546B" w:rsidR="008D0F8B" w:rsidRDefault="008D0F8B" w:rsidP="00C31891">
            <w:pPr>
              <w:rPr>
                <w:sz w:val="24"/>
                <w:szCs w:val="24"/>
              </w:rPr>
            </w:pPr>
            <w:r>
              <w:rPr>
                <w:sz w:val="24"/>
                <w:szCs w:val="24"/>
              </w:rPr>
              <w:t>LTBI Treatment Initiation</w:t>
            </w:r>
          </w:p>
        </w:tc>
        <w:tc>
          <w:tcPr>
            <w:tcW w:w="1260" w:type="dxa"/>
            <w:vAlign w:val="center"/>
          </w:tcPr>
          <w:p w14:paraId="49DC82D4" w14:textId="333E03AF" w:rsidR="008D0F8B" w:rsidRDefault="008D0F8B" w:rsidP="00C31891">
            <w:pPr>
              <w:jc w:val="center"/>
              <w:rPr>
                <w:sz w:val="24"/>
                <w:szCs w:val="24"/>
              </w:rPr>
            </w:pPr>
            <w:r>
              <w:rPr>
                <w:sz w:val="24"/>
                <w:szCs w:val="24"/>
              </w:rPr>
              <w:t>87.0</w:t>
            </w:r>
          </w:p>
        </w:tc>
        <w:tc>
          <w:tcPr>
            <w:tcW w:w="1080" w:type="dxa"/>
            <w:vAlign w:val="center"/>
          </w:tcPr>
          <w:p w14:paraId="2B93E705" w14:textId="5073416E" w:rsidR="008D0F8B" w:rsidRPr="00AE6B24" w:rsidRDefault="008D0F8B" w:rsidP="00C31891">
            <w:pPr>
              <w:jc w:val="center"/>
              <w:rPr>
                <w:sz w:val="24"/>
                <w:szCs w:val="24"/>
                <w:vertAlign w:val="superscript"/>
              </w:rPr>
            </w:pPr>
            <w:r>
              <w:rPr>
                <w:sz w:val="24"/>
                <w:szCs w:val="24"/>
              </w:rPr>
              <w:t>50.0</w:t>
            </w:r>
            <w:r w:rsidR="00AE6B24">
              <w:rPr>
                <w:sz w:val="24"/>
                <w:szCs w:val="24"/>
                <w:vertAlign w:val="superscript"/>
              </w:rPr>
              <w:t>*</w:t>
            </w:r>
          </w:p>
        </w:tc>
        <w:tc>
          <w:tcPr>
            <w:tcW w:w="990" w:type="dxa"/>
            <w:vAlign w:val="center"/>
          </w:tcPr>
          <w:p w14:paraId="641262C9" w14:textId="112F6943" w:rsidR="008D0F8B" w:rsidRPr="00AE6B24" w:rsidRDefault="00400658" w:rsidP="00C31891">
            <w:pPr>
              <w:jc w:val="center"/>
              <w:rPr>
                <w:sz w:val="24"/>
                <w:szCs w:val="24"/>
                <w:vertAlign w:val="superscript"/>
              </w:rPr>
            </w:pPr>
            <w:r>
              <w:rPr>
                <w:sz w:val="24"/>
                <w:szCs w:val="24"/>
              </w:rPr>
              <w:t>0.0</w:t>
            </w:r>
            <w:r w:rsidR="00AE6B24">
              <w:rPr>
                <w:sz w:val="24"/>
                <w:szCs w:val="24"/>
                <w:vertAlign w:val="superscript"/>
              </w:rPr>
              <w:t>*</w:t>
            </w:r>
            <w:r w:rsidR="006C42C5">
              <w:rPr>
                <w:rFonts w:cstheme="minorHAnsi"/>
                <w:sz w:val="24"/>
                <w:szCs w:val="24"/>
                <w:vertAlign w:val="superscript"/>
              </w:rPr>
              <w:t>§</w:t>
            </w:r>
          </w:p>
        </w:tc>
        <w:tc>
          <w:tcPr>
            <w:tcW w:w="1075" w:type="dxa"/>
            <w:vAlign w:val="center"/>
          </w:tcPr>
          <w:p w14:paraId="3064AD29" w14:textId="2B19A70F" w:rsidR="008D0F8B" w:rsidRPr="00025479" w:rsidRDefault="006C42C5" w:rsidP="00C31891">
            <w:pPr>
              <w:jc w:val="center"/>
              <w:rPr>
                <w:sz w:val="24"/>
                <w:szCs w:val="24"/>
              </w:rPr>
            </w:pPr>
            <w:r>
              <w:rPr>
                <w:sz w:val="24"/>
                <w:szCs w:val="24"/>
              </w:rPr>
              <w:t>--</w:t>
            </w:r>
          </w:p>
        </w:tc>
      </w:tr>
      <w:tr w:rsidR="008D0F8B" w14:paraId="5FA88288" w14:textId="77777777" w:rsidTr="00025479">
        <w:tc>
          <w:tcPr>
            <w:tcW w:w="4945" w:type="dxa"/>
          </w:tcPr>
          <w:p w14:paraId="193B90CF" w14:textId="0C2BDEFE" w:rsidR="008D0F8B" w:rsidRDefault="008D0F8B" w:rsidP="00C31891">
            <w:pPr>
              <w:rPr>
                <w:sz w:val="24"/>
                <w:szCs w:val="24"/>
              </w:rPr>
            </w:pPr>
            <w:r>
              <w:rPr>
                <w:sz w:val="24"/>
                <w:szCs w:val="24"/>
              </w:rPr>
              <w:t>LTBI Treatment Completion</w:t>
            </w:r>
          </w:p>
        </w:tc>
        <w:tc>
          <w:tcPr>
            <w:tcW w:w="1260" w:type="dxa"/>
            <w:vAlign w:val="center"/>
          </w:tcPr>
          <w:p w14:paraId="1D2F26A6" w14:textId="6D201FEC" w:rsidR="008D0F8B" w:rsidRDefault="008D0F8B" w:rsidP="008D0F8B">
            <w:pPr>
              <w:jc w:val="center"/>
              <w:rPr>
                <w:sz w:val="24"/>
                <w:szCs w:val="24"/>
              </w:rPr>
            </w:pPr>
            <w:r>
              <w:rPr>
                <w:sz w:val="24"/>
                <w:szCs w:val="24"/>
              </w:rPr>
              <w:t>87.0</w:t>
            </w:r>
          </w:p>
        </w:tc>
        <w:tc>
          <w:tcPr>
            <w:tcW w:w="1080" w:type="dxa"/>
            <w:vAlign w:val="center"/>
          </w:tcPr>
          <w:p w14:paraId="34EA72CA" w14:textId="683B6798" w:rsidR="008D0F8B" w:rsidRDefault="008D0F8B" w:rsidP="00C31891">
            <w:pPr>
              <w:jc w:val="center"/>
              <w:rPr>
                <w:sz w:val="24"/>
                <w:szCs w:val="24"/>
              </w:rPr>
            </w:pPr>
            <w:r>
              <w:rPr>
                <w:sz w:val="24"/>
                <w:szCs w:val="24"/>
              </w:rPr>
              <w:t>100</w:t>
            </w:r>
          </w:p>
        </w:tc>
        <w:tc>
          <w:tcPr>
            <w:tcW w:w="990" w:type="dxa"/>
            <w:vAlign w:val="center"/>
          </w:tcPr>
          <w:p w14:paraId="214289F9" w14:textId="32F053EA" w:rsidR="008D0F8B" w:rsidRPr="00025479" w:rsidRDefault="00400658" w:rsidP="00C31891">
            <w:pPr>
              <w:jc w:val="center"/>
              <w:rPr>
                <w:sz w:val="24"/>
                <w:szCs w:val="24"/>
              </w:rPr>
            </w:pPr>
            <w:r>
              <w:rPr>
                <w:sz w:val="24"/>
                <w:szCs w:val="24"/>
              </w:rPr>
              <w:t>--</w:t>
            </w:r>
          </w:p>
        </w:tc>
        <w:tc>
          <w:tcPr>
            <w:tcW w:w="1075" w:type="dxa"/>
            <w:vAlign w:val="center"/>
          </w:tcPr>
          <w:p w14:paraId="10B3E017" w14:textId="0BD0728B" w:rsidR="008D0F8B" w:rsidRPr="00025479" w:rsidRDefault="006C42C5" w:rsidP="00C31891">
            <w:pPr>
              <w:jc w:val="center"/>
              <w:rPr>
                <w:sz w:val="24"/>
                <w:szCs w:val="24"/>
              </w:rPr>
            </w:pPr>
            <w:r>
              <w:rPr>
                <w:sz w:val="24"/>
                <w:szCs w:val="24"/>
              </w:rPr>
              <w:t>--</w:t>
            </w:r>
          </w:p>
        </w:tc>
      </w:tr>
      <w:tr w:rsidR="008D0F8B" w14:paraId="3B13F6C4" w14:textId="77777777" w:rsidTr="008D0F8B">
        <w:tc>
          <w:tcPr>
            <w:tcW w:w="9350" w:type="dxa"/>
            <w:gridSpan w:val="5"/>
            <w:shd w:val="clear" w:color="auto" w:fill="D9D9D9" w:themeFill="background1" w:themeFillShade="D9"/>
            <w:vAlign w:val="center"/>
          </w:tcPr>
          <w:p w14:paraId="05AC3904" w14:textId="6A71A6BE" w:rsidR="008D0F8B" w:rsidRPr="008D0F8B" w:rsidRDefault="008D0F8B" w:rsidP="008D0F8B">
            <w:pPr>
              <w:rPr>
                <w:b/>
                <w:bCs/>
                <w:sz w:val="24"/>
                <w:szCs w:val="24"/>
              </w:rPr>
            </w:pPr>
            <w:r w:rsidRPr="008D0F8B">
              <w:rPr>
                <w:b/>
                <w:bCs/>
                <w:sz w:val="24"/>
                <w:szCs w:val="24"/>
              </w:rPr>
              <w:t xml:space="preserve">Indicators for Date Reporting </w:t>
            </w:r>
            <w:r w:rsidR="00B23A67">
              <w:rPr>
                <w:b/>
                <w:bCs/>
                <w:sz w:val="24"/>
                <w:szCs w:val="24"/>
              </w:rPr>
              <w:t>(%)</w:t>
            </w:r>
          </w:p>
        </w:tc>
      </w:tr>
      <w:tr w:rsidR="008D0F8B" w14:paraId="5FADED08" w14:textId="77777777" w:rsidTr="00025479">
        <w:tc>
          <w:tcPr>
            <w:tcW w:w="4945" w:type="dxa"/>
          </w:tcPr>
          <w:p w14:paraId="318F372D" w14:textId="182D1F34" w:rsidR="008D0F8B" w:rsidRDefault="008D0F8B" w:rsidP="00C31891">
            <w:pPr>
              <w:rPr>
                <w:sz w:val="24"/>
                <w:szCs w:val="24"/>
              </w:rPr>
            </w:pPr>
            <w:r>
              <w:rPr>
                <w:sz w:val="24"/>
                <w:szCs w:val="24"/>
              </w:rPr>
              <w:t>RVCT</w:t>
            </w:r>
          </w:p>
        </w:tc>
        <w:tc>
          <w:tcPr>
            <w:tcW w:w="1260" w:type="dxa"/>
            <w:vAlign w:val="center"/>
          </w:tcPr>
          <w:p w14:paraId="5E448B18" w14:textId="0475884A" w:rsidR="008D0F8B" w:rsidRDefault="008D0F8B" w:rsidP="00C31891">
            <w:pPr>
              <w:jc w:val="center"/>
              <w:rPr>
                <w:sz w:val="24"/>
                <w:szCs w:val="24"/>
              </w:rPr>
            </w:pPr>
            <w:r>
              <w:rPr>
                <w:sz w:val="24"/>
                <w:szCs w:val="24"/>
              </w:rPr>
              <w:t>100</w:t>
            </w:r>
          </w:p>
        </w:tc>
        <w:tc>
          <w:tcPr>
            <w:tcW w:w="1080" w:type="dxa"/>
            <w:vAlign w:val="center"/>
          </w:tcPr>
          <w:p w14:paraId="0698F815" w14:textId="7FDADE01" w:rsidR="008D0F8B" w:rsidRPr="00AE6B24" w:rsidRDefault="006C42C5" w:rsidP="00C31891">
            <w:pPr>
              <w:jc w:val="center"/>
              <w:rPr>
                <w:sz w:val="24"/>
                <w:szCs w:val="24"/>
                <w:vertAlign w:val="superscript"/>
              </w:rPr>
            </w:pPr>
            <w:r>
              <w:rPr>
                <w:sz w:val="24"/>
                <w:szCs w:val="24"/>
              </w:rPr>
              <w:t>96.</w:t>
            </w:r>
            <w:r w:rsidR="002146F4">
              <w:rPr>
                <w:sz w:val="24"/>
                <w:szCs w:val="24"/>
              </w:rPr>
              <w:t>6</w:t>
            </w:r>
            <w:r w:rsidR="00AE6B24">
              <w:rPr>
                <w:sz w:val="24"/>
                <w:szCs w:val="24"/>
                <w:vertAlign w:val="superscript"/>
              </w:rPr>
              <w:t>*</w:t>
            </w:r>
            <w:r w:rsidR="00AE6B24">
              <w:rPr>
                <w:rFonts w:cstheme="minorHAnsi"/>
                <w:sz w:val="24"/>
                <w:szCs w:val="24"/>
                <w:vertAlign w:val="superscript"/>
              </w:rPr>
              <w:t>§</w:t>
            </w:r>
          </w:p>
        </w:tc>
        <w:tc>
          <w:tcPr>
            <w:tcW w:w="990" w:type="dxa"/>
            <w:vAlign w:val="center"/>
          </w:tcPr>
          <w:p w14:paraId="3571E15F" w14:textId="3B8A034D" w:rsidR="008D0F8B" w:rsidRPr="00AE6B24" w:rsidRDefault="006C42C5" w:rsidP="00C31891">
            <w:pPr>
              <w:jc w:val="center"/>
              <w:rPr>
                <w:sz w:val="24"/>
                <w:szCs w:val="24"/>
                <w:vertAlign w:val="superscript"/>
              </w:rPr>
            </w:pPr>
            <w:r>
              <w:rPr>
                <w:sz w:val="24"/>
                <w:szCs w:val="24"/>
              </w:rPr>
              <w:t>89.1</w:t>
            </w:r>
            <w:r w:rsidR="00AE6B24">
              <w:rPr>
                <w:rFonts w:cstheme="minorHAnsi"/>
                <w:sz w:val="24"/>
                <w:szCs w:val="24"/>
                <w:vertAlign w:val="superscript"/>
              </w:rPr>
              <w:t>§</w:t>
            </w:r>
          </w:p>
        </w:tc>
        <w:tc>
          <w:tcPr>
            <w:tcW w:w="1075" w:type="dxa"/>
            <w:vAlign w:val="center"/>
          </w:tcPr>
          <w:p w14:paraId="6CDFC5A3" w14:textId="78721574" w:rsidR="008D0F8B" w:rsidRPr="006C42C5" w:rsidRDefault="002146F4" w:rsidP="00C31891">
            <w:pPr>
              <w:jc w:val="center"/>
              <w:rPr>
                <w:sz w:val="24"/>
                <w:szCs w:val="24"/>
                <w:vertAlign w:val="superscript"/>
              </w:rPr>
            </w:pPr>
            <w:r>
              <w:rPr>
                <w:sz w:val="24"/>
                <w:szCs w:val="24"/>
              </w:rPr>
              <w:t>81.5</w:t>
            </w:r>
            <w:r w:rsidR="006C42C5">
              <w:rPr>
                <w:sz w:val="24"/>
                <w:szCs w:val="24"/>
                <w:vertAlign w:val="superscript"/>
              </w:rPr>
              <w:t>*</w:t>
            </w:r>
            <w:r w:rsidR="006C42C5">
              <w:rPr>
                <w:rFonts w:cstheme="minorHAnsi"/>
                <w:sz w:val="24"/>
                <w:szCs w:val="24"/>
                <w:vertAlign w:val="superscript"/>
              </w:rPr>
              <w:t>§</w:t>
            </w:r>
          </w:p>
        </w:tc>
      </w:tr>
      <w:tr w:rsidR="008D0F8B" w14:paraId="2588B1AC" w14:textId="77777777" w:rsidTr="00025479">
        <w:tc>
          <w:tcPr>
            <w:tcW w:w="4945" w:type="dxa"/>
          </w:tcPr>
          <w:p w14:paraId="1E6782D0" w14:textId="38A3AD3F" w:rsidR="008D0F8B" w:rsidRDefault="008D0F8B" w:rsidP="00C31891">
            <w:pPr>
              <w:rPr>
                <w:sz w:val="24"/>
                <w:szCs w:val="24"/>
              </w:rPr>
            </w:pPr>
            <w:r>
              <w:rPr>
                <w:sz w:val="24"/>
                <w:szCs w:val="24"/>
              </w:rPr>
              <w:t>ARPE</w:t>
            </w:r>
          </w:p>
        </w:tc>
        <w:tc>
          <w:tcPr>
            <w:tcW w:w="1260" w:type="dxa"/>
            <w:vAlign w:val="center"/>
          </w:tcPr>
          <w:p w14:paraId="04121B71" w14:textId="2BFA338F" w:rsidR="008D0F8B" w:rsidRDefault="008D0F8B" w:rsidP="00C31891">
            <w:pPr>
              <w:jc w:val="center"/>
              <w:rPr>
                <w:sz w:val="24"/>
                <w:szCs w:val="24"/>
              </w:rPr>
            </w:pPr>
            <w:r>
              <w:rPr>
                <w:sz w:val="24"/>
                <w:szCs w:val="24"/>
              </w:rPr>
              <w:t>100</w:t>
            </w:r>
          </w:p>
        </w:tc>
        <w:tc>
          <w:tcPr>
            <w:tcW w:w="1080" w:type="dxa"/>
            <w:vAlign w:val="center"/>
          </w:tcPr>
          <w:p w14:paraId="45B3622B" w14:textId="0823F06E" w:rsidR="008D0F8B" w:rsidRPr="00AE6B24" w:rsidRDefault="008D0F8B" w:rsidP="00C31891">
            <w:pPr>
              <w:jc w:val="center"/>
              <w:rPr>
                <w:sz w:val="24"/>
                <w:szCs w:val="24"/>
                <w:vertAlign w:val="superscript"/>
              </w:rPr>
            </w:pPr>
            <w:r>
              <w:rPr>
                <w:sz w:val="24"/>
                <w:szCs w:val="24"/>
              </w:rPr>
              <w:t>88.9</w:t>
            </w:r>
            <w:r w:rsidR="00AE6B24">
              <w:rPr>
                <w:sz w:val="24"/>
                <w:szCs w:val="24"/>
                <w:vertAlign w:val="superscript"/>
              </w:rPr>
              <w:t>*</w:t>
            </w:r>
            <w:r w:rsidR="00AE6B24">
              <w:rPr>
                <w:rFonts w:cstheme="minorHAnsi"/>
                <w:sz w:val="24"/>
                <w:szCs w:val="24"/>
                <w:vertAlign w:val="superscript"/>
              </w:rPr>
              <w:t>§</w:t>
            </w:r>
          </w:p>
        </w:tc>
        <w:tc>
          <w:tcPr>
            <w:tcW w:w="990" w:type="dxa"/>
            <w:vAlign w:val="center"/>
          </w:tcPr>
          <w:p w14:paraId="0DC9D43B" w14:textId="13936AA5" w:rsidR="008D0F8B" w:rsidRPr="00025479" w:rsidRDefault="00400658" w:rsidP="00C31891">
            <w:pPr>
              <w:jc w:val="center"/>
              <w:rPr>
                <w:sz w:val="24"/>
                <w:szCs w:val="24"/>
              </w:rPr>
            </w:pPr>
            <w:r>
              <w:rPr>
                <w:sz w:val="24"/>
                <w:szCs w:val="24"/>
              </w:rPr>
              <w:t>--</w:t>
            </w:r>
          </w:p>
        </w:tc>
        <w:tc>
          <w:tcPr>
            <w:tcW w:w="1075" w:type="dxa"/>
            <w:vAlign w:val="center"/>
          </w:tcPr>
          <w:p w14:paraId="12DF8F49" w14:textId="424453FD" w:rsidR="008D0F8B" w:rsidRPr="00025479" w:rsidRDefault="006C42C5" w:rsidP="00C31891">
            <w:pPr>
              <w:jc w:val="center"/>
              <w:rPr>
                <w:sz w:val="24"/>
                <w:szCs w:val="24"/>
              </w:rPr>
            </w:pPr>
            <w:r>
              <w:rPr>
                <w:sz w:val="24"/>
                <w:szCs w:val="24"/>
              </w:rPr>
              <w:t>--</w:t>
            </w:r>
          </w:p>
        </w:tc>
      </w:tr>
      <w:tr w:rsidR="008D0F8B" w14:paraId="47AA4FFD" w14:textId="77777777" w:rsidTr="00025479">
        <w:tc>
          <w:tcPr>
            <w:tcW w:w="4945" w:type="dxa"/>
          </w:tcPr>
          <w:p w14:paraId="33FAD914" w14:textId="187258C7" w:rsidR="008D0F8B" w:rsidRDefault="008D0F8B" w:rsidP="00C31891">
            <w:pPr>
              <w:rPr>
                <w:sz w:val="24"/>
                <w:szCs w:val="24"/>
              </w:rPr>
            </w:pPr>
            <w:r>
              <w:rPr>
                <w:sz w:val="24"/>
                <w:szCs w:val="24"/>
              </w:rPr>
              <w:t>EDN</w:t>
            </w:r>
          </w:p>
        </w:tc>
        <w:tc>
          <w:tcPr>
            <w:tcW w:w="1260" w:type="dxa"/>
            <w:vAlign w:val="center"/>
          </w:tcPr>
          <w:p w14:paraId="3966B2D3" w14:textId="6DE452AD" w:rsidR="008D0F8B" w:rsidRDefault="008D0F8B" w:rsidP="00C31891">
            <w:pPr>
              <w:jc w:val="center"/>
              <w:rPr>
                <w:sz w:val="24"/>
                <w:szCs w:val="24"/>
              </w:rPr>
            </w:pPr>
            <w:r>
              <w:rPr>
                <w:sz w:val="24"/>
                <w:szCs w:val="24"/>
              </w:rPr>
              <w:t>93.0</w:t>
            </w:r>
          </w:p>
        </w:tc>
        <w:tc>
          <w:tcPr>
            <w:tcW w:w="1080" w:type="dxa"/>
            <w:vAlign w:val="center"/>
          </w:tcPr>
          <w:p w14:paraId="33E72B55" w14:textId="0959D0C4" w:rsidR="008D0F8B" w:rsidRPr="00AE6B24" w:rsidRDefault="006C42C5" w:rsidP="00C31891">
            <w:pPr>
              <w:jc w:val="center"/>
              <w:rPr>
                <w:sz w:val="24"/>
                <w:szCs w:val="24"/>
                <w:vertAlign w:val="superscript"/>
              </w:rPr>
            </w:pPr>
            <w:r>
              <w:rPr>
                <w:sz w:val="24"/>
                <w:szCs w:val="24"/>
              </w:rPr>
              <w:t>75.1</w:t>
            </w:r>
            <w:r w:rsidR="00AE6B24">
              <w:rPr>
                <w:sz w:val="24"/>
                <w:szCs w:val="24"/>
                <w:vertAlign w:val="superscript"/>
              </w:rPr>
              <w:t>*</w:t>
            </w:r>
            <w:r w:rsidR="00AE6B24">
              <w:rPr>
                <w:rFonts w:cstheme="minorHAnsi"/>
                <w:sz w:val="24"/>
                <w:szCs w:val="24"/>
                <w:vertAlign w:val="superscript"/>
              </w:rPr>
              <w:t>§</w:t>
            </w:r>
          </w:p>
        </w:tc>
        <w:tc>
          <w:tcPr>
            <w:tcW w:w="990" w:type="dxa"/>
            <w:vAlign w:val="center"/>
          </w:tcPr>
          <w:p w14:paraId="46763E2F" w14:textId="35C8F558" w:rsidR="008D0F8B" w:rsidRPr="00AE6B24" w:rsidRDefault="006C42C5" w:rsidP="00C31891">
            <w:pPr>
              <w:jc w:val="center"/>
              <w:rPr>
                <w:sz w:val="24"/>
                <w:szCs w:val="24"/>
                <w:vertAlign w:val="superscript"/>
              </w:rPr>
            </w:pPr>
            <w:r>
              <w:rPr>
                <w:sz w:val="24"/>
                <w:szCs w:val="24"/>
              </w:rPr>
              <w:t>63.0</w:t>
            </w:r>
            <w:r w:rsidR="00AE6B24">
              <w:rPr>
                <w:sz w:val="24"/>
                <w:szCs w:val="24"/>
                <w:vertAlign w:val="superscript"/>
              </w:rPr>
              <w:t>*</w:t>
            </w:r>
            <w:r w:rsidR="00AE6B24">
              <w:rPr>
                <w:rFonts w:cstheme="minorHAnsi"/>
                <w:sz w:val="24"/>
                <w:szCs w:val="24"/>
                <w:vertAlign w:val="superscript"/>
              </w:rPr>
              <w:t>§</w:t>
            </w:r>
          </w:p>
        </w:tc>
        <w:tc>
          <w:tcPr>
            <w:tcW w:w="1075" w:type="dxa"/>
            <w:vAlign w:val="center"/>
          </w:tcPr>
          <w:p w14:paraId="413C76E7" w14:textId="05C183EA" w:rsidR="008D0F8B" w:rsidRPr="006C42C5" w:rsidRDefault="006C42C5" w:rsidP="00C31891">
            <w:pPr>
              <w:jc w:val="center"/>
              <w:rPr>
                <w:sz w:val="24"/>
                <w:szCs w:val="24"/>
                <w:vertAlign w:val="superscript"/>
              </w:rPr>
            </w:pPr>
            <w:r>
              <w:rPr>
                <w:sz w:val="24"/>
                <w:szCs w:val="24"/>
              </w:rPr>
              <w:t>35.6</w:t>
            </w:r>
            <w:r>
              <w:rPr>
                <w:sz w:val="24"/>
                <w:szCs w:val="24"/>
                <w:vertAlign w:val="superscript"/>
              </w:rPr>
              <w:t>*</w:t>
            </w:r>
            <w:r>
              <w:rPr>
                <w:rFonts w:cstheme="minorHAnsi"/>
                <w:sz w:val="24"/>
                <w:szCs w:val="24"/>
                <w:vertAlign w:val="superscript"/>
              </w:rPr>
              <w:t>§</w:t>
            </w:r>
          </w:p>
        </w:tc>
      </w:tr>
    </w:tbl>
    <w:p w14:paraId="088D4FA9" w14:textId="77777777" w:rsidR="00025479" w:rsidRDefault="0034000E" w:rsidP="00C31891">
      <w:pPr>
        <w:spacing w:after="0" w:line="240" w:lineRule="auto"/>
        <w:rPr>
          <w:sz w:val="24"/>
          <w:szCs w:val="24"/>
        </w:rPr>
      </w:pPr>
      <w:r>
        <w:rPr>
          <w:sz w:val="24"/>
          <w:szCs w:val="24"/>
          <w:vertAlign w:val="superscript"/>
        </w:rPr>
        <w:t>*</w:t>
      </w:r>
      <w:r>
        <w:rPr>
          <w:sz w:val="24"/>
          <w:szCs w:val="24"/>
        </w:rPr>
        <w:t>Indicator not met</w:t>
      </w:r>
    </w:p>
    <w:p w14:paraId="7D382ED5" w14:textId="4B8B9CD8" w:rsidR="0034000E" w:rsidRPr="0034000E" w:rsidRDefault="0034000E" w:rsidP="00C31891">
      <w:pPr>
        <w:spacing w:after="0" w:line="240" w:lineRule="auto"/>
        <w:rPr>
          <w:sz w:val="24"/>
          <w:szCs w:val="24"/>
        </w:rPr>
        <w:sectPr w:rsidR="0034000E" w:rsidRPr="0034000E" w:rsidSect="00B90B15">
          <w:headerReference w:type="default" r:id="rId8"/>
          <w:footerReference w:type="default" r:id="rId9"/>
          <w:pgSz w:w="12240" w:h="15840"/>
          <w:pgMar w:top="1440" w:right="1440" w:bottom="1440" w:left="1440" w:header="720" w:footer="720" w:gutter="0"/>
          <w:cols w:space="720"/>
          <w:docGrid w:linePitch="360"/>
        </w:sectPr>
      </w:pPr>
      <w:r>
        <w:rPr>
          <w:rFonts w:cstheme="minorHAnsi"/>
          <w:sz w:val="24"/>
          <w:szCs w:val="24"/>
          <w:vertAlign w:val="superscript"/>
        </w:rPr>
        <w:t>§</w:t>
      </w:r>
      <w:r>
        <w:rPr>
          <w:sz w:val="24"/>
          <w:szCs w:val="24"/>
        </w:rPr>
        <w:t>Data are preliminary</w:t>
      </w:r>
    </w:p>
    <w:p w14:paraId="5227E23C" w14:textId="6BD07D2D" w:rsidR="00400658" w:rsidRPr="00D70CCD" w:rsidRDefault="00054B01" w:rsidP="003F5767">
      <w:pPr>
        <w:spacing w:after="0" w:line="240" w:lineRule="auto"/>
        <w:rPr>
          <w:b/>
          <w:bCs/>
          <w:sz w:val="24"/>
          <w:szCs w:val="24"/>
          <w:u w:val="single"/>
        </w:rPr>
      </w:pPr>
      <w:r w:rsidRPr="00D70CCD">
        <w:rPr>
          <w:b/>
          <w:bCs/>
          <w:sz w:val="24"/>
          <w:szCs w:val="24"/>
          <w:u w:val="single"/>
        </w:rPr>
        <w:lastRenderedPageBreak/>
        <w:t>Strategies/Activities/Accomplishments/Barriers</w:t>
      </w:r>
    </w:p>
    <w:p w14:paraId="1356B3D4" w14:textId="77777777" w:rsidR="003F5767" w:rsidRPr="003F5767" w:rsidRDefault="003F5767" w:rsidP="003F5767">
      <w:pPr>
        <w:spacing w:after="0" w:line="240" w:lineRule="auto"/>
        <w:rPr>
          <w:b/>
          <w:bCs/>
          <w:sz w:val="24"/>
          <w:szCs w:val="24"/>
          <w:u w:val="single"/>
        </w:rPr>
      </w:pPr>
    </w:p>
    <w:tbl>
      <w:tblPr>
        <w:tblStyle w:val="TableGrid"/>
        <w:tblW w:w="0" w:type="auto"/>
        <w:tblInd w:w="-5" w:type="dxa"/>
        <w:tblLook w:val="04A0" w:firstRow="1" w:lastRow="0" w:firstColumn="1" w:lastColumn="0" w:noHBand="0" w:noVBand="1"/>
      </w:tblPr>
      <w:tblGrid>
        <w:gridCol w:w="2970"/>
        <w:gridCol w:w="4243"/>
        <w:gridCol w:w="2974"/>
        <w:gridCol w:w="2768"/>
      </w:tblGrid>
      <w:tr w:rsidR="003F5767" w14:paraId="49634B7C" w14:textId="77777777" w:rsidTr="003F5767">
        <w:tc>
          <w:tcPr>
            <w:tcW w:w="12955" w:type="dxa"/>
            <w:gridSpan w:val="4"/>
            <w:shd w:val="clear" w:color="auto" w:fill="D9D9D9" w:themeFill="background1" w:themeFillShade="D9"/>
            <w:vAlign w:val="center"/>
          </w:tcPr>
          <w:p w14:paraId="54292452" w14:textId="4308C5AA" w:rsidR="003F5767" w:rsidRPr="00AB0BFE" w:rsidRDefault="003F5767" w:rsidP="00AB0BFE">
            <w:pPr>
              <w:rPr>
                <w:b/>
                <w:bCs/>
                <w:sz w:val="24"/>
                <w:szCs w:val="24"/>
              </w:rPr>
            </w:pPr>
            <w:r w:rsidRPr="00AB0BFE">
              <w:rPr>
                <w:b/>
                <w:bCs/>
                <w:sz w:val="24"/>
                <w:szCs w:val="24"/>
              </w:rPr>
              <w:t>Strategy/Activity: Diagnosis/treatment of persons with TB disease</w:t>
            </w:r>
          </w:p>
        </w:tc>
      </w:tr>
      <w:tr w:rsidR="003F5767" w14:paraId="3F859A81" w14:textId="77777777" w:rsidTr="00E874C9">
        <w:tc>
          <w:tcPr>
            <w:tcW w:w="2970" w:type="dxa"/>
            <w:shd w:val="clear" w:color="auto" w:fill="F2F2F2" w:themeFill="background1" w:themeFillShade="F2"/>
            <w:vAlign w:val="center"/>
          </w:tcPr>
          <w:p w14:paraId="61A5A293" w14:textId="698FB324" w:rsidR="006A1DDB" w:rsidRPr="006A1DDB" w:rsidRDefault="006A1DDB" w:rsidP="006A1DDB">
            <w:pPr>
              <w:pStyle w:val="ListParagraph"/>
              <w:ind w:left="0"/>
              <w:jc w:val="center"/>
              <w:rPr>
                <w:b/>
                <w:bCs/>
                <w:sz w:val="24"/>
                <w:szCs w:val="24"/>
              </w:rPr>
            </w:pPr>
            <w:bookmarkStart w:id="3" w:name="_Hlk75519529"/>
            <w:r>
              <w:rPr>
                <w:b/>
                <w:bCs/>
                <w:sz w:val="24"/>
                <w:szCs w:val="24"/>
              </w:rPr>
              <w:t>Short-Term Outcome</w:t>
            </w:r>
          </w:p>
        </w:tc>
        <w:tc>
          <w:tcPr>
            <w:tcW w:w="4243" w:type="dxa"/>
            <w:shd w:val="clear" w:color="auto" w:fill="F2F2F2" w:themeFill="background1" w:themeFillShade="F2"/>
            <w:vAlign w:val="center"/>
          </w:tcPr>
          <w:p w14:paraId="2A5ACF66" w14:textId="5463600E" w:rsidR="006A1DDB" w:rsidRPr="006A1DDB" w:rsidRDefault="006A1DDB" w:rsidP="006A1DDB">
            <w:pPr>
              <w:pStyle w:val="ListParagraph"/>
              <w:ind w:left="0"/>
              <w:jc w:val="center"/>
              <w:rPr>
                <w:b/>
                <w:bCs/>
                <w:sz w:val="24"/>
                <w:szCs w:val="24"/>
              </w:rPr>
            </w:pPr>
            <w:r>
              <w:rPr>
                <w:b/>
                <w:bCs/>
                <w:sz w:val="24"/>
                <w:szCs w:val="24"/>
              </w:rPr>
              <w:t>Planned Program Activities</w:t>
            </w:r>
          </w:p>
        </w:tc>
        <w:tc>
          <w:tcPr>
            <w:tcW w:w="2974" w:type="dxa"/>
            <w:shd w:val="clear" w:color="auto" w:fill="F2F2F2" w:themeFill="background1" w:themeFillShade="F2"/>
            <w:vAlign w:val="center"/>
          </w:tcPr>
          <w:p w14:paraId="78D34867" w14:textId="2D823A35" w:rsidR="006A1DDB" w:rsidRPr="006A1DDB" w:rsidRDefault="006A1DDB" w:rsidP="006A1DDB">
            <w:pPr>
              <w:pStyle w:val="ListParagraph"/>
              <w:ind w:left="0"/>
              <w:jc w:val="center"/>
              <w:rPr>
                <w:b/>
                <w:bCs/>
                <w:sz w:val="24"/>
                <w:szCs w:val="24"/>
              </w:rPr>
            </w:pPr>
            <w:r>
              <w:rPr>
                <w:b/>
                <w:bCs/>
                <w:sz w:val="24"/>
                <w:szCs w:val="24"/>
              </w:rPr>
              <w:t>Accomplishments</w:t>
            </w:r>
          </w:p>
        </w:tc>
        <w:tc>
          <w:tcPr>
            <w:tcW w:w="2768" w:type="dxa"/>
            <w:shd w:val="clear" w:color="auto" w:fill="F2F2F2" w:themeFill="background1" w:themeFillShade="F2"/>
            <w:vAlign w:val="center"/>
          </w:tcPr>
          <w:p w14:paraId="5C8D9B24" w14:textId="46F51C21" w:rsidR="006A1DDB" w:rsidRPr="006A1DDB" w:rsidRDefault="006A1DDB" w:rsidP="006A1DDB">
            <w:pPr>
              <w:pStyle w:val="ListParagraph"/>
              <w:ind w:left="0"/>
              <w:jc w:val="center"/>
              <w:rPr>
                <w:b/>
                <w:bCs/>
                <w:sz w:val="24"/>
                <w:szCs w:val="24"/>
              </w:rPr>
            </w:pPr>
            <w:r>
              <w:rPr>
                <w:b/>
                <w:bCs/>
                <w:sz w:val="24"/>
                <w:szCs w:val="24"/>
              </w:rPr>
              <w:t>Barriers</w:t>
            </w:r>
          </w:p>
        </w:tc>
      </w:tr>
      <w:bookmarkEnd w:id="3"/>
      <w:tr w:rsidR="003F5767" w14:paraId="640ED3D8" w14:textId="77777777" w:rsidTr="00E874C9">
        <w:tc>
          <w:tcPr>
            <w:tcW w:w="2970" w:type="dxa"/>
            <w:vAlign w:val="center"/>
          </w:tcPr>
          <w:p w14:paraId="03852C52" w14:textId="27C3DC35" w:rsidR="006A1DDB" w:rsidRPr="006A1DDB" w:rsidRDefault="006A1DDB" w:rsidP="003F5767">
            <w:pPr>
              <w:pStyle w:val="ListParagraph"/>
              <w:ind w:left="0"/>
              <w:jc w:val="center"/>
              <w:rPr>
                <w:sz w:val="24"/>
                <w:szCs w:val="24"/>
              </w:rPr>
            </w:pPr>
            <w:r>
              <w:rPr>
                <w:sz w:val="24"/>
                <w:szCs w:val="24"/>
              </w:rPr>
              <w:t>Increase in cases with HIV and drug susceptibility results</w:t>
            </w:r>
          </w:p>
        </w:tc>
        <w:tc>
          <w:tcPr>
            <w:tcW w:w="4243" w:type="dxa"/>
          </w:tcPr>
          <w:p w14:paraId="2701F705" w14:textId="03E6A011" w:rsidR="006A1DDB" w:rsidRPr="006A1DDB" w:rsidRDefault="003F5767" w:rsidP="006A1DDB">
            <w:pPr>
              <w:pStyle w:val="ListParagraph"/>
              <w:ind w:left="0"/>
              <w:rPr>
                <w:sz w:val="24"/>
                <w:szCs w:val="24"/>
              </w:rPr>
            </w:pPr>
            <w:r>
              <w:rPr>
                <w:sz w:val="24"/>
                <w:szCs w:val="24"/>
              </w:rPr>
              <w:t>Ensure that HIV testing is offered to all confirmed and suspected cases of TB.  For hospitalized patients, health departments should review hospital records for HIV result; if no result, ask hospital to draw HIV or draw HIV at first post-hospital clinic visit.  For culture-positive specimens collected by non-public health entities, ensure that (1) a DST is ordered or (2) a specimen is sent to the state public health lab for DST.  Encourage health department to collect specimen from hospital for transport to state lab, when feasible.</w:t>
            </w:r>
          </w:p>
        </w:tc>
        <w:tc>
          <w:tcPr>
            <w:tcW w:w="2974" w:type="dxa"/>
          </w:tcPr>
          <w:p w14:paraId="116E3B42" w14:textId="77777777" w:rsidR="006A1DDB" w:rsidRPr="006A1DDB" w:rsidRDefault="006A1DDB" w:rsidP="006A1DDB">
            <w:pPr>
              <w:pStyle w:val="ListParagraph"/>
              <w:ind w:left="0"/>
              <w:rPr>
                <w:sz w:val="24"/>
                <w:szCs w:val="24"/>
              </w:rPr>
            </w:pPr>
          </w:p>
        </w:tc>
        <w:tc>
          <w:tcPr>
            <w:tcW w:w="2768" w:type="dxa"/>
          </w:tcPr>
          <w:p w14:paraId="4CE40E8B" w14:textId="2EB14ABF" w:rsidR="006A1DDB" w:rsidRPr="006A1DDB" w:rsidRDefault="002D5CB0" w:rsidP="006A1DDB">
            <w:pPr>
              <w:pStyle w:val="ListParagraph"/>
              <w:ind w:left="0"/>
              <w:rPr>
                <w:sz w:val="24"/>
                <w:szCs w:val="24"/>
              </w:rPr>
            </w:pPr>
            <w:r>
              <w:rPr>
                <w:sz w:val="24"/>
                <w:szCs w:val="24"/>
              </w:rPr>
              <w:t>Delayed data entry due to TB staff working on COVID-19 pandemic</w:t>
            </w:r>
          </w:p>
        </w:tc>
      </w:tr>
      <w:tr w:rsidR="003F5767" w14:paraId="2A5AFA42" w14:textId="77777777" w:rsidTr="00E874C9">
        <w:tc>
          <w:tcPr>
            <w:tcW w:w="2970" w:type="dxa"/>
            <w:vAlign w:val="center"/>
          </w:tcPr>
          <w:p w14:paraId="27E1EE25" w14:textId="07DA2E6C" w:rsidR="006A1DDB" w:rsidRPr="006A1DDB" w:rsidRDefault="003F5767" w:rsidP="003F5767">
            <w:pPr>
              <w:pStyle w:val="ListParagraph"/>
              <w:ind w:left="0"/>
              <w:jc w:val="center"/>
              <w:rPr>
                <w:sz w:val="24"/>
                <w:szCs w:val="24"/>
              </w:rPr>
            </w:pPr>
            <w:r>
              <w:rPr>
                <w:sz w:val="24"/>
                <w:szCs w:val="24"/>
              </w:rPr>
              <w:t>Increase in patients on/responding to appropriate treatment</w:t>
            </w:r>
          </w:p>
        </w:tc>
        <w:tc>
          <w:tcPr>
            <w:tcW w:w="4243" w:type="dxa"/>
            <w:vAlign w:val="center"/>
          </w:tcPr>
          <w:p w14:paraId="2179D1C4" w14:textId="21066AB6" w:rsidR="001423F0" w:rsidRPr="006A1DDB" w:rsidRDefault="001423F0" w:rsidP="001423F0">
            <w:pPr>
              <w:pStyle w:val="ListParagraph"/>
              <w:ind w:left="0"/>
              <w:rPr>
                <w:sz w:val="24"/>
                <w:szCs w:val="24"/>
              </w:rPr>
            </w:pPr>
            <w:r>
              <w:rPr>
                <w:sz w:val="24"/>
                <w:szCs w:val="24"/>
              </w:rPr>
              <w:t>Continue use of therapeutic drug monitoring (TDM) for patients who are slow to convert AFB smears and cultures and for patients with risk factors for malabsorption.  Use CDC’S MDDR service when drug resistance is suspected, when appropriate.  Expand use of electronic DOT (eDOT).</w:t>
            </w:r>
          </w:p>
        </w:tc>
        <w:tc>
          <w:tcPr>
            <w:tcW w:w="2974" w:type="dxa"/>
          </w:tcPr>
          <w:p w14:paraId="49823BD1" w14:textId="77777777" w:rsidR="00AB208B" w:rsidRDefault="001423F0" w:rsidP="006A1DDB">
            <w:pPr>
              <w:pStyle w:val="ListParagraph"/>
              <w:ind w:left="0"/>
              <w:rPr>
                <w:sz w:val="24"/>
                <w:szCs w:val="24"/>
              </w:rPr>
            </w:pPr>
            <w:r>
              <w:rPr>
                <w:sz w:val="24"/>
                <w:szCs w:val="24"/>
              </w:rPr>
              <w:t>On February 4, 2021 the Tennessee TB Elimination Program</w:t>
            </w:r>
            <w:r w:rsidR="00E848F4">
              <w:rPr>
                <w:sz w:val="24"/>
                <w:szCs w:val="24"/>
              </w:rPr>
              <w:t xml:space="preserve"> (TTBEP)</w:t>
            </w:r>
            <w:r>
              <w:rPr>
                <w:sz w:val="24"/>
                <w:szCs w:val="24"/>
              </w:rPr>
              <w:t xml:space="preserve"> recommended using TDM for all adult (</w:t>
            </w:r>
            <w:r>
              <w:rPr>
                <w:rFonts w:cstheme="minorHAnsi"/>
                <w:sz w:val="24"/>
                <w:szCs w:val="24"/>
              </w:rPr>
              <w:t>≥</w:t>
            </w:r>
            <w:r>
              <w:rPr>
                <w:sz w:val="24"/>
                <w:szCs w:val="24"/>
              </w:rPr>
              <w:t>18 years of age) persons with suspected or confirmed TB disease after receiving initial two (2) weeks of TB treatment</w:t>
            </w:r>
            <w:r w:rsidR="00AA66C6">
              <w:rPr>
                <w:sz w:val="24"/>
                <w:szCs w:val="24"/>
              </w:rPr>
              <w:t xml:space="preserve">.  </w:t>
            </w:r>
          </w:p>
          <w:p w14:paraId="6C6F6B77" w14:textId="33D0671E" w:rsidR="00AB208B" w:rsidRDefault="00AB208B" w:rsidP="006A1DDB">
            <w:pPr>
              <w:pStyle w:val="ListParagraph"/>
              <w:ind w:left="0"/>
              <w:rPr>
                <w:sz w:val="24"/>
                <w:szCs w:val="24"/>
              </w:rPr>
            </w:pPr>
            <w:r>
              <w:rPr>
                <w:sz w:val="24"/>
                <w:szCs w:val="24"/>
              </w:rPr>
              <w:t xml:space="preserve">In 2020, specimens on 15 patients were sent for MDDR testing and </w:t>
            </w:r>
            <w:r>
              <w:rPr>
                <w:sz w:val="24"/>
                <w:szCs w:val="24"/>
              </w:rPr>
              <w:lastRenderedPageBreak/>
              <w:t>resistance was identified in four (26.7%).  In the first six months of 2021, specimens on five (5) patients were sent and resistance was detected on one (20.0%).</w:t>
            </w:r>
          </w:p>
          <w:p w14:paraId="59711B40" w14:textId="243DA854" w:rsidR="006A1DDB" w:rsidRPr="00E848F4" w:rsidRDefault="00E848F4" w:rsidP="006A1DDB">
            <w:pPr>
              <w:pStyle w:val="ListParagraph"/>
              <w:ind w:left="0"/>
              <w:rPr>
                <w:sz w:val="24"/>
                <w:szCs w:val="24"/>
              </w:rPr>
            </w:pPr>
            <w:r>
              <w:rPr>
                <w:sz w:val="24"/>
                <w:szCs w:val="24"/>
              </w:rPr>
              <w:t>In 2020, the Tennessee TB Elimination Program purchases licenses for emocha</w:t>
            </w:r>
            <w:r>
              <w:rPr>
                <w:rFonts w:cstheme="minorHAnsi"/>
                <w:sz w:val="24"/>
                <w:szCs w:val="24"/>
                <w:vertAlign w:val="superscript"/>
              </w:rPr>
              <w:t>®</w:t>
            </w:r>
            <w:r>
              <w:rPr>
                <w:sz w:val="24"/>
                <w:szCs w:val="24"/>
              </w:rPr>
              <w:t xml:space="preserve"> for synchronous and asynchronous eDOT.  Two (2) regional TB programs piloted this platform.  In 2021, the TTBEP purchased additional licenses for statewide implementation.</w:t>
            </w:r>
          </w:p>
        </w:tc>
        <w:tc>
          <w:tcPr>
            <w:tcW w:w="2768" w:type="dxa"/>
          </w:tcPr>
          <w:p w14:paraId="632F584A" w14:textId="77777777" w:rsidR="006A1DDB" w:rsidRPr="006A1DDB" w:rsidRDefault="006A1DDB" w:rsidP="006A1DDB">
            <w:pPr>
              <w:pStyle w:val="ListParagraph"/>
              <w:ind w:left="0"/>
              <w:rPr>
                <w:sz w:val="24"/>
                <w:szCs w:val="24"/>
              </w:rPr>
            </w:pPr>
          </w:p>
        </w:tc>
      </w:tr>
      <w:tr w:rsidR="00700D7C" w14:paraId="18EAD646" w14:textId="77777777" w:rsidTr="00700D7C">
        <w:tc>
          <w:tcPr>
            <w:tcW w:w="12955" w:type="dxa"/>
            <w:gridSpan w:val="4"/>
            <w:shd w:val="clear" w:color="auto" w:fill="D9D9D9" w:themeFill="background1" w:themeFillShade="D9"/>
          </w:tcPr>
          <w:p w14:paraId="22D678F3" w14:textId="23281A98" w:rsidR="00700D7C" w:rsidRPr="00AB0BFE" w:rsidRDefault="00AB0BFE" w:rsidP="00AB0BFE">
            <w:pPr>
              <w:rPr>
                <w:b/>
                <w:bCs/>
                <w:sz w:val="24"/>
                <w:szCs w:val="24"/>
              </w:rPr>
            </w:pPr>
            <w:r>
              <w:rPr>
                <w:b/>
                <w:bCs/>
                <w:sz w:val="24"/>
                <w:szCs w:val="24"/>
              </w:rPr>
              <w:t>Strategy/Activity: Diagnosis/treatment of persons with latent TB infection (TBI)</w:t>
            </w:r>
          </w:p>
        </w:tc>
      </w:tr>
      <w:tr w:rsidR="00AB0BFE" w:rsidRPr="006A1DDB" w14:paraId="03A7DEF1" w14:textId="77777777" w:rsidTr="00E874C9">
        <w:tc>
          <w:tcPr>
            <w:tcW w:w="2970" w:type="dxa"/>
            <w:shd w:val="clear" w:color="auto" w:fill="F2F2F2" w:themeFill="background1" w:themeFillShade="F2"/>
            <w:vAlign w:val="center"/>
          </w:tcPr>
          <w:p w14:paraId="62F6CA87" w14:textId="77777777" w:rsidR="00AB0BFE" w:rsidRPr="006A1DDB" w:rsidRDefault="00AB0BFE" w:rsidP="0021319E">
            <w:pPr>
              <w:pStyle w:val="ListParagraph"/>
              <w:ind w:left="0"/>
              <w:jc w:val="center"/>
              <w:rPr>
                <w:b/>
                <w:bCs/>
                <w:sz w:val="24"/>
                <w:szCs w:val="24"/>
              </w:rPr>
            </w:pPr>
            <w:bookmarkStart w:id="4" w:name="_Hlk75520623"/>
            <w:r>
              <w:rPr>
                <w:b/>
                <w:bCs/>
                <w:sz w:val="24"/>
                <w:szCs w:val="24"/>
              </w:rPr>
              <w:t>Short-Term Outcome</w:t>
            </w:r>
          </w:p>
        </w:tc>
        <w:tc>
          <w:tcPr>
            <w:tcW w:w="4243" w:type="dxa"/>
            <w:shd w:val="clear" w:color="auto" w:fill="F2F2F2" w:themeFill="background1" w:themeFillShade="F2"/>
            <w:vAlign w:val="center"/>
          </w:tcPr>
          <w:p w14:paraId="30C49AB3" w14:textId="77777777" w:rsidR="00AB0BFE" w:rsidRPr="006A1DDB" w:rsidRDefault="00AB0BFE" w:rsidP="0021319E">
            <w:pPr>
              <w:pStyle w:val="ListParagraph"/>
              <w:ind w:left="0"/>
              <w:jc w:val="center"/>
              <w:rPr>
                <w:b/>
                <w:bCs/>
                <w:sz w:val="24"/>
                <w:szCs w:val="24"/>
              </w:rPr>
            </w:pPr>
            <w:r>
              <w:rPr>
                <w:b/>
                <w:bCs/>
                <w:sz w:val="24"/>
                <w:szCs w:val="24"/>
              </w:rPr>
              <w:t>Planned Program Activities</w:t>
            </w:r>
          </w:p>
        </w:tc>
        <w:tc>
          <w:tcPr>
            <w:tcW w:w="2974" w:type="dxa"/>
            <w:shd w:val="clear" w:color="auto" w:fill="F2F2F2" w:themeFill="background1" w:themeFillShade="F2"/>
            <w:vAlign w:val="center"/>
          </w:tcPr>
          <w:p w14:paraId="016F8FF6" w14:textId="77777777" w:rsidR="00AB0BFE" w:rsidRPr="006A1DDB" w:rsidRDefault="00AB0BFE" w:rsidP="0021319E">
            <w:pPr>
              <w:pStyle w:val="ListParagraph"/>
              <w:ind w:left="0"/>
              <w:jc w:val="center"/>
              <w:rPr>
                <w:b/>
                <w:bCs/>
                <w:sz w:val="24"/>
                <w:szCs w:val="24"/>
              </w:rPr>
            </w:pPr>
            <w:r>
              <w:rPr>
                <w:b/>
                <w:bCs/>
                <w:sz w:val="24"/>
                <w:szCs w:val="24"/>
              </w:rPr>
              <w:t>Accomplishments</w:t>
            </w:r>
          </w:p>
        </w:tc>
        <w:tc>
          <w:tcPr>
            <w:tcW w:w="2768" w:type="dxa"/>
            <w:shd w:val="clear" w:color="auto" w:fill="F2F2F2" w:themeFill="background1" w:themeFillShade="F2"/>
            <w:vAlign w:val="center"/>
          </w:tcPr>
          <w:p w14:paraId="2FF2760F" w14:textId="77777777" w:rsidR="00AB0BFE" w:rsidRPr="006A1DDB" w:rsidRDefault="00AB0BFE" w:rsidP="0021319E">
            <w:pPr>
              <w:pStyle w:val="ListParagraph"/>
              <w:ind w:left="0"/>
              <w:jc w:val="center"/>
              <w:rPr>
                <w:b/>
                <w:bCs/>
                <w:sz w:val="24"/>
                <w:szCs w:val="24"/>
              </w:rPr>
            </w:pPr>
            <w:r>
              <w:rPr>
                <w:b/>
                <w:bCs/>
                <w:sz w:val="24"/>
                <w:szCs w:val="24"/>
              </w:rPr>
              <w:t>Barriers</w:t>
            </w:r>
          </w:p>
        </w:tc>
      </w:tr>
      <w:bookmarkEnd w:id="4"/>
      <w:tr w:rsidR="003F5767" w14:paraId="35BD50D2" w14:textId="77777777" w:rsidTr="00E874C9">
        <w:tc>
          <w:tcPr>
            <w:tcW w:w="2970" w:type="dxa"/>
            <w:vAlign w:val="center"/>
          </w:tcPr>
          <w:p w14:paraId="1FCBF837" w14:textId="1E08A550" w:rsidR="003F5767" w:rsidRPr="006A1DDB" w:rsidRDefault="00AB0BFE" w:rsidP="004973E7">
            <w:pPr>
              <w:pStyle w:val="ListParagraph"/>
              <w:ind w:left="0"/>
              <w:jc w:val="center"/>
              <w:rPr>
                <w:sz w:val="24"/>
                <w:szCs w:val="24"/>
              </w:rPr>
            </w:pPr>
            <w:r>
              <w:rPr>
                <w:sz w:val="24"/>
                <w:szCs w:val="24"/>
              </w:rPr>
              <w:t>Increase in the number of contacts elicited/examined</w:t>
            </w:r>
            <w:r w:rsidR="004973E7">
              <w:rPr>
                <w:sz w:val="24"/>
                <w:szCs w:val="24"/>
              </w:rPr>
              <w:t xml:space="preserve"> (contacts to infectious TB cases)</w:t>
            </w:r>
          </w:p>
        </w:tc>
        <w:tc>
          <w:tcPr>
            <w:tcW w:w="4243" w:type="dxa"/>
          </w:tcPr>
          <w:p w14:paraId="6EFE264D" w14:textId="77777777" w:rsidR="003F5767" w:rsidRPr="006A1DDB" w:rsidRDefault="003F5767" w:rsidP="006A1DDB">
            <w:pPr>
              <w:pStyle w:val="ListParagraph"/>
              <w:ind w:left="0"/>
              <w:rPr>
                <w:sz w:val="24"/>
                <w:szCs w:val="24"/>
              </w:rPr>
            </w:pPr>
          </w:p>
        </w:tc>
        <w:tc>
          <w:tcPr>
            <w:tcW w:w="2974" w:type="dxa"/>
          </w:tcPr>
          <w:p w14:paraId="27104D63" w14:textId="77777777" w:rsidR="003F5767" w:rsidRPr="006A1DDB" w:rsidRDefault="003F5767" w:rsidP="006A1DDB">
            <w:pPr>
              <w:pStyle w:val="ListParagraph"/>
              <w:ind w:left="0"/>
              <w:rPr>
                <w:sz w:val="24"/>
                <w:szCs w:val="24"/>
              </w:rPr>
            </w:pPr>
          </w:p>
        </w:tc>
        <w:tc>
          <w:tcPr>
            <w:tcW w:w="2768" w:type="dxa"/>
          </w:tcPr>
          <w:p w14:paraId="37759AB8" w14:textId="77777777" w:rsidR="003F5767" w:rsidRPr="006A1DDB" w:rsidRDefault="003F5767" w:rsidP="006A1DDB">
            <w:pPr>
              <w:pStyle w:val="ListParagraph"/>
              <w:ind w:left="0"/>
              <w:rPr>
                <w:sz w:val="24"/>
                <w:szCs w:val="24"/>
              </w:rPr>
            </w:pPr>
          </w:p>
        </w:tc>
      </w:tr>
      <w:tr w:rsidR="003F5767" w14:paraId="01080462" w14:textId="77777777" w:rsidTr="00E874C9">
        <w:tc>
          <w:tcPr>
            <w:tcW w:w="2970" w:type="dxa"/>
            <w:vAlign w:val="center"/>
          </w:tcPr>
          <w:p w14:paraId="2740C754" w14:textId="7FE41924" w:rsidR="003F5767" w:rsidRPr="006A1DDB" w:rsidRDefault="00AB0BFE" w:rsidP="004973E7">
            <w:pPr>
              <w:pStyle w:val="ListParagraph"/>
              <w:ind w:left="0"/>
              <w:jc w:val="center"/>
              <w:rPr>
                <w:sz w:val="24"/>
                <w:szCs w:val="24"/>
              </w:rPr>
            </w:pPr>
            <w:r>
              <w:rPr>
                <w:sz w:val="24"/>
                <w:szCs w:val="24"/>
              </w:rPr>
              <w:t xml:space="preserve">Increase </w:t>
            </w:r>
            <w:r w:rsidR="004973E7">
              <w:rPr>
                <w:sz w:val="24"/>
                <w:szCs w:val="24"/>
              </w:rPr>
              <w:t>in treatment initiation for patients with LTBI who are recommended for treatment (contacts to infectious TB cases)</w:t>
            </w:r>
          </w:p>
        </w:tc>
        <w:tc>
          <w:tcPr>
            <w:tcW w:w="4243" w:type="dxa"/>
          </w:tcPr>
          <w:p w14:paraId="7B2B9AD5" w14:textId="77777777" w:rsidR="003F5767" w:rsidRPr="006A1DDB" w:rsidRDefault="003F5767" w:rsidP="006A1DDB">
            <w:pPr>
              <w:pStyle w:val="ListParagraph"/>
              <w:ind w:left="0"/>
              <w:rPr>
                <w:sz w:val="24"/>
                <w:szCs w:val="24"/>
              </w:rPr>
            </w:pPr>
          </w:p>
        </w:tc>
        <w:tc>
          <w:tcPr>
            <w:tcW w:w="2974" w:type="dxa"/>
          </w:tcPr>
          <w:p w14:paraId="52DFDBDB" w14:textId="77777777" w:rsidR="003F5767" w:rsidRPr="006A1DDB" w:rsidRDefault="003F5767" w:rsidP="006A1DDB">
            <w:pPr>
              <w:pStyle w:val="ListParagraph"/>
              <w:ind w:left="0"/>
              <w:rPr>
                <w:sz w:val="24"/>
                <w:szCs w:val="24"/>
              </w:rPr>
            </w:pPr>
          </w:p>
        </w:tc>
        <w:tc>
          <w:tcPr>
            <w:tcW w:w="2768" w:type="dxa"/>
          </w:tcPr>
          <w:p w14:paraId="710251C6" w14:textId="77777777" w:rsidR="003F5767" w:rsidRPr="006A1DDB" w:rsidRDefault="003F5767" w:rsidP="006A1DDB">
            <w:pPr>
              <w:pStyle w:val="ListParagraph"/>
              <w:ind w:left="0"/>
              <w:rPr>
                <w:sz w:val="24"/>
                <w:szCs w:val="24"/>
              </w:rPr>
            </w:pPr>
          </w:p>
        </w:tc>
      </w:tr>
      <w:tr w:rsidR="003F5767" w14:paraId="564AFFA0" w14:textId="77777777" w:rsidTr="00E874C9">
        <w:tc>
          <w:tcPr>
            <w:tcW w:w="2970" w:type="dxa"/>
            <w:vAlign w:val="center"/>
          </w:tcPr>
          <w:p w14:paraId="51416949" w14:textId="4AF8D9B9" w:rsidR="003F5767" w:rsidRPr="006A1DDB" w:rsidRDefault="004973E7" w:rsidP="004973E7">
            <w:pPr>
              <w:pStyle w:val="ListParagraph"/>
              <w:ind w:left="0"/>
              <w:jc w:val="center"/>
              <w:rPr>
                <w:sz w:val="24"/>
                <w:szCs w:val="24"/>
              </w:rPr>
            </w:pPr>
            <w:r>
              <w:rPr>
                <w:sz w:val="24"/>
                <w:szCs w:val="24"/>
              </w:rPr>
              <w:t>Increase in treatment initiation for patients with LTBI/prior pulmonary TB who are recommended for treatment (Class B notifications)</w:t>
            </w:r>
          </w:p>
        </w:tc>
        <w:tc>
          <w:tcPr>
            <w:tcW w:w="4243" w:type="dxa"/>
          </w:tcPr>
          <w:p w14:paraId="557103BD" w14:textId="77777777" w:rsidR="003F5767" w:rsidRPr="006A1DDB" w:rsidRDefault="003F5767" w:rsidP="006A1DDB">
            <w:pPr>
              <w:pStyle w:val="ListParagraph"/>
              <w:ind w:left="0"/>
              <w:rPr>
                <w:sz w:val="24"/>
                <w:szCs w:val="24"/>
              </w:rPr>
            </w:pPr>
          </w:p>
        </w:tc>
        <w:tc>
          <w:tcPr>
            <w:tcW w:w="2974" w:type="dxa"/>
          </w:tcPr>
          <w:p w14:paraId="6BA94AEA" w14:textId="77777777" w:rsidR="003F5767" w:rsidRPr="006A1DDB" w:rsidRDefault="003F5767" w:rsidP="006A1DDB">
            <w:pPr>
              <w:pStyle w:val="ListParagraph"/>
              <w:ind w:left="0"/>
              <w:rPr>
                <w:sz w:val="24"/>
                <w:szCs w:val="24"/>
              </w:rPr>
            </w:pPr>
          </w:p>
        </w:tc>
        <w:tc>
          <w:tcPr>
            <w:tcW w:w="2768" w:type="dxa"/>
          </w:tcPr>
          <w:p w14:paraId="58ABEA5E" w14:textId="77777777" w:rsidR="003F5767" w:rsidRPr="006A1DDB" w:rsidRDefault="003F5767" w:rsidP="006A1DDB">
            <w:pPr>
              <w:pStyle w:val="ListParagraph"/>
              <w:ind w:left="0"/>
              <w:rPr>
                <w:sz w:val="24"/>
                <w:szCs w:val="24"/>
              </w:rPr>
            </w:pPr>
          </w:p>
        </w:tc>
      </w:tr>
      <w:tr w:rsidR="003F5767" w14:paraId="758D7DC6" w14:textId="77777777" w:rsidTr="00E874C9">
        <w:tc>
          <w:tcPr>
            <w:tcW w:w="2970" w:type="dxa"/>
          </w:tcPr>
          <w:p w14:paraId="7A1D5932" w14:textId="5D09C11A" w:rsidR="003F5767" w:rsidRPr="006A1DDB" w:rsidRDefault="00BB2417" w:rsidP="006A1DDB">
            <w:pPr>
              <w:pStyle w:val="ListParagraph"/>
              <w:ind w:left="0"/>
              <w:rPr>
                <w:sz w:val="24"/>
                <w:szCs w:val="24"/>
              </w:rPr>
            </w:pPr>
            <w:r>
              <w:rPr>
                <w:sz w:val="24"/>
                <w:szCs w:val="24"/>
              </w:rPr>
              <w:t>Targeted Testing and treatment of TB infection (TBI) in high-risk populations</w:t>
            </w:r>
          </w:p>
        </w:tc>
        <w:tc>
          <w:tcPr>
            <w:tcW w:w="4243" w:type="dxa"/>
          </w:tcPr>
          <w:p w14:paraId="52F3D610" w14:textId="77777777" w:rsidR="003F5767" w:rsidRPr="006A1DDB" w:rsidRDefault="003F5767" w:rsidP="006A1DDB">
            <w:pPr>
              <w:pStyle w:val="ListParagraph"/>
              <w:ind w:left="0"/>
              <w:rPr>
                <w:sz w:val="24"/>
                <w:szCs w:val="24"/>
              </w:rPr>
            </w:pPr>
          </w:p>
        </w:tc>
        <w:tc>
          <w:tcPr>
            <w:tcW w:w="2974" w:type="dxa"/>
          </w:tcPr>
          <w:p w14:paraId="6F680A3D" w14:textId="77777777" w:rsidR="003F5767" w:rsidRPr="006A1DDB" w:rsidRDefault="003F5767" w:rsidP="006A1DDB">
            <w:pPr>
              <w:pStyle w:val="ListParagraph"/>
              <w:ind w:left="0"/>
              <w:rPr>
                <w:sz w:val="24"/>
                <w:szCs w:val="24"/>
              </w:rPr>
            </w:pPr>
          </w:p>
        </w:tc>
        <w:tc>
          <w:tcPr>
            <w:tcW w:w="2768" w:type="dxa"/>
          </w:tcPr>
          <w:p w14:paraId="055DAB9E" w14:textId="77777777" w:rsidR="003F5767" w:rsidRPr="006A1DDB" w:rsidRDefault="003F5767" w:rsidP="006A1DDB">
            <w:pPr>
              <w:pStyle w:val="ListParagraph"/>
              <w:ind w:left="0"/>
              <w:rPr>
                <w:sz w:val="24"/>
                <w:szCs w:val="24"/>
              </w:rPr>
            </w:pPr>
          </w:p>
        </w:tc>
      </w:tr>
      <w:tr w:rsidR="00BB2417" w14:paraId="0A90FDC6" w14:textId="77777777" w:rsidTr="00BB2417">
        <w:tc>
          <w:tcPr>
            <w:tcW w:w="12955" w:type="dxa"/>
            <w:gridSpan w:val="4"/>
            <w:shd w:val="clear" w:color="auto" w:fill="D9D9D9" w:themeFill="background1" w:themeFillShade="D9"/>
          </w:tcPr>
          <w:p w14:paraId="20CD99C6" w14:textId="26C62961" w:rsidR="00BB2417" w:rsidRPr="00BB2417" w:rsidRDefault="00BB2417" w:rsidP="00BB2417">
            <w:pPr>
              <w:pStyle w:val="ListParagraph"/>
              <w:ind w:left="0"/>
              <w:jc w:val="both"/>
              <w:rPr>
                <w:b/>
                <w:bCs/>
                <w:sz w:val="24"/>
                <w:szCs w:val="24"/>
              </w:rPr>
            </w:pPr>
            <w:r>
              <w:rPr>
                <w:b/>
                <w:bCs/>
                <w:sz w:val="24"/>
                <w:szCs w:val="24"/>
              </w:rPr>
              <w:t>Strategy/Activity: Program planning, evaluation and improvement</w:t>
            </w:r>
          </w:p>
        </w:tc>
      </w:tr>
      <w:tr w:rsidR="00BB2417" w:rsidRPr="006A1DDB" w14:paraId="789EB89F" w14:textId="77777777" w:rsidTr="00E874C9">
        <w:tc>
          <w:tcPr>
            <w:tcW w:w="2970" w:type="dxa"/>
            <w:shd w:val="clear" w:color="auto" w:fill="F2F2F2" w:themeFill="background1" w:themeFillShade="F2"/>
            <w:vAlign w:val="center"/>
          </w:tcPr>
          <w:p w14:paraId="58A5A03E" w14:textId="77777777" w:rsidR="00BB2417" w:rsidRPr="006A1DDB" w:rsidRDefault="00BB2417" w:rsidP="0021319E">
            <w:pPr>
              <w:pStyle w:val="ListParagraph"/>
              <w:ind w:left="0"/>
              <w:jc w:val="center"/>
              <w:rPr>
                <w:b/>
                <w:bCs/>
                <w:sz w:val="24"/>
                <w:szCs w:val="24"/>
              </w:rPr>
            </w:pPr>
            <w:r>
              <w:rPr>
                <w:b/>
                <w:bCs/>
                <w:sz w:val="24"/>
                <w:szCs w:val="24"/>
              </w:rPr>
              <w:t>Short-Term Outcome</w:t>
            </w:r>
          </w:p>
        </w:tc>
        <w:tc>
          <w:tcPr>
            <w:tcW w:w="4243" w:type="dxa"/>
            <w:shd w:val="clear" w:color="auto" w:fill="F2F2F2" w:themeFill="background1" w:themeFillShade="F2"/>
            <w:vAlign w:val="center"/>
          </w:tcPr>
          <w:p w14:paraId="650149FB" w14:textId="77777777" w:rsidR="00BB2417" w:rsidRPr="006A1DDB" w:rsidRDefault="00BB2417" w:rsidP="0021319E">
            <w:pPr>
              <w:pStyle w:val="ListParagraph"/>
              <w:ind w:left="0"/>
              <w:jc w:val="center"/>
              <w:rPr>
                <w:b/>
                <w:bCs/>
                <w:sz w:val="24"/>
                <w:szCs w:val="24"/>
              </w:rPr>
            </w:pPr>
            <w:r>
              <w:rPr>
                <w:b/>
                <w:bCs/>
                <w:sz w:val="24"/>
                <w:szCs w:val="24"/>
              </w:rPr>
              <w:t>Planned Program Activities</w:t>
            </w:r>
          </w:p>
        </w:tc>
        <w:tc>
          <w:tcPr>
            <w:tcW w:w="2974" w:type="dxa"/>
            <w:shd w:val="clear" w:color="auto" w:fill="F2F2F2" w:themeFill="background1" w:themeFillShade="F2"/>
            <w:vAlign w:val="center"/>
          </w:tcPr>
          <w:p w14:paraId="7D800BC1" w14:textId="77777777" w:rsidR="00BB2417" w:rsidRPr="006A1DDB" w:rsidRDefault="00BB2417" w:rsidP="0021319E">
            <w:pPr>
              <w:pStyle w:val="ListParagraph"/>
              <w:ind w:left="0"/>
              <w:jc w:val="center"/>
              <w:rPr>
                <w:b/>
                <w:bCs/>
                <w:sz w:val="24"/>
                <w:szCs w:val="24"/>
              </w:rPr>
            </w:pPr>
            <w:r>
              <w:rPr>
                <w:b/>
                <w:bCs/>
                <w:sz w:val="24"/>
                <w:szCs w:val="24"/>
              </w:rPr>
              <w:t>Accomplishments</w:t>
            </w:r>
          </w:p>
        </w:tc>
        <w:tc>
          <w:tcPr>
            <w:tcW w:w="2768" w:type="dxa"/>
            <w:shd w:val="clear" w:color="auto" w:fill="F2F2F2" w:themeFill="background1" w:themeFillShade="F2"/>
            <w:vAlign w:val="center"/>
          </w:tcPr>
          <w:p w14:paraId="344FE8B2" w14:textId="77777777" w:rsidR="00BB2417" w:rsidRPr="006A1DDB" w:rsidRDefault="00BB2417" w:rsidP="0021319E">
            <w:pPr>
              <w:pStyle w:val="ListParagraph"/>
              <w:ind w:left="0"/>
              <w:jc w:val="center"/>
              <w:rPr>
                <w:b/>
                <w:bCs/>
                <w:sz w:val="24"/>
                <w:szCs w:val="24"/>
              </w:rPr>
            </w:pPr>
            <w:r>
              <w:rPr>
                <w:b/>
                <w:bCs/>
                <w:sz w:val="24"/>
                <w:szCs w:val="24"/>
              </w:rPr>
              <w:t>Barriers</w:t>
            </w:r>
          </w:p>
        </w:tc>
      </w:tr>
      <w:tr w:rsidR="00BB2417" w14:paraId="23D425A4" w14:textId="77777777" w:rsidTr="00E874C9">
        <w:tc>
          <w:tcPr>
            <w:tcW w:w="2970" w:type="dxa"/>
          </w:tcPr>
          <w:p w14:paraId="1E67BB60" w14:textId="42D55573" w:rsidR="00BB2417" w:rsidRPr="006A1DDB" w:rsidRDefault="00E874C9" w:rsidP="006A1DDB">
            <w:pPr>
              <w:pStyle w:val="ListParagraph"/>
              <w:ind w:left="0"/>
              <w:rPr>
                <w:sz w:val="24"/>
                <w:szCs w:val="24"/>
              </w:rPr>
            </w:pPr>
            <w:r>
              <w:rPr>
                <w:sz w:val="24"/>
                <w:szCs w:val="24"/>
              </w:rPr>
              <w:t>Increase in identification/dissemination of best practices within and between state/local programs</w:t>
            </w:r>
          </w:p>
        </w:tc>
        <w:tc>
          <w:tcPr>
            <w:tcW w:w="4243" w:type="dxa"/>
          </w:tcPr>
          <w:p w14:paraId="0C8C22A7" w14:textId="77777777" w:rsidR="00BB2417" w:rsidRPr="006A1DDB" w:rsidRDefault="00BB2417" w:rsidP="006A1DDB">
            <w:pPr>
              <w:pStyle w:val="ListParagraph"/>
              <w:ind w:left="0"/>
              <w:rPr>
                <w:sz w:val="24"/>
                <w:szCs w:val="24"/>
              </w:rPr>
            </w:pPr>
          </w:p>
        </w:tc>
        <w:tc>
          <w:tcPr>
            <w:tcW w:w="2974" w:type="dxa"/>
          </w:tcPr>
          <w:p w14:paraId="771A0CCC" w14:textId="77777777" w:rsidR="00BB2417" w:rsidRPr="006A1DDB" w:rsidRDefault="00BB2417" w:rsidP="006A1DDB">
            <w:pPr>
              <w:pStyle w:val="ListParagraph"/>
              <w:ind w:left="0"/>
              <w:rPr>
                <w:sz w:val="24"/>
                <w:szCs w:val="24"/>
              </w:rPr>
            </w:pPr>
          </w:p>
        </w:tc>
        <w:tc>
          <w:tcPr>
            <w:tcW w:w="2768" w:type="dxa"/>
          </w:tcPr>
          <w:p w14:paraId="3D69EDCA" w14:textId="77777777" w:rsidR="00BB2417" w:rsidRPr="006A1DDB" w:rsidRDefault="00BB2417" w:rsidP="006A1DDB">
            <w:pPr>
              <w:pStyle w:val="ListParagraph"/>
              <w:ind w:left="0"/>
              <w:rPr>
                <w:sz w:val="24"/>
                <w:szCs w:val="24"/>
              </w:rPr>
            </w:pPr>
          </w:p>
        </w:tc>
      </w:tr>
      <w:tr w:rsidR="00E874C9" w14:paraId="25ADD45F" w14:textId="77777777" w:rsidTr="00E874C9">
        <w:tc>
          <w:tcPr>
            <w:tcW w:w="12955" w:type="dxa"/>
            <w:gridSpan w:val="4"/>
            <w:shd w:val="clear" w:color="auto" w:fill="D9D9D9" w:themeFill="background1" w:themeFillShade="D9"/>
          </w:tcPr>
          <w:p w14:paraId="5EC77A5B" w14:textId="5F5658B6" w:rsidR="00E874C9" w:rsidRPr="00E874C9" w:rsidRDefault="00E874C9" w:rsidP="00E874C9">
            <w:pPr>
              <w:pStyle w:val="ListParagraph"/>
              <w:ind w:left="0"/>
              <w:jc w:val="both"/>
              <w:rPr>
                <w:b/>
                <w:bCs/>
                <w:sz w:val="24"/>
                <w:szCs w:val="24"/>
              </w:rPr>
            </w:pPr>
            <w:r>
              <w:rPr>
                <w:b/>
                <w:bCs/>
                <w:sz w:val="24"/>
                <w:szCs w:val="24"/>
              </w:rPr>
              <w:t>Strategy/Activity: Surveillance</w:t>
            </w:r>
          </w:p>
        </w:tc>
      </w:tr>
      <w:tr w:rsidR="00E874C9" w:rsidRPr="006A1DDB" w14:paraId="785E7773" w14:textId="77777777" w:rsidTr="00587797">
        <w:tc>
          <w:tcPr>
            <w:tcW w:w="2970" w:type="dxa"/>
            <w:shd w:val="clear" w:color="auto" w:fill="F2F2F2" w:themeFill="background1" w:themeFillShade="F2"/>
            <w:vAlign w:val="center"/>
          </w:tcPr>
          <w:p w14:paraId="6B0228B7" w14:textId="77777777" w:rsidR="00E874C9" w:rsidRPr="006A1DDB" w:rsidRDefault="00E874C9" w:rsidP="0021319E">
            <w:pPr>
              <w:pStyle w:val="ListParagraph"/>
              <w:ind w:left="0"/>
              <w:jc w:val="center"/>
              <w:rPr>
                <w:b/>
                <w:bCs/>
                <w:sz w:val="24"/>
                <w:szCs w:val="24"/>
              </w:rPr>
            </w:pPr>
            <w:r>
              <w:rPr>
                <w:b/>
                <w:bCs/>
                <w:sz w:val="24"/>
                <w:szCs w:val="24"/>
              </w:rPr>
              <w:t>Short-Term Outcome</w:t>
            </w:r>
          </w:p>
        </w:tc>
        <w:tc>
          <w:tcPr>
            <w:tcW w:w="4243" w:type="dxa"/>
            <w:shd w:val="clear" w:color="auto" w:fill="F2F2F2" w:themeFill="background1" w:themeFillShade="F2"/>
            <w:vAlign w:val="center"/>
          </w:tcPr>
          <w:p w14:paraId="4CE0D80F" w14:textId="77777777" w:rsidR="00E874C9" w:rsidRPr="006A1DDB" w:rsidRDefault="00E874C9" w:rsidP="0021319E">
            <w:pPr>
              <w:pStyle w:val="ListParagraph"/>
              <w:ind w:left="0"/>
              <w:jc w:val="center"/>
              <w:rPr>
                <w:b/>
                <w:bCs/>
                <w:sz w:val="24"/>
                <w:szCs w:val="24"/>
              </w:rPr>
            </w:pPr>
            <w:r>
              <w:rPr>
                <w:b/>
                <w:bCs/>
                <w:sz w:val="24"/>
                <w:szCs w:val="24"/>
              </w:rPr>
              <w:t>Planned Program Activities</w:t>
            </w:r>
          </w:p>
        </w:tc>
        <w:tc>
          <w:tcPr>
            <w:tcW w:w="2974" w:type="dxa"/>
            <w:shd w:val="clear" w:color="auto" w:fill="F2F2F2" w:themeFill="background1" w:themeFillShade="F2"/>
            <w:vAlign w:val="center"/>
          </w:tcPr>
          <w:p w14:paraId="68CDA0B9" w14:textId="77777777" w:rsidR="00E874C9" w:rsidRPr="006A1DDB" w:rsidRDefault="00E874C9" w:rsidP="0021319E">
            <w:pPr>
              <w:pStyle w:val="ListParagraph"/>
              <w:ind w:left="0"/>
              <w:jc w:val="center"/>
              <w:rPr>
                <w:b/>
                <w:bCs/>
                <w:sz w:val="24"/>
                <w:szCs w:val="24"/>
              </w:rPr>
            </w:pPr>
            <w:r>
              <w:rPr>
                <w:b/>
                <w:bCs/>
                <w:sz w:val="24"/>
                <w:szCs w:val="24"/>
              </w:rPr>
              <w:t>Accomplishments</w:t>
            </w:r>
          </w:p>
        </w:tc>
        <w:tc>
          <w:tcPr>
            <w:tcW w:w="2768" w:type="dxa"/>
            <w:shd w:val="clear" w:color="auto" w:fill="F2F2F2" w:themeFill="background1" w:themeFillShade="F2"/>
            <w:vAlign w:val="center"/>
          </w:tcPr>
          <w:p w14:paraId="339BBAEA" w14:textId="77777777" w:rsidR="00E874C9" w:rsidRPr="006A1DDB" w:rsidRDefault="00E874C9" w:rsidP="0021319E">
            <w:pPr>
              <w:pStyle w:val="ListParagraph"/>
              <w:ind w:left="0"/>
              <w:jc w:val="center"/>
              <w:rPr>
                <w:b/>
                <w:bCs/>
                <w:sz w:val="24"/>
                <w:szCs w:val="24"/>
              </w:rPr>
            </w:pPr>
            <w:r>
              <w:rPr>
                <w:b/>
                <w:bCs/>
                <w:sz w:val="24"/>
                <w:szCs w:val="24"/>
              </w:rPr>
              <w:t>Barriers</w:t>
            </w:r>
          </w:p>
        </w:tc>
      </w:tr>
      <w:tr w:rsidR="00BB2417" w14:paraId="46E7198E" w14:textId="77777777" w:rsidTr="00E874C9">
        <w:tc>
          <w:tcPr>
            <w:tcW w:w="2970" w:type="dxa"/>
          </w:tcPr>
          <w:p w14:paraId="0EB27C1C" w14:textId="36A71ACA" w:rsidR="00BB2417" w:rsidRPr="006A1DDB" w:rsidRDefault="00587797" w:rsidP="006A1DDB">
            <w:pPr>
              <w:pStyle w:val="ListParagraph"/>
              <w:ind w:left="0"/>
              <w:rPr>
                <w:sz w:val="24"/>
                <w:szCs w:val="24"/>
              </w:rPr>
            </w:pPr>
            <w:r>
              <w:rPr>
                <w:sz w:val="24"/>
                <w:szCs w:val="24"/>
              </w:rPr>
              <w:t>Increase in national accuracy and completeness of surveillance, genotyping, and whole-genome sequencing data</w:t>
            </w:r>
          </w:p>
        </w:tc>
        <w:tc>
          <w:tcPr>
            <w:tcW w:w="4243" w:type="dxa"/>
          </w:tcPr>
          <w:p w14:paraId="704FE7FB" w14:textId="77777777" w:rsidR="00BB2417" w:rsidRPr="006A1DDB" w:rsidRDefault="00BB2417" w:rsidP="006A1DDB">
            <w:pPr>
              <w:pStyle w:val="ListParagraph"/>
              <w:ind w:left="0"/>
              <w:rPr>
                <w:sz w:val="24"/>
                <w:szCs w:val="24"/>
              </w:rPr>
            </w:pPr>
          </w:p>
        </w:tc>
        <w:tc>
          <w:tcPr>
            <w:tcW w:w="2974" w:type="dxa"/>
          </w:tcPr>
          <w:p w14:paraId="44836FA9" w14:textId="77777777" w:rsidR="00BB2417" w:rsidRPr="006A1DDB" w:rsidRDefault="00BB2417" w:rsidP="006A1DDB">
            <w:pPr>
              <w:pStyle w:val="ListParagraph"/>
              <w:ind w:left="0"/>
              <w:rPr>
                <w:sz w:val="24"/>
                <w:szCs w:val="24"/>
              </w:rPr>
            </w:pPr>
          </w:p>
        </w:tc>
        <w:tc>
          <w:tcPr>
            <w:tcW w:w="2768" w:type="dxa"/>
          </w:tcPr>
          <w:p w14:paraId="015F7A65" w14:textId="77777777" w:rsidR="00BB2417" w:rsidRPr="006A1DDB" w:rsidRDefault="00BB2417" w:rsidP="006A1DDB">
            <w:pPr>
              <w:pStyle w:val="ListParagraph"/>
              <w:ind w:left="0"/>
              <w:rPr>
                <w:sz w:val="24"/>
                <w:szCs w:val="24"/>
              </w:rPr>
            </w:pPr>
          </w:p>
        </w:tc>
      </w:tr>
      <w:tr w:rsidR="00BB2417" w14:paraId="5BBF6BD1" w14:textId="77777777" w:rsidTr="00E874C9">
        <w:tc>
          <w:tcPr>
            <w:tcW w:w="2970" w:type="dxa"/>
          </w:tcPr>
          <w:p w14:paraId="4DD270E5" w14:textId="0A79D09C" w:rsidR="00BB2417" w:rsidRPr="006A1DDB" w:rsidRDefault="00587797" w:rsidP="006A1DDB">
            <w:pPr>
              <w:pStyle w:val="ListParagraph"/>
              <w:ind w:left="0"/>
              <w:rPr>
                <w:sz w:val="24"/>
                <w:szCs w:val="24"/>
              </w:rPr>
            </w:pPr>
            <w:r>
              <w:rPr>
                <w:sz w:val="24"/>
                <w:szCs w:val="24"/>
              </w:rPr>
              <w:t>Increase in cases genotyped and linked to surveillance data</w:t>
            </w:r>
          </w:p>
        </w:tc>
        <w:tc>
          <w:tcPr>
            <w:tcW w:w="4243" w:type="dxa"/>
          </w:tcPr>
          <w:p w14:paraId="1D41F170" w14:textId="77777777" w:rsidR="00BB2417" w:rsidRPr="006A1DDB" w:rsidRDefault="00BB2417" w:rsidP="006A1DDB">
            <w:pPr>
              <w:pStyle w:val="ListParagraph"/>
              <w:ind w:left="0"/>
              <w:rPr>
                <w:sz w:val="24"/>
                <w:szCs w:val="24"/>
              </w:rPr>
            </w:pPr>
          </w:p>
        </w:tc>
        <w:tc>
          <w:tcPr>
            <w:tcW w:w="2974" w:type="dxa"/>
          </w:tcPr>
          <w:p w14:paraId="05D823EB" w14:textId="77777777" w:rsidR="00BB2417" w:rsidRPr="006A1DDB" w:rsidRDefault="00BB2417" w:rsidP="006A1DDB">
            <w:pPr>
              <w:pStyle w:val="ListParagraph"/>
              <w:ind w:left="0"/>
              <w:rPr>
                <w:sz w:val="24"/>
                <w:szCs w:val="24"/>
              </w:rPr>
            </w:pPr>
          </w:p>
        </w:tc>
        <w:tc>
          <w:tcPr>
            <w:tcW w:w="2768" w:type="dxa"/>
          </w:tcPr>
          <w:p w14:paraId="4FE693C2" w14:textId="77777777" w:rsidR="00BB2417" w:rsidRPr="006A1DDB" w:rsidRDefault="00BB2417" w:rsidP="006A1DDB">
            <w:pPr>
              <w:pStyle w:val="ListParagraph"/>
              <w:ind w:left="0"/>
              <w:rPr>
                <w:sz w:val="24"/>
                <w:szCs w:val="24"/>
              </w:rPr>
            </w:pPr>
          </w:p>
        </w:tc>
      </w:tr>
      <w:tr w:rsidR="00587797" w14:paraId="1695800D" w14:textId="77777777" w:rsidTr="00587797">
        <w:tc>
          <w:tcPr>
            <w:tcW w:w="12955" w:type="dxa"/>
            <w:gridSpan w:val="4"/>
            <w:shd w:val="clear" w:color="auto" w:fill="D9D9D9" w:themeFill="background1" w:themeFillShade="D9"/>
          </w:tcPr>
          <w:p w14:paraId="1A5A55AD" w14:textId="049C2175" w:rsidR="00587797" w:rsidRPr="00587797" w:rsidRDefault="00587797" w:rsidP="00587797">
            <w:pPr>
              <w:pStyle w:val="ListParagraph"/>
              <w:ind w:left="0"/>
              <w:jc w:val="both"/>
              <w:rPr>
                <w:b/>
                <w:bCs/>
                <w:sz w:val="24"/>
                <w:szCs w:val="24"/>
              </w:rPr>
            </w:pPr>
            <w:r>
              <w:rPr>
                <w:b/>
                <w:bCs/>
                <w:sz w:val="24"/>
                <w:szCs w:val="24"/>
              </w:rPr>
              <w:t>Strategy/Activity: Human resources development (HRD) and partnerships</w:t>
            </w:r>
          </w:p>
        </w:tc>
      </w:tr>
      <w:tr w:rsidR="00587797" w:rsidRPr="006A1DDB" w14:paraId="0E14F930" w14:textId="77777777" w:rsidTr="00587797">
        <w:tc>
          <w:tcPr>
            <w:tcW w:w="2970" w:type="dxa"/>
            <w:shd w:val="clear" w:color="auto" w:fill="F2F2F2" w:themeFill="background1" w:themeFillShade="F2"/>
            <w:vAlign w:val="center"/>
          </w:tcPr>
          <w:p w14:paraId="74BC274B" w14:textId="77777777" w:rsidR="00587797" w:rsidRPr="006A1DDB" w:rsidRDefault="00587797" w:rsidP="0021319E">
            <w:pPr>
              <w:pStyle w:val="ListParagraph"/>
              <w:ind w:left="0"/>
              <w:jc w:val="center"/>
              <w:rPr>
                <w:b/>
                <w:bCs/>
                <w:sz w:val="24"/>
                <w:szCs w:val="24"/>
              </w:rPr>
            </w:pPr>
            <w:r>
              <w:rPr>
                <w:b/>
                <w:bCs/>
                <w:sz w:val="24"/>
                <w:szCs w:val="24"/>
              </w:rPr>
              <w:t>Short-Term Outcome</w:t>
            </w:r>
          </w:p>
        </w:tc>
        <w:tc>
          <w:tcPr>
            <w:tcW w:w="4243" w:type="dxa"/>
            <w:shd w:val="clear" w:color="auto" w:fill="F2F2F2" w:themeFill="background1" w:themeFillShade="F2"/>
            <w:vAlign w:val="center"/>
          </w:tcPr>
          <w:p w14:paraId="713C6560" w14:textId="77777777" w:rsidR="00587797" w:rsidRPr="006A1DDB" w:rsidRDefault="00587797" w:rsidP="0021319E">
            <w:pPr>
              <w:pStyle w:val="ListParagraph"/>
              <w:ind w:left="0"/>
              <w:jc w:val="center"/>
              <w:rPr>
                <w:b/>
                <w:bCs/>
                <w:sz w:val="24"/>
                <w:szCs w:val="24"/>
              </w:rPr>
            </w:pPr>
            <w:r>
              <w:rPr>
                <w:b/>
                <w:bCs/>
                <w:sz w:val="24"/>
                <w:szCs w:val="24"/>
              </w:rPr>
              <w:t>Planned Program Activities</w:t>
            </w:r>
          </w:p>
        </w:tc>
        <w:tc>
          <w:tcPr>
            <w:tcW w:w="2974" w:type="dxa"/>
            <w:shd w:val="clear" w:color="auto" w:fill="F2F2F2" w:themeFill="background1" w:themeFillShade="F2"/>
            <w:vAlign w:val="center"/>
          </w:tcPr>
          <w:p w14:paraId="3509FAE7" w14:textId="77777777" w:rsidR="00587797" w:rsidRPr="006A1DDB" w:rsidRDefault="00587797" w:rsidP="0021319E">
            <w:pPr>
              <w:pStyle w:val="ListParagraph"/>
              <w:ind w:left="0"/>
              <w:jc w:val="center"/>
              <w:rPr>
                <w:b/>
                <w:bCs/>
                <w:sz w:val="24"/>
                <w:szCs w:val="24"/>
              </w:rPr>
            </w:pPr>
            <w:r>
              <w:rPr>
                <w:b/>
                <w:bCs/>
                <w:sz w:val="24"/>
                <w:szCs w:val="24"/>
              </w:rPr>
              <w:t>Accomplishments</w:t>
            </w:r>
          </w:p>
        </w:tc>
        <w:tc>
          <w:tcPr>
            <w:tcW w:w="2768" w:type="dxa"/>
            <w:shd w:val="clear" w:color="auto" w:fill="F2F2F2" w:themeFill="background1" w:themeFillShade="F2"/>
            <w:vAlign w:val="center"/>
          </w:tcPr>
          <w:p w14:paraId="5AEB4077" w14:textId="77777777" w:rsidR="00587797" w:rsidRPr="006A1DDB" w:rsidRDefault="00587797" w:rsidP="0021319E">
            <w:pPr>
              <w:pStyle w:val="ListParagraph"/>
              <w:ind w:left="0"/>
              <w:jc w:val="center"/>
              <w:rPr>
                <w:b/>
                <w:bCs/>
                <w:sz w:val="24"/>
                <w:szCs w:val="24"/>
              </w:rPr>
            </w:pPr>
            <w:r>
              <w:rPr>
                <w:b/>
                <w:bCs/>
                <w:sz w:val="24"/>
                <w:szCs w:val="24"/>
              </w:rPr>
              <w:t>Barriers</w:t>
            </w:r>
          </w:p>
        </w:tc>
      </w:tr>
      <w:tr w:rsidR="00587797" w14:paraId="6CD25C28" w14:textId="77777777" w:rsidTr="00E874C9">
        <w:tc>
          <w:tcPr>
            <w:tcW w:w="2970" w:type="dxa"/>
          </w:tcPr>
          <w:p w14:paraId="68B28916" w14:textId="77777777" w:rsidR="00587797" w:rsidRDefault="00022DC6" w:rsidP="006A1DDB">
            <w:pPr>
              <w:pStyle w:val="ListParagraph"/>
              <w:ind w:left="0"/>
              <w:rPr>
                <w:sz w:val="24"/>
                <w:szCs w:val="24"/>
              </w:rPr>
            </w:pPr>
            <w:r>
              <w:rPr>
                <w:sz w:val="24"/>
                <w:szCs w:val="24"/>
              </w:rPr>
              <w:t>Increase in availability/accessibility of competency-based education/training</w:t>
            </w:r>
          </w:p>
          <w:p w14:paraId="3D85189B" w14:textId="2A67BC60" w:rsidR="00022DC6" w:rsidRPr="006A1DDB" w:rsidRDefault="00022DC6" w:rsidP="006A1DDB">
            <w:pPr>
              <w:pStyle w:val="ListParagraph"/>
              <w:ind w:left="0"/>
              <w:rPr>
                <w:sz w:val="24"/>
                <w:szCs w:val="24"/>
              </w:rPr>
            </w:pPr>
          </w:p>
        </w:tc>
        <w:tc>
          <w:tcPr>
            <w:tcW w:w="4243" w:type="dxa"/>
          </w:tcPr>
          <w:p w14:paraId="360DC1BC" w14:textId="77777777" w:rsidR="00587797" w:rsidRPr="006A1DDB" w:rsidRDefault="00587797" w:rsidP="006A1DDB">
            <w:pPr>
              <w:pStyle w:val="ListParagraph"/>
              <w:ind w:left="0"/>
              <w:rPr>
                <w:sz w:val="24"/>
                <w:szCs w:val="24"/>
              </w:rPr>
            </w:pPr>
          </w:p>
        </w:tc>
        <w:tc>
          <w:tcPr>
            <w:tcW w:w="2974" w:type="dxa"/>
          </w:tcPr>
          <w:p w14:paraId="48CE1174" w14:textId="77777777" w:rsidR="00587797" w:rsidRPr="006A1DDB" w:rsidRDefault="00587797" w:rsidP="006A1DDB">
            <w:pPr>
              <w:pStyle w:val="ListParagraph"/>
              <w:ind w:left="0"/>
              <w:rPr>
                <w:sz w:val="24"/>
                <w:szCs w:val="24"/>
              </w:rPr>
            </w:pPr>
          </w:p>
        </w:tc>
        <w:tc>
          <w:tcPr>
            <w:tcW w:w="2768" w:type="dxa"/>
          </w:tcPr>
          <w:p w14:paraId="248065E9" w14:textId="77777777" w:rsidR="00587797" w:rsidRPr="006A1DDB" w:rsidRDefault="00587797" w:rsidP="006A1DDB">
            <w:pPr>
              <w:pStyle w:val="ListParagraph"/>
              <w:ind w:left="0"/>
              <w:rPr>
                <w:sz w:val="24"/>
                <w:szCs w:val="24"/>
              </w:rPr>
            </w:pPr>
          </w:p>
        </w:tc>
      </w:tr>
      <w:tr w:rsidR="00022DC6" w14:paraId="33C35989" w14:textId="77777777" w:rsidTr="00022DC6">
        <w:tc>
          <w:tcPr>
            <w:tcW w:w="12955" w:type="dxa"/>
            <w:gridSpan w:val="4"/>
            <w:shd w:val="clear" w:color="auto" w:fill="D9D9D9" w:themeFill="background1" w:themeFillShade="D9"/>
          </w:tcPr>
          <w:p w14:paraId="22FBDFBF" w14:textId="2ADAA4CE" w:rsidR="00022DC6" w:rsidRPr="00022DC6" w:rsidRDefault="00022DC6" w:rsidP="006A1DDB">
            <w:pPr>
              <w:pStyle w:val="ListParagraph"/>
              <w:ind w:left="0"/>
              <w:rPr>
                <w:b/>
                <w:bCs/>
                <w:sz w:val="24"/>
                <w:szCs w:val="24"/>
              </w:rPr>
            </w:pPr>
            <w:r>
              <w:rPr>
                <w:b/>
                <w:bCs/>
                <w:sz w:val="24"/>
                <w:szCs w:val="24"/>
              </w:rPr>
              <w:t>Strategy/Activity: Laboratory Strengthening</w:t>
            </w:r>
          </w:p>
        </w:tc>
      </w:tr>
      <w:tr w:rsidR="00022DC6" w:rsidRPr="006A1DDB" w14:paraId="408B0022" w14:textId="77777777" w:rsidTr="00022DC6">
        <w:tc>
          <w:tcPr>
            <w:tcW w:w="2970" w:type="dxa"/>
            <w:shd w:val="clear" w:color="auto" w:fill="F2F2F2" w:themeFill="background1" w:themeFillShade="F2"/>
            <w:vAlign w:val="center"/>
          </w:tcPr>
          <w:p w14:paraId="59903893" w14:textId="77777777" w:rsidR="00022DC6" w:rsidRPr="006A1DDB" w:rsidRDefault="00022DC6" w:rsidP="0021319E">
            <w:pPr>
              <w:pStyle w:val="ListParagraph"/>
              <w:ind w:left="0"/>
              <w:jc w:val="center"/>
              <w:rPr>
                <w:b/>
                <w:bCs/>
                <w:sz w:val="24"/>
                <w:szCs w:val="24"/>
              </w:rPr>
            </w:pPr>
            <w:r>
              <w:rPr>
                <w:b/>
                <w:bCs/>
                <w:sz w:val="24"/>
                <w:szCs w:val="24"/>
              </w:rPr>
              <w:t>Short-Term Outcome</w:t>
            </w:r>
          </w:p>
        </w:tc>
        <w:tc>
          <w:tcPr>
            <w:tcW w:w="4243" w:type="dxa"/>
            <w:shd w:val="clear" w:color="auto" w:fill="F2F2F2" w:themeFill="background1" w:themeFillShade="F2"/>
            <w:vAlign w:val="center"/>
          </w:tcPr>
          <w:p w14:paraId="0CD74768" w14:textId="77777777" w:rsidR="00022DC6" w:rsidRPr="006A1DDB" w:rsidRDefault="00022DC6" w:rsidP="0021319E">
            <w:pPr>
              <w:pStyle w:val="ListParagraph"/>
              <w:ind w:left="0"/>
              <w:jc w:val="center"/>
              <w:rPr>
                <w:b/>
                <w:bCs/>
                <w:sz w:val="24"/>
                <w:szCs w:val="24"/>
              </w:rPr>
            </w:pPr>
            <w:r>
              <w:rPr>
                <w:b/>
                <w:bCs/>
                <w:sz w:val="24"/>
                <w:szCs w:val="24"/>
              </w:rPr>
              <w:t>Planned Program Activities</w:t>
            </w:r>
          </w:p>
        </w:tc>
        <w:tc>
          <w:tcPr>
            <w:tcW w:w="2974" w:type="dxa"/>
            <w:shd w:val="clear" w:color="auto" w:fill="F2F2F2" w:themeFill="background1" w:themeFillShade="F2"/>
            <w:vAlign w:val="center"/>
          </w:tcPr>
          <w:p w14:paraId="39DB18C1" w14:textId="77777777" w:rsidR="00022DC6" w:rsidRPr="006A1DDB" w:rsidRDefault="00022DC6" w:rsidP="0021319E">
            <w:pPr>
              <w:pStyle w:val="ListParagraph"/>
              <w:ind w:left="0"/>
              <w:jc w:val="center"/>
              <w:rPr>
                <w:b/>
                <w:bCs/>
                <w:sz w:val="24"/>
                <w:szCs w:val="24"/>
              </w:rPr>
            </w:pPr>
            <w:r>
              <w:rPr>
                <w:b/>
                <w:bCs/>
                <w:sz w:val="24"/>
                <w:szCs w:val="24"/>
              </w:rPr>
              <w:t>Accomplishments</w:t>
            </w:r>
          </w:p>
        </w:tc>
        <w:tc>
          <w:tcPr>
            <w:tcW w:w="2768" w:type="dxa"/>
            <w:shd w:val="clear" w:color="auto" w:fill="F2F2F2" w:themeFill="background1" w:themeFillShade="F2"/>
            <w:vAlign w:val="center"/>
          </w:tcPr>
          <w:p w14:paraId="255171E4" w14:textId="77777777" w:rsidR="00022DC6" w:rsidRPr="006A1DDB" w:rsidRDefault="00022DC6" w:rsidP="0021319E">
            <w:pPr>
              <w:pStyle w:val="ListParagraph"/>
              <w:ind w:left="0"/>
              <w:jc w:val="center"/>
              <w:rPr>
                <w:b/>
                <w:bCs/>
                <w:sz w:val="24"/>
                <w:szCs w:val="24"/>
              </w:rPr>
            </w:pPr>
            <w:r>
              <w:rPr>
                <w:b/>
                <w:bCs/>
                <w:sz w:val="24"/>
                <w:szCs w:val="24"/>
              </w:rPr>
              <w:t>Barriers</w:t>
            </w:r>
          </w:p>
        </w:tc>
      </w:tr>
      <w:tr w:rsidR="00587797" w14:paraId="17CB9CE2" w14:textId="77777777" w:rsidTr="00E874C9">
        <w:tc>
          <w:tcPr>
            <w:tcW w:w="2970" w:type="dxa"/>
          </w:tcPr>
          <w:p w14:paraId="11098D05" w14:textId="59EC8B45" w:rsidR="00587797" w:rsidRPr="006A1DDB" w:rsidRDefault="004A531F" w:rsidP="006A1DDB">
            <w:pPr>
              <w:pStyle w:val="ListParagraph"/>
              <w:ind w:left="0"/>
              <w:rPr>
                <w:sz w:val="24"/>
                <w:szCs w:val="24"/>
              </w:rPr>
            </w:pPr>
            <w:r>
              <w:rPr>
                <w:sz w:val="24"/>
                <w:szCs w:val="24"/>
              </w:rPr>
              <w:t>Decrease in TATs for specimen receipt, acid-fast bacillus smear, NAA identification, identification of MTBC, and growth-based or molecular drug-susceptibility testing</w:t>
            </w:r>
          </w:p>
        </w:tc>
        <w:tc>
          <w:tcPr>
            <w:tcW w:w="4243" w:type="dxa"/>
          </w:tcPr>
          <w:p w14:paraId="3673C266" w14:textId="77777777" w:rsidR="00587797" w:rsidRPr="006A1DDB" w:rsidRDefault="00587797" w:rsidP="006A1DDB">
            <w:pPr>
              <w:pStyle w:val="ListParagraph"/>
              <w:ind w:left="0"/>
              <w:rPr>
                <w:sz w:val="24"/>
                <w:szCs w:val="24"/>
              </w:rPr>
            </w:pPr>
          </w:p>
        </w:tc>
        <w:tc>
          <w:tcPr>
            <w:tcW w:w="2974" w:type="dxa"/>
          </w:tcPr>
          <w:p w14:paraId="11F584C5" w14:textId="77777777" w:rsidR="00587797" w:rsidRPr="006A1DDB" w:rsidRDefault="00587797" w:rsidP="006A1DDB">
            <w:pPr>
              <w:pStyle w:val="ListParagraph"/>
              <w:ind w:left="0"/>
              <w:rPr>
                <w:sz w:val="24"/>
                <w:szCs w:val="24"/>
              </w:rPr>
            </w:pPr>
          </w:p>
        </w:tc>
        <w:tc>
          <w:tcPr>
            <w:tcW w:w="2768" w:type="dxa"/>
          </w:tcPr>
          <w:p w14:paraId="12F33882" w14:textId="77777777" w:rsidR="00587797" w:rsidRPr="006A1DDB" w:rsidRDefault="00587797" w:rsidP="006A1DDB">
            <w:pPr>
              <w:pStyle w:val="ListParagraph"/>
              <w:ind w:left="0"/>
              <w:rPr>
                <w:sz w:val="24"/>
                <w:szCs w:val="24"/>
              </w:rPr>
            </w:pPr>
          </w:p>
        </w:tc>
      </w:tr>
    </w:tbl>
    <w:p w14:paraId="085E580F" w14:textId="77777777" w:rsidR="008E52B2" w:rsidRDefault="008E52B2" w:rsidP="00054B01">
      <w:pPr>
        <w:spacing w:after="0" w:line="240" w:lineRule="auto"/>
        <w:rPr>
          <w:b/>
          <w:bCs/>
          <w:sz w:val="24"/>
          <w:szCs w:val="24"/>
        </w:rPr>
      </w:pPr>
    </w:p>
    <w:p w14:paraId="342D6B40" w14:textId="77777777" w:rsidR="00054B01" w:rsidRDefault="00054B01" w:rsidP="00054B01">
      <w:pPr>
        <w:spacing w:after="0" w:line="240" w:lineRule="auto"/>
        <w:rPr>
          <w:b/>
          <w:bCs/>
          <w:sz w:val="24"/>
          <w:szCs w:val="24"/>
          <w:u w:val="single"/>
        </w:rPr>
      </w:pPr>
      <w:r>
        <w:rPr>
          <w:b/>
          <w:bCs/>
          <w:sz w:val="24"/>
          <w:szCs w:val="24"/>
          <w:u w:val="single"/>
        </w:rPr>
        <w:t>Collaborations</w:t>
      </w:r>
    </w:p>
    <w:tbl>
      <w:tblPr>
        <w:tblStyle w:val="TableGrid"/>
        <w:tblW w:w="0" w:type="auto"/>
        <w:tblInd w:w="-5" w:type="dxa"/>
        <w:tblLook w:val="04A0" w:firstRow="1" w:lastRow="0" w:firstColumn="1" w:lastColumn="0" w:noHBand="0" w:noVBand="1"/>
      </w:tblPr>
      <w:tblGrid>
        <w:gridCol w:w="2965"/>
        <w:gridCol w:w="4230"/>
        <w:gridCol w:w="3060"/>
        <w:gridCol w:w="2700"/>
      </w:tblGrid>
      <w:tr w:rsidR="00131116" w:rsidRPr="006A1DDB" w14:paraId="2A03CA87" w14:textId="77777777" w:rsidTr="00131116">
        <w:tc>
          <w:tcPr>
            <w:tcW w:w="2965" w:type="dxa"/>
            <w:shd w:val="clear" w:color="auto" w:fill="F2F2F2" w:themeFill="background1" w:themeFillShade="F2"/>
            <w:vAlign w:val="center"/>
          </w:tcPr>
          <w:p w14:paraId="5CC963C6" w14:textId="303B7492" w:rsidR="00131116" w:rsidRPr="006A1DDB" w:rsidRDefault="00131116" w:rsidP="0021319E">
            <w:pPr>
              <w:pStyle w:val="ListParagraph"/>
              <w:ind w:left="0"/>
              <w:jc w:val="center"/>
              <w:rPr>
                <w:b/>
                <w:bCs/>
                <w:sz w:val="24"/>
                <w:szCs w:val="24"/>
              </w:rPr>
            </w:pPr>
            <w:bookmarkStart w:id="5" w:name="_Hlk75521701"/>
            <w:r>
              <w:rPr>
                <w:b/>
                <w:bCs/>
                <w:sz w:val="24"/>
                <w:szCs w:val="24"/>
              </w:rPr>
              <w:t xml:space="preserve">Outcome </w:t>
            </w:r>
          </w:p>
        </w:tc>
        <w:tc>
          <w:tcPr>
            <w:tcW w:w="4230" w:type="dxa"/>
            <w:shd w:val="clear" w:color="auto" w:fill="F2F2F2" w:themeFill="background1" w:themeFillShade="F2"/>
            <w:vAlign w:val="center"/>
          </w:tcPr>
          <w:p w14:paraId="35057979" w14:textId="77777777" w:rsidR="00131116" w:rsidRPr="006A1DDB" w:rsidRDefault="00131116" w:rsidP="0021319E">
            <w:pPr>
              <w:pStyle w:val="ListParagraph"/>
              <w:ind w:left="0"/>
              <w:jc w:val="center"/>
              <w:rPr>
                <w:b/>
                <w:bCs/>
                <w:sz w:val="24"/>
                <w:szCs w:val="24"/>
              </w:rPr>
            </w:pPr>
            <w:r>
              <w:rPr>
                <w:b/>
                <w:bCs/>
                <w:sz w:val="24"/>
                <w:szCs w:val="24"/>
              </w:rPr>
              <w:t>Planned Program Activities</w:t>
            </w:r>
          </w:p>
        </w:tc>
        <w:tc>
          <w:tcPr>
            <w:tcW w:w="3060" w:type="dxa"/>
            <w:shd w:val="clear" w:color="auto" w:fill="F2F2F2" w:themeFill="background1" w:themeFillShade="F2"/>
            <w:vAlign w:val="center"/>
          </w:tcPr>
          <w:p w14:paraId="2E11E8EE" w14:textId="77777777" w:rsidR="00131116" w:rsidRPr="006A1DDB" w:rsidRDefault="00131116" w:rsidP="0021319E">
            <w:pPr>
              <w:pStyle w:val="ListParagraph"/>
              <w:ind w:left="0"/>
              <w:jc w:val="center"/>
              <w:rPr>
                <w:b/>
                <w:bCs/>
                <w:sz w:val="24"/>
                <w:szCs w:val="24"/>
              </w:rPr>
            </w:pPr>
            <w:r>
              <w:rPr>
                <w:b/>
                <w:bCs/>
                <w:sz w:val="24"/>
                <w:szCs w:val="24"/>
              </w:rPr>
              <w:t>Accomplishments</w:t>
            </w:r>
          </w:p>
        </w:tc>
        <w:tc>
          <w:tcPr>
            <w:tcW w:w="2700" w:type="dxa"/>
            <w:shd w:val="clear" w:color="auto" w:fill="F2F2F2" w:themeFill="background1" w:themeFillShade="F2"/>
            <w:vAlign w:val="center"/>
          </w:tcPr>
          <w:p w14:paraId="0021C15D" w14:textId="77777777" w:rsidR="00131116" w:rsidRPr="006A1DDB" w:rsidRDefault="00131116" w:rsidP="0021319E">
            <w:pPr>
              <w:pStyle w:val="ListParagraph"/>
              <w:ind w:left="0"/>
              <w:jc w:val="center"/>
              <w:rPr>
                <w:b/>
                <w:bCs/>
                <w:sz w:val="24"/>
                <w:szCs w:val="24"/>
              </w:rPr>
            </w:pPr>
            <w:r>
              <w:rPr>
                <w:b/>
                <w:bCs/>
                <w:sz w:val="24"/>
                <w:szCs w:val="24"/>
              </w:rPr>
              <w:t>Barriers</w:t>
            </w:r>
          </w:p>
        </w:tc>
      </w:tr>
      <w:tr w:rsidR="00131116" w14:paraId="09A26A7C" w14:textId="77777777" w:rsidTr="00131116">
        <w:tc>
          <w:tcPr>
            <w:tcW w:w="2965" w:type="dxa"/>
          </w:tcPr>
          <w:p w14:paraId="7A47D634" w14:textId="486D312A" w:rsidR="00131116" w:rsidRDefault="00131116" w:rsidP="00054B01">
            <w:pPr>
              <w:rPr>
                <w:sz w:val="24"/>
                <w:szCs w:val="24"/>
              </w:rPr>
            </w:pPr>
            <w:r>
              <w:rPr>
                <w:sz w:val="24"/>
                <w:szCs w:val="24"/>
              </w:rPr>
              <w:t>Collaborate with CDC programs and CDC-funded organizations</w:t>
            </w:r>
          </w:p>
        </w:tc>
        <w:tc>
          <w:tcPr>
            <w:tcW w:w="4230" w:type="dxa"/>
          </w:tcPr>
          <w:p w14:paraId="30F191C9" w14:textId="77777777" w:rsidR="00131116" w:rsidRDefault="00131116" w:rsidP="00054B01">
            <w:pPr>
              <w:rPr>
                <w:sz w:val="24"/>
                <w:szCs w:val="24"/>
              </w:rPr>
            </w:pPr>
          </w:p>
        </w:tc>
        <w:tc>
          <w:tcPr>
            <w:tcW w:w="3060" w:type="dxa"/>
          </w:tcPr>
          <w:p w14:paraId="3E72A077" w14:textId="77777777" w:rsidR="00131116" w:rsidRDefault="00131116" w:rsidP="00054B01">
            <w:pPr>
              <w:rPr>
                <w:sz w:val="24"/>
                <w:szCs w:val="24"/>
              </w:rPr>
            </w:pPr>
          </w:p>
        </w:tc>
        <w:tc>
          <w:tcPr>
            <w:tcW w:w="2700" w:type="dxa"/>
          </w:tcPr>
          <w:p w14:paraId="4E82C3E8" w14:textId="77777777" w:rsidR="00131116" w:rsidRDefault="00131116" w:rsidP="00054B01">
            <w:pPr>
              <w:rPr>
                <w:sz w:val="24"/>
                <w:szCs w:val="24"/>
              </w:rPr>
            </w:pPr>
          </w:p>
        </w:tc>
      </w:tr>
      <w:tr w:rsidR="00131116" w14:paraId="6D1553CC" w14:textId="77777777" w:rsidTr="00131116">
        <w:tc>
          <w:tcPr>
            <w:tcW w:w="2965" w:type="dxa"/>
          </w:tcPr>
          <w:p w14:paraId="319A2048" w14:textId="168150ED" w:rsidR="00131116" w:rsidRDefault="00131116" w:rsidP="00054B01">
            <w:pPr>
              <w:rPr>
                <w:sz w:val="24"/>
                <w:szCs w:val="24"/>
              </w:rPr>
            </w:pPr>
            <w:r>
              <w:rPr>
                <w:sz w:val="24"/>
                <w:szCs w:val="24"/>
              </w:rPr>
              <w:t>Collaborate with organizations not funded by CDC</w:t>
            </w:r>
          </w:p>
        </w:tc>
        <w:tc>
          <w:tcPr>
            <w:tcW w:w="4230" w:type="dxa"/>
          </w:tcPr>
          <w:p w14:paraId="00D526B4" w14:textId="77777777" w:rsidR="00131116" w:rsidRDefault="00131116" w:rsidP="00054B01">
            <w:pPr>
              <w:rPr>
                <w:sz w:val="24"/>
                <w:szCs w:val="24"/>
              </w:rPr>
            </w:pPr>
          </w:p>
        </w:tc>
        <w:tc>
          <w:tcPr>
            <w:tcW w:w="3060" w:type="dxa"/>
          </w:tcPr>
          <w:p w14:paraId="0C3A71E1" w14:textId="77777777" w:rsidR="00131116" w:rsidRDefault="00131116" w:rsidP="00054B01">
            <w:pPr>
              <w:rPr>
                <w:sz w:val="24"/>
                <w:szCs w:val="24"/>
              </w:rPr>
            </w:pPr>
          </w:p>
        </w:tc>
        <w:tc>
          <w:tcPr>
            <w:tcW w:w="2700" w:type="dxa"/>
          </w:tcPr>
          <w:p w14:paraId="392F77D7" w14:textId="77777777" w:rsidR="00131116" w:rsidRDefault="00131116" w:rsidP="00054B01">
            <w:pPr>
              <w:rPr>
                <w:sz w:val="24"/>
                <w:szCs w:val="24"/>
              </w:rPr>
            </w:pPr>
          </w:p>
        </w:tc>
      </w:tr>
      <w:bookmarkEnd w:id="5"/>
    </w:tbl>
    <w:p w14:paraId="1C09EF81" w14:textId="211BB27E" w:rsidR="00054B01" w:rsidRPr="00131116" w:rsidRDefault="00054B01" w:rsidP="00054B01">
      <w:pPr>
        <w:spacing w:after="0" w:line="240" w:lineRule="auto"/>
        <w:rPr>
          <w:sz w:val="24"/>
          <w:szCs w:val="24"/>
        </w:rPr>
      </w:pPr>
    </w:p>
    <w:p w14:paraId="3E9B4E63" w14:textId="77777777" w:rsidR="00131116" w:rsidRDefault="00131116" w:rsidP="00054B01">
      <w:pPr>
        <w:spacing w:after="0" w:line="240" w:lineRule="auto"/>
        <w:rPr>
          <w:b/>
          <w:bCs/>
          <w:sz w:val="24"/>
          <w:szCs w:val="24"/>
          <w:u w:val="single"/>
        </w:rPr>
      </w:pPr>
    </w:p>
    <w:p w14:paraId="41452B28" w14:textId="77777777" w:rsidR="00054B01" w:rsidRDefault="00054B01" w:rsidP="00054B01">
      <w:pPr>
        <w:spacing w:after="0" w:line="240" w:lineRule="auto"/>
        <w:rPr>
          <w:b/>
          <w:bCs/>
          <w:sz w:val="24"/>
          <w:szCs w:val="24"/>
          <w:u w:val="single"/>
        </w:rPr>
      </w:pPr>
      <w:r>
        <w:rPr>
          <w:b/>
          <w:bCs/>
          <w:sz w:val="24"/>
          <w:szCs w:val="24"/>
          <w:u w:val="single"/>
        </w:rPr>
        <w:t>Target Populations and Health Disparities</w:t>
      </w:r>
    </w:p>
    <w:tbl>
      <w:tblPr>
        <w:tblStyle w:val="TableGrid"/>
        <w:tblW w:w="0" w:type="auto"/>
        <w:tblInd w:w="-5" w:type="dxa"/>
        <w:tblLook w:val="04A0" w:firstRow="1" w:lastRow="0" w:firstColumn="1" w:lastColumn="0" w:noHBand="0" w:noVBand="1"/>
      </w:tblPr>
      <w:tblGrid>
        <w:gridCol w:w="2965"/>
        <w:gridCol w:w="4230"/>
        <w:gridCol w:w="3060"/>
        <w:gridCol w:w="2700"/>
      </w:tblGrid>
      <w:tr w:rsidR="00131116" w:rsidRPr="006A1DDB" w14:paraId="6433EB4D" w14:textId="77777777" w:rsidTr="0021319E">
        <w:tc>
          <w:tcPr>
            <w:tcW w:w="2965" w:type="dxa"/>
            <w:shd w:val="clear" w:color="auto" w:fill="F2F2F2" w:themeFill="background1" w:themeFillShade="F2"/>
            <w:vAlign w:val="center"/>
          </w:tcPr>
          <w:p w14:paraId="11C4B5A3" w14:textId="77777777" w:rsidR="00131116" w:rsidRPr="006A1DDB" w:rsidRDefault="00131116" w:rsidP="0021319E">
            <w:pPr>
              <w:pStyle w:val="ListParagraph"/>
              <w:ind w:left="0"/>
              <w:jc w:val="center"/>
              <w:rPr>
                <w:b/>
                <w:bCs/>
                <w:sz w:val="24"/>
                <w:szCs w:val="24"/>
              </w:rPr>
            </w:pPr>
            <w:r>
              <w:rPr>
                <w:b/>
                <w:bCs/>
                <w:sz w:val="24"/>
                <w:szCs w:val="24"/>
              </w:rPr>
              <w:t xml:space="preserve">Outcome </w:t>
            </w:r>
          </w:p>
        </w:tc>
        <w:tc>
          <w:tcPr>
            <w:tcW w:w="4230" w:type="dxa"/>
            <w:shd w:val="clear" w:color="auto" w:fill="F2F2F2" w:themeFill="background1" w:themeFillShade="F2"/>
            <w:vAlign w:val="center"/>
          </w:tcPr>
          <w:p w14:paraId="4278F326" w14:textId="77777777" w:rsidR="00131116" w:rsidRPr="006A1DDB" w:rsidRDefault="00131116" w:rsidP="0021319E">
            <w:pPr>
              <w:pStyle w:val="ListParagraph"/>
              <w:ind w:left="0"/>
              <w:jc w:val="center"/>
              <w:rPr>
                <w:b/>
                <w:bCs/>
                <w:sz w:val="24"/>
                <w:szCs w:val="24"/>
              </w:rPr>
            </w:pPr>
            <w:r>
              <w:rPr>
                <w:b/>
                <w:bCs/>
                <w:sz w:val="24"/>
                <w:szCs w:val="24"/>
              </w:rPr>
              <w:t>Planned Program Activities</w:t>
            </w:r>
          </w:p>
        </w:tc>
        <w:tc>
          <w:tcPr>
            <w:tcW w:w="3060" w:type="dxa"/>
            <w:shd w:val="clear" w:color="auto" w:fill="F2F2F2" w:themeFill="background1" w:themeFillShade="F2"/>
            <w:vAlign w:val="center"/>
          </w:tcPr>
          <w:p w14:paraId="3514D6D7" w14:textId="77777777" w:rsidR="00131116" w:rsidRPr="006A1DDB" w:rsidRDefault="00131116" w:rsidP="0021319E">
            <w:pPr>
              <w:pStyle w:val="ListParagraph"/>
              <w:ind w:left="0"/>
              <w:jc w:val="center"/>
              <w:rPr>
                <w:b/>
                <w:bCs/>
                <w:sz w:val="24"/>
                <w:szCs w:val="24"/>
              </w:rPr>
            </w:pPr>
            <w:r>
              <w:rPr>
                <w:b/>
                <w:bCs/>
                <w:sz w:val="24"/>
                <w:szCs w:val="24"/>
              </w:rPr>
              <w:t>Accomplishments</w:t>
            </w:r>
          </w:p>
        </w:tc>
        <w:tc>
          <w:tcPr>
            <w:tcW w:w="2700" w:type="dxa"/>
            <w:shd w:val="clear" w:color="auto" w:fill="F2F2F2" w:themeFill="background1" w:themeFillShade="F2"/>
            <w:vAlign w:val="center"/>
          </w:tcPr>
          <w:p w14:paraId="7B82CE5E" w14:textId="77777777" w:rsidR="00131116" w:rsidRPr="006A1DDB" w:rsidRDefault="00131116" w:rsidP="0021319E">
            <w:pPr>
              <w:pStyle w:val="ListParagraph"/>
              <w:ind w:left="0"/>
              <w:jc w:val="center"/>
              <w:rPr>
                <w:b/>
                <w:bCs/>
                <w:sz w:val="24"/>
                <w:szCs w:val="24"/>
              </w:rPr>
            </w:pPr>
            <w:r>
              <w:rPr>
                <w:b/>
                <w:bCs/>
                <w:sz w:val="24"/>
                <w:szCs w:val="24"/>
              </w:rPr>
              <w:t>Barriers</w:t>
            </w:r>
          </w:p>
        </w:tc>
      </w:tr>
      <w:tr w:rsidR="00131116" w14:paraId="53350B01" w14:textId="77777777" w:rsidTr="0021319E">
        <w:tc>
          <w:tcPr>
            <w:tcW w:w="2965" w:type="dxa"/>
          </w:tcPr>
          <w:p w14:paraId="36D6CC41" w14:textId="440E1C00" w:rsidR="00131116" w:rsidRDefault="00131116" w:rsidP="0021319E">
            <w:pPr>
              <w:rPr>
                <w:sz w:val="24"/>
                <w:szCs w:val="24"/>
              </w:rPr>
            </w:pPr>
            <w:r>
              <w:rPr>
                <w:sz w:val="24"/>
                <w:szCs w:val="24"/>
              </w:rPr>
              <w:t>Collaborate with partners throughout Tennessee that serve high-risk populations</w:t>
            </w:r>
          </w:p>
        </w:tc>
        <w:tc>
          <w:tcPr>
            <w:tcW w:w="4230" w:type="dxa"/>
          </w:tcPr>
          <w:p w14:paraId="6966A6F0" w14:textId="77777777" w:rsidR="00131116" w:rsidRDefault="00131116" w:rsidP="0021319E">
            <w:pPr>
              <w:rPr>
                <w:sz w:val="24"/>
                <w:szCs w:val="24"/>
              </w:rPr>
            </w:pPr>
          </w:p>
        </w:tc>
        <w:tc>
          <w:tcPr>
            <w:tcW w:w="3060" w:type="dxa"/>
          </w:tcPr>
          <w:p w14:paraId="221F3069" w14:textId="77777777" w:rsidR="00131116" w:rsidRDefault="00131116" w:rsidP="0021319E">
            <w:pPr>
              <w:rPr>
                <w:sz w:val="24"/>
                <w:szCs w:val="24"/>
              </w:rPr>
            </w:pPr>
          </w:p>
        </w:tc>
        <w:tc>
          <w:tcPr>
            <w:tcW w:w="2700" w:type="dxa"/>
          </w:tcPr>
          <w:p w14:paraId="21910337" w14:textId="77777777" w:rsidR="00131116" w:rsidRDefault="00131116" w:rsidP="0021319E">
            <w:pPr>
              <w:rPr>
                <w:sz w:val="24"/>
                <w:szCs w:val="24"/>
              </w:rPr>
            </w:pPr>
          </w:p>
        </w:tc>
      </w:tr>
      <w:tr w:rsidR="00131116" w14:paraId="69C59823" w14:textId="77777777" w:rsidTr="0021319E">
        <w:tc>
          <w:tcPr>
            <w:tcW w:w="2965" w:type="dxa"/>
          </w:tcPr>
          <w:p w14:paraId="34F3FDC8" w14:textId="494C2FFD" w:rsidR="00131116" w:rsidRDefault="00131116" w:rsidP="0021319E">
            <w:pPr>
              <w:rPr>
                <w:sz w:val="24"/>
                <w:szCs w:val="24"/>
              </w:rPr>
            </w:pPr>
            <w:r>
              <w:rPr>
                <w:sz w:val="24"/>
                <w:szCs w:val="24"/>
              </w:rPr>
              <w:t>Provide plain language educational materials in 10 most commonly spoken languages of TB and TBI patients</w:t>
            </w:r>
          </w:p>
        </w:tc>
        <w:tc>
          <w:tcPr>
            <w:tcW w:w="4230" w:type="dxa"/>
          </w:tcPr>
          <w:p w14:paraId="0F5BA206" w14:textId="77777777" w:rsidR="00131116" w:rsidRDefault="00131116" w:rsidP="0021319E">
            <w:pPr>
              <w:rPr>
                <w:sz w:val="24"/>
                <w:szCs w:val="24"/>
              </w:rPr>
            </w:pPr>
          </w:p>
        </w:tc>
        <w:tc>
          <w:tcPr>
            <w:tcW w:w="3060" w:type="dxa"/>
          </w:tcPr>
          <w:p w14:paraId="496374C7" w14:textId="77777777" w:rsidR="00131116" w:rsidRDefault="00131116" w:rsidP="0021319E">
            <w:pPr>
              <w:rPr>
                <w:sz w:val="24"/>
                <w:szCs w:val="24"/>
              </w:rPr>
            </w:pPr>
          </w:p>
        </w:tc>
        <w:tc>
          <w:tcPr>
            <w:tcW w:w="2700" w:type="dxa"/>
          </w:tcPr>
          <w:p w14:paraId="0783E3C4" w14:textId="77777777" w:rsidR="00131116" w:rsidRDefault="00131116" w:rsidP="0021319E">
            <w:pPr>
              <w:rPr>
                <w:sz w:val="24"/>
                <w:szCs w:val="24"/>
              </w:rPr>
            </w:pPr>
          </w:p>
        </w:tc>
      </w:tr>
    </w:tbl>
    <w:p w14:paraId="277CE6EF" w14:textId="77777777" w:rsidR="00131116" w:rsidRDefault="00131116" w:rsidP="00054B01">
      <w:pPr>
        <w:spacing w:after="0" w:line="240" w:lineRule="auto"/>
        <w:rPr>
          <w:sz w:val="24"/>
          <w:szCs w:val="24"/>
        </w:rPr>
      </w:pPr>
    </w:p>
    <w:p w14:paraId="5CAF5D61" w14:textId="77777777" w:rsidR="00703B74" w:rsidRDefault="00703B74" w:rsidP="00054B01">
      <w:pPr>
        <w:spacing w:after="0" w:line="240" w:lineRule="auto"/>
        <w:rPr>
          <w:b/>
          <w:bCs/>
          <w:sz w:val="24"/>
          <w:szCs w:val="24"/>
          <w:u w:val="single"/>
        </w:rPr>
        <w:sectPr w:rsidR="00703B74" w:rsidSect="00AF1F47">
          <w:headerReference w:type="default" r:id="rId10"/>
          <w:pgSz w:w="15840" w:h="12240" w:orient="landscape"/>
          <w:pgMar w:top="1440" w:right="1440" w:bottom="1440" w:left="1440" w:header="720" w:footer="720" w:gutter="0"/>
          <w:cols w:space="720"/>
          <w:docGrid w:linePitch="360"/>
        </w:sectPr>
      </w:pPr>
    </w:p>
    <w:p w14:paraId="0682C888" w14:textId="1B9BF6C3" w:rsidR="0056720D" w:rsidRDefault="0056720D" w:rsidP="00054B01">
      <w:pPr>
        <w:spacing w:after="0" w:line="240" w:lineRule="auto"/>
        <w:rPr>
          <w:b/>
          <w:bCs/>
          <w:sz w:val="24"/>
          <w:szCs w:val="24"/>
          <w:u w:val="single"/>
        </w:rPr>
      </w:pPr>
      <w:r>
        <w:rPr>
          <w:b/>
          <w:bCs/>
          <w:sz w:val="24"/>
          <w:szCs w:val="24"/>
          <w:u w:val="single"/>
        </w:rPr>
        <w:t>Work Plan</w:t>
      </w:r>
    </w:p>
    <w:p w14:paraId="4956673D" w14:textId="77777777" w:rsidR="00DB3CAD" w:rsidRDefault="00DB3CAD" w:rsidP="00054B01">
      <w:pPr>
        <w:spacing w:after="0" w:line="240" w:lineRule="auto"/>
        <w:rPr>
          <w:b/>
          <w:bCs/>
          <w:sz w:val="24"/>
          <w:szCs w:val="24"/>
          <w:u w:val="single"/>
        </w:rPr>
      </w:pPr>
    </w:p>
    <w:tbl>
      <w:tblPr>
        <w:tblStyle w:val="TableGrid"/>
        <w:tblW w:w="0" w:type="auto"/>
        <w:tblLayout w:type="fixed"/>
        <w:tblLook w:val="04A0" w:firstRow="1" w:lastRow="0" w:firstColumn="1" w:lastColumn="0" w:noHBand="0" w:noVBand="1"/>
      </w:tblPr>
      <w:tblGrid>
        <w:gridCol w:w="2590"/>
        <w:gridCol w:w="2590"/>
        <w:gridCol w:w="2590"/>
        <w:gridCol w:w="2590"/>
        <w:gridCol w:w="2590"/>
      </w:tblGrid>
      <w:tr w:rsidR="00780541" w14:paraId="70576CCC" w14:textId="77777777" w:rsidTr="00C21B6F">
        <w:tc>
          <w:tcPr>
            <w:tcW w:w="12950" w:type="dxa"/>
            <w:gridSpan w:val="5"/>
            <w:shd w:val="clear" w:color="auto" w:fill="D9D9D9" w:themeFill="background1" w:themeFillShade="D9"/>
          </w:tcPr>
          <w:p w14:paraId="08639BAA" w14:textId="56AF65CA" w:rsidR="00780541" w:rsidRPr="00780541" w:rsidRDefault="00780541" w:rsidP="00054B01">
            <w:pPr>
              <w:rPr>
                <w:b/>
                <w:bCs/>
                <w:sz w:val="24"/>
                <w:szCs w:val="24"/>
              </w:rPr>
            </w:pPr>
            <w:r>
              <w:rPr>
                <w:b/>
                <w:bCs/>
                <w:sz w:val="24"/>
                <w:szCs w:val="24"/>
              </w:rPr>
              <w:t>Strategy 1: Diagnosis/Treatment of Persons with TB Disease</w:t>
            </w:r>
          </w:p>
        </w:tc>
      </w:tr>
      <w:tr w:rsidR="00780541" w14:paraId="09CB2A3C" w14:textId="77777777" w:rsidTr="00C21B6F">
        <w:tc>
          <w:tcPr>
            <w:tcW w:w="5180" w:type="dxa"/>
            <w:gridSpan w:val="2"/>
            <w:shd w:val="clear" w:color="auto" w:fill="F2F2F2" w:themeFill="background1" w:themeFillShade="F2"/>
          </w:tcPr>
          <w:p w14:paraId="41582E82" w14:textId="53440AA9" w:rsidR="00780541" w:rsidRPr="00780541" w:rsidRDefault="00780541" w:rsidP="00780541">
            <w:pPr>
              <w:jc w:val="center"/>
              <w:rPr>
                <w:b/>
                <w:bCs/>
                <w:sz w:val="24"/>
                <w:szCs w:val="24"/>
              </w:rPr>
            </w:pPr>
            <w:r w:rsidRPr="00780541">
              <w:rPr>
                <w:b/>
                <w:bCs/>
                <w:sz w:val="24"/>
                <w:szCs w:val="24"/>
              </w:rPr>
              <w:t>Related Outcome</w:t>
            </w:r>
          </w:p>
        </w:tc>
        <w:tc>
          <w:tcPr>
            <w:tcW w:w="7770" w:type="dxa"/>
            <w:gridSpan w:val="3"/>
            <w:shd w:val="clear" w:color="auto" w:fill="F2F2F2" w:themeFill="background1" w:themeFillShade="F2"/>
          </w:tcPr>
          <w:p w14:paraId="081431E7" w14:textId="5E604145" w:rsidR="00780541" w:rsidRPr="00780541" w:rsidRDefault="00780541" w:rsidP="00780541">
            <w:pPr>
              <w:jc w:val="center"/>
              <w:rPr>
                <w:b/>
                <w:bCs/>
                <w:sz w:val="24"/>
                <w:szCs w:val="24"/>
              </w:rPr>
            </w:pPr>
            <w:r>
              <w:rPr>
                <w:b/>
                <w:bCs/>
                <w:sz w:val="24"/>
                <w:szCs w:val="24"/>
              </w:rPr>
              <w:t>Measure of Success</w:t>
            </w:r>
          </w:p>
        </w:tc>
      </w:tr>
      <w:tr w:rsidR="00780541" w14:paraId="66A2A883" w14:textId="77777777" w:rsidTr="00C21B6F">
        <w:tc>
          <w:tcPr>
            <w:tcW w:w="5180" w:type="dxa"/>
            <w:gridSpan w:val="2"/>
          </w:tcPr>
          <w:p w14:paraId="319055E7" w14:textId="7508C8E1" w:rsidR="00780541" w:rsidRPr="00780541" w:rsidRDefault="00780541" w:rsidP="00780541">
            <w:pPr>
              <w:pStyle w:val="ListParagraph"/>
              <w:numPr>
                <w:ilvl w:val="0"/>
                <w:numId w:val="36"/>
              </w:numPr>
              <w:ind w:left="330"/>
              <w:rPr>
                <w:sz w:val="24"/>
                <w:szCs w:val="24"/>
              </w:rPr>
            </w:pPr>
            <w:r>
              <w:rPr>
                <w:sz w:val="24"/>
                <w:szCs w:val="24"/>
              </w:rPr>
              <w:t>Earlier patient diagnosis; (2) increase in TB cases with HIV results; (3) cases with drug-susceptibility testing (DST) results; (4) patients on/responding to appropriate treatment</w:t>
            </w:r>
          </w:p>
        </w:tc>
        <w:tc>
          <w:tcPr>
            <w:tcW w:w="7770" w:type="dxa"/>
            <w:gridSpan w:val="3"/>
          </w:tcPr>
          <w:p w14:paraId="157C8FBB" w14:textId="46116CC9" w:rsidR="00780541" w:rsidRDefault="00780541" w:rsidP="00054B01">
            <w:pPr>
              <w:rPr>
                <w:sz w:val="24"/>
                <w:szCs w:val="24"/>
              </w:rPr>
            </w:pPr>
            <w:r>
              <w:rPr>
                <w:sz w:val="24"/>
                <w:szCs w:val="24"/>
              </w:rPr>
              <w:t xml:space="preserve">National TB Indicator Project (NTIP) objectives for case management and treatment can be accessed at: </w:t>
            </w:r>
            <w:hyperlink r:id="rId11" w:history="1">
              <w:r w:rsidRPr="00A33505">
                <w:rPr>
                  <w:rStyle w:val="Hyperlink"/>
                  <w:sz w:val="24"/>
                  <w:szCs w:val="24"/>
                </w:rPr>
                <w:t>https://www.cdc.gov/tb/programs/evaluation/indicators/default.htm</w:t>
              </w:r>
            </w:hyperlink>
            <w:r>
              <w:rPr>
                <w:sz w:val="24"/>
                <w:szCs w:val="24"/>
              </w:rPr>
              <w:t xml:space="preserve"> </w:t>
            </w:r>
          </w:p>
        </w:tc>
      </w:tr>
      <w:tr w:rsidR="0076132E" w14:paraId="1C212678" w14:textId="77777777" w:rsidTr="00C21B6F">
        <w:tc>
          <w:tcPr>
            <w:tcW w:w="2590" w:type="dxa"/>
            <w:shd w:val="clear" w:color="auto" w:fill="F2F2F2" w:themeFill="background1" w:themeFillShade="F2"/>
          </w:tcPr>
          <w:p w14:paraId="0927908C" w14:textId="15F345B6" w:rsidR="0076132E" w:rsidRPr="002E25CE" w:rsidRDefault="002E25CE" w:rsidP="002E25CE">
            <w:pPr>
              <w:jc w:val="center"/>
              <w:rPr>
                <w:b/>
                <w:bCs/>
                <w:sz w:val="24"/>
                <w:szCs w:val="24"/>
              </w:rPr>
            </w:pPr>
            <w:r>
              <w:rPr>
                <w:b/>
                <w:bCs/>
                <w:sz w:val="24"/>
                <w:szCs w:val="24"/>
              </w:rPr>
              <w:t>Objectives</w:t>
            </w:r>
          </w:p>
        </w:tc>
        <w:tc>
          <w:tcPr>
            <w:tcW w:w="2590" w:type="dxa"/>
            <w:shd w:val="clear" w:color="auto" w:fill="F2F2F2" w:themeFill="background1" w:themeFillShade="F2"/>
          </w:tcPr>
          <w:p w14:paraId="4DE0EE00" w14:textId="47561820" w:rsidR="0076132E" w:rsidRPr="002E25CE" w:rsidRDefault="002E25CE" w:rsidP="002E25CE">
            <w:pPr>
              <w:jc w:val="center"/>
              <w:rPr>
                <w:b/>
                <w:bCs/>
                <w:sz w:val="24"/>
                <w:szCs w:val="24"/>
              </w:rPr>
            </w:pPr>
            <w:r>
              <w:rPr>
                <w:b/>
                <w:bCs/>
                <w:sz w:val="24"/>
                <w:szCs w:val="24"/>
              </w:rPr>
              <w:t>Activities</w:t>
            </w:r>
          </w:p>
        </w:tc>
        <w:tc>
          <w:tcPr>
            <w:tcW w:w="2590" w:type="dxa"/>
            <w:shd w:val="clear" w:color="auto" w:fill="F2F2F2" w:themeFill="background1" w:themeFillShade="F2"/>
          </w:tcPr>
          <w:p w14:paraId="4917571B" w14:textId="2932BA66" w:rsidR="0076132E" w:rsidRPr="002E25CE" w:rsidRDefault="002E25CE" w:rsidP="002E25CE">
            <w:pPr>
              <w:jc w:val="center"/>
              <w:rPr>
                <w:b/>
                <w:bCs/>
                <w:sz w:val="24"/>
                <w:szCs w:val="24"/>
              </w:rPr>
            </w:pPr>
            <w:r>
              <w:rPr>
                <w:b/>
                <w:bCs/>
                <w:sz w:val="24"/>
                <w:szCs w:val="24"/>
              </w:rPr>
              <w:t>Timeline</w:t>
            </w:r>
          </w:p>
        </w:tc>
        <w:tc>
          <w:tcPr>
            <w:tcW w:w="2590" w:type="dxa"/>
            <w:shd w:val="clear" w:color="auto" w:fill="F2F2F2" w:themeFill="background1" w:themeFillShade="F2"/>
          </w:tcPr>
          <w:p w14:paraId="1F75903C" w14:textId="78DF848C" w:rsidR="0076132E" w:rsidRPr="002E25CE" w:rsidRDefault="002E25CE" w:rsidP="002E25CE">
            <w:pPr>
              <w:jc w:val="center"/>
              <w:rPr>
                <w:b/>
                <w:bCs/>
                <w:sz w:val="24"/>
                <w:szCs w:val="24"/>
              </w:rPr>
            </w:pPr>
            <w:r>
              <w:rPr>
                <w:b/>
                <w:bCs/>
                <w:sz w:val="24"/>
                <w:szCs w:val="24"/>
              </w:rPr>
              <w:t>Success</w:t>
            </w:r>
          </w:p>
        </w:tc>
        <w:tc>
          <w:tcPr>
            <w:tcW w:w="2590" w:type="dxa"/>
            <w:shd w:val="clear" w:color="auto" w:fill="F2F2F2" w:themeFill="background1" w:themeFillShade="F2"/>
          </w:tcPr>
          <w:p w14:paraId="7C2B1713" w14:textId="59D1E294" w:rsidR="0076132E" w:rsidRPr="002E25CE" w:rsidRDefault="002E25CE" w:rsidP="002E25CE">
            <w:pPr>
              <w:jc w:val="center"/>
              <w:rPr>
                <w:b/>
                <w:bCs/>
                <w:sz w:val="24"/>
                <w:szCs w:val="24"/>
              </w:rPr>
            </w:pPr>
            <w:r>
              <w:rPr>
                <w:b/>
                <w:bCs/>
                <w:sz w:val="24"/>
                <w:szCs w:val="24"/>
              </w:rPr>
              <w:t>Barriers</w:t>
            </w:r>
          </w:p>
        </w:tc>
      </w:tr>
      <w:tr w:rsidR="0076132E" w14:paraId="315A1F92" w14:textId="77777777" w:rsidTr="00C21B6F">
        <w:tc>
          <w:tcPr>
            <w:tcW w:w="2590" w:type="dxa"/>
            <w:vAlign w:val="center"/>
          </w:tcPr>
          <w:p w14:paraId="3ECD9918" w14:textId="34F33041" w:rsidR="0076132E" w:rsidRDefault="00C02A0F" w:rsidP="00C02A0F">
            <w:pPr>
              <w:rPr>
                <w:sz w:val="24"/>
                <w:szCs w:val="24"/>
              </w:rPr>
            </w:pPr>
            <w:r>
              <w:rPr>
                <w:sz w:val="24"/>
                <w:szCs w:val="24"/>
              </w:rPr>
              <w:t xml:space="preserve">For patients with newly diagnosed TB disease for whom </w:t>
            </w:r>
            <w:r>
              <w:rPr>
                <w:rFonts w:cstheme="minorHAnsi"/>
                <w:sz w:val="24"/>
                <w:szCs w:val="24"/>
              </w:rPr>
              <w:t>≤</w:t>
            </w:r>
            <w:r>
              <w:rPr>
                <w:sz w:val="24"/>
                <w:szCs w:val="24"/>
              </w:rPr>
              <w:t>12 months of treatment is indicated, increase the proportion who complete treatment within 12 months.</w:t>
            </w:r>
          </w:p>
        </w:tc>
        <w:tc>
          <w:tcPr>
            <w:tcW w:w="2590" w:type="dxa"/>
            <w:vAlign w:val="center"/>
          </w:tcPr>
          <w:p w14:paraId="7076FCD7" w14:textId="3192E112" w:rsidR="0076132E" w:rsidRDefault="00C02A0F" w:rsidP="00CF2E39">
            <w:pPr>
              <w:rPr>
                <w:sz w:val="24"/>
                <w:szCs w:val="24"/>
              </w:rPr>
            </w:pPr>
            <w:r>
              <w:rPr>
                <w:sz w:val="24"/>
                <w:szCs w:val="24"/>
              </w:rPr>
              <w:t>Review all case records; identify opportunities for use of incentives and enablers; cohort review with two (2) public health regions; review NTIP quarterly ensure case management of all TB patients; utilize eDOT; utilize therapeutic drug monitoring (TDM)</w:t>
            </w:r>
          </w:p>
        </w:tc>
        <w:tc>
          <w:tcPr>
            <w:tcW w:w="2590" w:type="dxa"/>
            <w:vAlign w:val="center"/>
          </w:tcPr>
          <w:p w14:paraId="1FCEBD1E" w14:textId="0CAB482A" w:rsidR="0076132E" w:rsidRDefault="00C02A0F" w:rsidP="00C02A0F">
            <w:pPr>
              <w:jc w:val="center"/>
              <w:rPr>
                <w:sz w:val="24"/>
                <w:szCs w:val="24"/>
              </w:rPr>
            </w:pPr>
            <w:r>
              <w:rPr>
                <w:sz w:val="24"/>
                <w:szCs w:val="24"/>
              </w:rPr>
              <w:t>95% by 202</w:t>
            </w:r>
            <w:r w:rsidR="00772B80">
              <w:rPr>
                <w:sz w:val="24"/>
                <w:szCs w:val="24"/>
              </w:rPr>
              <w:t>5</w:t>
            </w:r>
          </w:p>
        </w:tc>
        <w:tc>
          <w:tcPr>
            <w:tcW w:w="2590" w:type="dxa"/>
          </w:tcPr>
          <w:p w14:paraId="095D37D0" w14:textId="77777777" w:rsidR="00CF2E39" w:rsidRDefault="00C02A0F" w:rsidP="00CF2E39">
            <w:pPr>
              <w:pStyle w:val="ListParagraph"/>
              <w:numPr>
                <w:ilvl w:val="0"/>
                <w:numId w:val="38"/>
              </w:numPr>
              <w:ind w:left="301"/>
              <w:rPr>
                <w:sz w:val="24"/>
                <w:szCs w:val="24"/>
              </w:rPr>
            </w:pPr>
            <w:r w:rsidRPr="00CF2E39">
              <w:rPr>
                <w:sz w:val="24"/>
                <w:szCs w:val="24"/>
              </w:rPr>
              <w:t>Weekly report is</w:t>
            </w:r>
            <w:r w:rsidR="00CF2E39">
              <w:rPr>
                <w:sz w:val="24"/>
                <w:szCs w:val="24"/>
              </w:rPr>
              <w:t xml:space="preserve"> </w:t>
            </w:r>
          </w:p>
          <w:p w14:paraId="7175A143" w14:textId="77777777" w:rsidR="0076132E" w:rsidRDefault="00C02A0F" w:rsidP="00CF2E39">
            <w:pPr>
              <w:ind w:left="-59"/>
              <w:rPr>
                <w:sz w:val="24"/>
                <w:szCs w:val="24"/>
              </w:rPr>
            </w:pPr>
            <w:r w:rsidRPr="00CF2E39">
              <w:rPr>
                <w:sz w:val="24"/>
                <w:szCs w:val="24"/>
              </w:rPr>
              <w:t xml:space="preserve">generated to monitor treatment progress at 3-, 6-, 9-, and 12-month intervals; </w:t>
            </w:r>
            <w:r w:rsidR="00CF2E39">
              <w:rPr>
                <w:sz w:val="24"/>
                <w:szCs w:val="24"/>
              </w:rPr>
              <w:t xml:space="preserve">(2) </w:t>
            </w:r>
            <w:r w:rsidRPr="00CF2E39">
              <w:rPr>
                <w:sz w:val="24"/>
                <w:szCs w:val="24"/>
              </w:rPr>
              <w:t xml:space="preserve">cohort review held with one regional TB program; </w:t>
            </w:r>
            <w:r w:rsidR="00CF2E39">
              <w:rPr>
                <w:sz w:val="24"/>
                <w:szCs w:val="24"/>
              </w:rPr>
              <w:t xml:space="preserve">(3) 2/4/21: </w:t>
            </w:r>
            <w:r w:rsidRPr="00CF2E39">
              <w:rPr>
                <w:sz w:val="24"/>
                <w:szCs w:val="24"/>
              </w:rPr>
              <w:t xml:space="preserve">recommended use of TDM for all adults with suspected and confirmed TB disease after receiving two weeks of treatment; </w:t>
            </w:r>
            <w:r w:rsidR="00CF2E39">
              <w:rPr>
                <w:sz w:val="24"/>
                <w:szCs w:val="24"/>
              </w:rPr>
              <w:t>piloting of emocha</w:t>
            </w:r>
            <w:r w:rsidR="00CF2E39">
              <w:rPr>
                <w:rFonts w:cstheme="minorHAnsi"/>
                <w:sz w:val="24"/>
                <w:szCs w:val="24"/>
                <w:vertAlign w:val="superscript"/>
              </w:rPr>
              <w:t>®</w:t>
            </w:r>
            <w:r w:rsidR="00CF2E39">
              <w:rPr>
                <w:sz w:val="24"/>
                <w:szCs w:val="24"/>
              </w:rPr>
              <w:t xml:space="preserve"> asynchronous eDOT platform with two public health regions in 2020  (4) </w:t>
            </w:r>
            <w:r w:rsidRPr="00CF2E39">
              <w:rPr>
                <w:sz w:val="24"/>
                <w:szCs w:val="24"/>
              </w:rPr>
              <w:t>statewide implementation of emocha</w:t>
            </w:r>
            <w:r w:rsidR="00CF2E39" w:rsidRPr="00CF2E39">
              <w:rPr>
                <w:rFonts w:cstheme="minorHAnsi"/>
                <w:sz w:val="24"/>
                <w:szCs w:val="24"/>
                <w:vertAlign w:val="superscript"/>
              </w:rPr>
              <w:t>®</w:t>
            </w:r>
            <w:r w:rsidRPr="00CF2E39">
              <w:rPr>
                <w:sz w:val="24"/>
                <w:szCs w:val="24"/>
              </w:rPr>
              <w:t xml:space="preserve"> </w:t>
            </w:r>
          </w:p>
          <w:p w14:paraId="66D6580A" w14:textId="77777777" w:rsidR="00A00BB3" w:rsidRDefault="00A00BB3" w:rsidP="00CF2E39">
            <w:pPr>
              <w:ind w:left="-59"/>
              <w:rPr>
                <w:sz w:val="24"/>
                <w:szCs w:val="24"/>
              </w:rPr>
            </w:pPr>
          </w:p>
          <w:p w14:paraId="3815E660" w14:textId="77777777" w:rsidR="00A00BB3" w:rsidRDefault="00A00BB3" w:rsidP="00CF2E39">
            <w:pPr>
              <w:ind w:left="-59"/>
              <w:rPr>
                <w:sz w:val="24"/>
                <w:szCs w:val="24"/>
              </w:rPr>
            </w:pPr>
          </w:p>
          <w:p w14:paraId="5939E8DC" w14:textId="47FC60AF" w:rsidR="00A00BB3" w:rsidRPr="00CF2E39" w:rsidRDefault="00A00BB3" w:rsidP="00CF2E39">
            <w:pPr>
              <w:ind w:left="-59"/>
              <w:rPr>
                <w:sz w:val="24"/>
                <w:szCs w:val="24"/>
              </w:rPr>
            </w:pPr>
          </w:p>
        </w:tc>
        <w:tc>
          <w:tcPr>
            <w:tcW w:w="2590" w:type="dxa"/>
          </w:tcPr>
          <w:p w14:paraId="1DA72C45" w14:textId="5F13FBE6" w:rsidR="0076132E" w:rsidRPr="00255CEB" w:rsidRDefault="008D4195" w:rsidP="00054B01">
            <w:pPr>
              <w:rPr>
                <w:sz w:val="24"/>
                <w:szCs w:val="24"/>
              </w:rPr>
            </w:pPr>
            <w:r>
              <w:rPr>
                <w:sz w:val="24"/>
                <w:szCs w:val="24"/>
              </w:rPr>
              <w:t>Statewide and regional TB staff were involved in the COVID-19 response; one regional TB program was unable to conduct a cohort review due to the COVID-19 pandemic</w:t>
            </w:r>
            <w:r w:rsidR="00A00701">
              <w:rPr>
                <w:sz w:val="24"/>
                <w:szCs w:val="24"/>
              </w:rPr>
              <w:t>; operational hours of the University of Florida pharmacokinetics lab (e.g., during tropical storms/hurricanes) and transport issues were barriers to collecting TDMs; technological issues with emocha</w:t>
            </w:r>
            <w:r w:rsidR="00A00701">
              <w:rPr>
                <w:rFonts w:cstheme="minorHAnsi"/>
                <w:sz w:val="24"/>
                <w:szCs w:val="24"/>
                <w:vertAlign w:val="superscript"/>
              </w:rPr>
              <w:t>®</w:t>
            </w:r>
            <w:r w:rsidR="00255CEB">
              <w:rPr>
                <w:rFonts w:cstheme="minorHAnsi"/>
                <w:sz w:val="24"/>
                <w:szCs w:val="24"/>
              </w:rPr>
              <w:t>; utilization of CDC’s MDDR lab services for early detection of resistance to ensure proper treatment regimen</w:t>
            </w:r>
          </w:p>
        </w:tc>
      </w:tr>
      <w:tr w:rsidR="002E25CE" w14:paraId="33645615" w14:textId="77777777" w:rsidTr="00C21B6F">
        <w:tc>
          <w:tcPr>
            <w:tcW w:w="2590" w:type="dxa"/>
            <w:vAlign w:val="center"/>
          </w:tcPr>
          <w:p w14:paraId="25CD368D" w14:textId="3D2F1D12" w:rsidR="002E25CE" w:rsidRDefault="00A00BB3" w:rsidP="002213D6">
            <w:pPr>
              <w:rPr>
                <w:sz w:val="24"/>
                <w:szCs w:val="24"/>
              </w:rPr>
            </w:pPr>
            <w:r>
              <w:rPr>
                <w:sz w:val="24"/>
                <w:szCs w:val="24"/>
              </w:rPr>
              <w:t>For TB patients with positive AFB sputum smear results, increase the proportion who initiated treatment within 7 days of specimen collection</w:t>
            </w:r>
          </w:p>
        </w:tc>
        <w:tc>
          <w:tcPr>
            <w:tcW w:w="2590" w:type="dxa"/>
            <w:vAlign w:val="center"/>
          </w:tcPr>
          <w:p w14:paraId="4CB27A7E" w14:textId="4178F25D" w:rsidR="002E25CE" w:rsidRDefault="00EC7FA3" w:rsidP="003B22B3">
            <w:pPr>
              <w:rPr>
                <w:sz w:val="24"/>
                <w:szCs w:val="24"/>
              </w:rPr>
            </w:pPr>
            <w:r>
              <w:rPr>
                <w:sz w:val="24"/>
                <w:szCs w:val="24"/>
              </w:rPr>
              <w:t xml:space="preserve">Identify providers/entities that do not start patients on treatment within 7 days of specimen collection; ensure case management </w:t>
            </w:r>
            <w:r w:rsidR="002213D6">
              <w:rPr>
                <w:sz w:val="24"/>
                <w:szCs w:val="24"/>
              </w:rPr>
              <w:t>of all persons with suspected or confirmed TB; review NTIP quarterly</w:t>
            </w:r>
          </w:p>
        </w:tc>
        <w:tc>
          <w:tcPr>
            <w:tcW w:w="2590" w:type="dxa"/>
            <w:vAlign w:val="center"/>
          </w:tcPr>
          <w:p w14:paraId="7612013F" w14:textId="70BA9AC9" w:rsidR="002E25CE" w:rsidRDefault="008A7B7A" w:rsidP="008A7B7A">
            <w:pPr>
              <w:jc w:val="center"/>
              <w:rPr>
                <w:sz w:val="24"/>
                <w:szCs w:val="24"/>
              </w:rPr>
            </w:pPr>
            <w:r>
              <w:rPr>
                <w:sz w:val="24"/>
                <w:szCs w:val="24"/>
              </w:rPr>
              <w:t>96% by 202</w:t>
            </w:r>
            <w:r w:rsidR="00772B80">
              <w:rPr>
                <w:sz w:val="24"/>
                <w:szCs w:val="24"/>
              </w:rPr>
              <w:t>5</w:t>
            </w:r>
          </w:p>
        </w:tc>
        <w:tc>
          <w:tcPr>
            <w:tcW w:w="2590" w:type="dxa"/>
          </w:tcPr>
          <w:p w14:paraId="2BC6C70C" w14:textId="36FFD524" w:rsidR="002E25CE" w:rsidRDefault="008A7B7A" w:rsidP="00054B01">
            <w:pPr>
              <w:rPr>
                <w:sz w:val="24"/>
                <w:szCs w:val="24"/>
              </w:rPr>
            </w:pPr>
            <w:r>
              <w:rPr>
                <w:sz w:val="24"/>
                <w:szCs w:val="24"/>
              </w:rPr>
              <w:t xml:space="preserve">Upon notification of a person with suspected or confirmed TB disease that is hospitalized, regional TB case managers have increase efficiency in collecting a specimen for testing at the state public health lab and </w:t>
            </w:r>
            <w:r w:rsidR="003B22B3">
              <w:rPr>
                <w:sz w:val="24"/>
                <w:szCs w:val="24"/>
              </w:rPr>
              <w:t>educating providers on the importance of initiating treatment when TB is suspected</w:t>
            </w:r>
          </w:p>
        </w:tc>
        <w:tc>
          <w:tcPr>
            <w:tcW w:w="2590" w:type="dxa"/>
            <w:vAlign w:val="center"/>
          </w:tcPr>
          <w:p w14:paraId="03CEE643" w14:textId="5DD72166" w:rsidR="002E25CE" w:rsidRDefault="00EC7FA3" w:rsidP="003B22B3">
            <w:pPr>
              <w:rPr>
                <w:sz w:val="24"/>
                <w:szCs w:val="24"/>
              </w:rPr>
            </w:pPr>
            <w:r>
              <w:rPr>
                <w:sz w:val="24"/>
                <w:szCs w:val="24"/>
              </w:rPr>
              <w:t>Delayed notification of persons with suspected or confirmed TB disease to health departments from non-public health providers</w:t>
            </w:r>
            <w:r w:rsidR="008A7B7A">
              <w:rPr>
                <w:sz w:val="24"/>
                <w:szCs w:val="24"/>
              </w:rPr>
              <w:t>; COVID-19 possibly resulted in delayed diagnosis and treatment initiation</w:t>
            </w:r>
            <w:r w:rsidR="004975A0">
              <w:rPr>
                <w:sz w:val="24"/>
                <w:szCs w:val="24"/>
              </w:rPr>
              <w:t>.</w:t>
            </w:r>
          </w:p>
        </w:tc>
      </w:tr>
      <w:tr w:rsidR="00A00BB3" w14:paraId="34B13A9F" w14:textId="77777777" w:rsidTr="00C21B6F">
        <w:tc>
          <w:tcPr>
            <w:tcW w:w="2590" w:type="dxa"/>
            <w:vAlign w:val="center"/>
          </w:tcPr>
          <w:p w14:paraId="41B83298" w14:textId="6B7ACF88" w:rsidR="00A00BB3" w:rsidRDefault="004975A0" w:rsidP="002213D6">
            <w:pPr>
              <w:rPr>
                <w:sz w:val="24"/>
                <w:szCs w:val="24"/>
              </w:rPr>
            </w:pPr>
            <w:r>
              <w:rPr>
                <w:sz w:val="24"/>
                <w:szCs w:val="24"/>
              </w:rPr>
              <w:t xml:space="preserve">Increase the proportion of TB patients who have a positive or negative </w:t>
            </w:r>
            <w:r w:rsidR="00C21B6F">
              <w:rPr>
                <w:sz w:val="24"/>
                <w:szCs w:val="24"/>
              </w:rPr>
              <w:t>HIV</w:t>
            </w:r>
            <w:r>
              <w:rPr>
                <w:sz w:val="24"/>
                <w:szCs w:val="24"/>
              </w:rPr>
              <w:t xml:space="preserve"> test reported</w:t>
            </w:r>
          </w:p>
        </w:tc>
        <w:tc>
          <w:tcPr>
            <w:tcW w:w="2590" w:type="dxa"/>
          </w:tcPr>
          <w:p w14:paraId="5279BC5F" w14:textId="796C676E" w:rsidR="00A00BB3" w:rsidRDefault="004975A0" w:rsidP="00054B01">
            <w:pPr>
              <w:rPr>
                <w:sz w:val="24"/>
                <w:szCs w:val="24"/>
              </w:rPr>
            </w:pPr>
            <w:r>
              <w:rPr>
                <w:sz w:val="24"/>
                <w:szCs w:val="24"/>
              </w:rPr>
              <w:t>Ensure case management for all persons with suspected or confirmed TB disease; ensure opt-out for all patients receiving a TST or QFT; education providers on the importance of collecting HIV when testing for TB infection; quarterly cross match with HIV program database</w:t>
            </w:r>
          </w:p>
        </w:tc>
        <w:tc>
          <w:tcPr>
            <w:tcW w:w="2590" w:type="dxa"/>
            <w:vAlign w:val="center"/>
          </w:tcPr>
          <w:p w14:paraId="233C6979" w14:textId="537E78CF" w:rsidR="00A00BB3" w:rsidRDefault="00772B80" w:rsidP="008A7B7A">
            <w:pPr>
              <w:jc w:val="center"/>
              <w:rPr>
                <w:sz w:val="24"/>
                <w:szCs w:val="24"/>
              </w:rPr>
            </w:pPr>
            <w:r>
              <w:rPr>
                <w:sz w:val="24"/>
                <w:szCs w:val="24"/>
              </w:rPr>
              <w:t>99% by 2025</w:t>
            </w:r>
          </w:p>
        </w:tc>
        <w:tc>
          <w:tcPr>
            <w:tcW w:w="2590" w:type="dxa"/>
          </w:tcPr>
          <w:p w14:paraId="5FA6FC14" w14:textId="77777777" w:rsidR="00A00BB3" w:rsidRDefault="00A00BB3" w:rsidP="00054B01">
            <w:pPr>
              <w:rPr>
                <w:sz w:val="24"/>
                <w:szCs w:val="24"/>
              </w:rPr>
            </w:pPr>
          </w:p>
        </w:tc>
        <w:tc>
          <w:tcPr>
            <w:tcW w:w="2590" w:type="dxa"/>
          </w:tcPr>
          <w:p w14:paraId="24218327" w14:textId="50C6094F" w:rsidR="00A00BB3" w:rsidRDefault="0019748F" w:rsidP="00054B01">
            <w:pPr>
              <w:rPr>
                <w:sz w:val="24"/>
                <w:szCs w:val="24"/>
              </w:rPr>
            </w:pPr>
            <w:r>
              <w:rPr>
                <w:sz w:val="24"/>
                <w:szCs w:val="24"/>
              </w:rPr>
              <w:t>Delayed data entry</w:t>
            </w:r>
          </w:p>
        </w:tc>
      </w:tr>
      <w:tr w:rsidR="00A00BB3" w14:paraId="1A2C753A" w14:textId="77777777" w:rsidTr="00C21B6F">
        <w:tc>
          <w:tcPr>
            <w:tcW w:w="2590" w:type="dxa"/>
            <w:vAlign w:val="center"/>
          </w:tcPr>
          <w:p w14:paraId="12EEABCA" w14:textId="36D32F0C" w:rsidR="00A00BB3" w:rsidRDefault="00C21B6F" w:rsidP="002213D6">
            <w:pPr>
              <w:rPr>
                <w:sz w:val="24"/>
                <w:szCs w:val="24"/>
              </w:rPr>
            </w:pPr>
            <w:r>
              <w:rPr>
                <w:sz w:val="24"/>
                <w:szCs w:val="24"/>
              </w:rPr>
              <w:t>For patients whose diagnosis is likely TB disease, increase the proportion who are started on the recommended initial 4-drug regimen</w:t>
            </w:r>
          </w:p>
        </w:tc>
        <w:tc>
          <w:tcPr>
            <w:tcW w:w="2590" w:type="dxa"/>
          </w:tcPr>
          <w:p w14:paraId="69411755" w14:textId="71CAFF09" w:rsidR="00A00BB3" w:rsidRDefault="00C21B6F" w:rsidP="00054B01">
            <w:pPr>
              <w:rPr>
                <w:sz w:val="24"/>
                <w:szCs w:val="24"/>
              </w:rPr>
            </w:pPr>
            <w:r>
              <w:rPr>
                <w:sz w:val="24"/>
                <w:szCs w:val="24"/>
              </w:rPr>
              <w:t>Create a database of all persons with suspected or confirmed TB disease and regimen initiated; educate providers on the importance of initiating 4-drug regimen for all persons with suspected or confirmed TB disease, ensure access to recommended 4 drugs for all patients</w:t>
            </w:r>
          </w:p>
        </w:tc>
        <w:tc>
          <w:tcPr>
            <w:tcW w:w="2590" w:type="dxa"/>
            <w:vAlign w:val="center"/>
          </w:tcPr>
          <w:p w14:paraId="01290581" w14:textId="308DCCD2" w:rsidR="00A00BB3" w:rsidRDefault="00C21B6F" w:rsidP="008A7B7A">
            <w:pPr>
              <w:jc w:val="center"/>
              <w:rPr>
                <w:sz w:val="24"/>
                <w:szCs w:val="24"/>
              </w:rPr>
            </w:pPr>
            <w:r>
              <w:rPr>
                <w:sz w:val="24"/>
                <w:szCs w:val="24"/>
              </w:rPr>
              <w:t>97% by 202</w:t>
            </w:r>
            <w:r w:rsidR="00772B80">
              <w:rPr>
                <w:sz w:val="24"/>
                <w:szCs w:val="24"/>
              </w:rPr>
              <w:t>5</w:t>
            </w:r>
          </w:p>
        </w:tc>
        <w:tc>
          <w:tcPr>
            <w:tcW w:w="2590" w:type="dxa"/>
          </w:tcPr>
          <w:p w14:paraId="1DC4CF60" w14:textId="2EC08C4C" w:rsidR="00A00BB3" w:rsidRDefault="00C21B6F" w:rsidP="00054B01">
            <w:pPr>
              <w:rPr>
                <w:sz w:val="24"/>
                <w:szCs w:val="24"/>
              </w:rPr>
            </w:pPr>
            <w:r>
              <w:rPr>
                <w:sz w:val="24"/>
                <w:szCs w:val="24"/>
              </w:rPr>
              <w:t xml:space="preserve">Regional TB clinicians are asked to provide rationale to statewide TB medical director and nurse consultant manager if a non-standard TB regimen is prescribed for any patient </w:t>
            </w:r>
          </w:p>
        </w:tc>
        <w:tc>
          <w:tcPr>
            <w:tcW w:w="2590" w:type="dxa"/>
          </w:tcPr>
          <w:p w14:paraId="2254617B" w14:textId="77777777" w:rsidR="00A00BB3" w:rsidRDefault="00A00BB3" w:rsidP="00054B01">
            <w:pPr>
              <w:rPr>
                <w:sz w:val="24"/>
                <w:szCs w:val="24"/>
              </w:rPr>
            </w:pPr>
          </w:p>
        </w:tc>
      </w:tr>
      <w:tr w:rsidR="00A00BB3" w14:paraId="447FB234" w14:textId="77777777" w:rsidTr="00C21B6F">
        <w:tc>
          <w:tcPr>
            <w:tcW w:w="2590" w:type="dxa"/>
            <w:vAlign w:val="center"/>
          </w:tcPr>
          <w:p w14:paraId="397F88A3" w14:textId="0BD8E1D2" w:rsidR="00A00BB3" w:rsidRDefault="00F61CCB" w:rsidP="002213D6">
            <w:pPr>
              <w:rPr>
                <w:sz w:val="24"/>
                <w:szCs w:val="24"/>
              </w:rPr>
            </w:pPr>
            <w:r>
              <w:rPr>
                <w:sz w:val="24"/>
                <w:szCs w:val="24"/>
              </w:rPr>
              <w:t xml:space="preserve">For patients aged </w:t>
            </w:r>
            <w:r>
              <w:rPr>
                <w:rFonts w:cstheme="minorHAnsi"/>
                <w:sz w:val="24"/>
                <w:szCs w:val="24"/>
              </w:rPr>
              <w:t>≥</w:t>
            </w:r>
            <w:r>
              <w:rPr>
                <w:sz w:val="24"/>
                <w:szCs w:val="24"/>
              </w:rPr>
              <w:t>12 years with a pleural or respiratory site of disease, increase the proportion who have a sputum culture result reported</w:t>
            </w:r>
          </w:p>
        </w:tc>
        <w:tc>
          <w:tcPr>
            <w:tcW w:w="2590" w:type="dxa"/>
          </w:tcPr>
          <w:p w14:paraId="6CA9A4F0" w14:textId="4453CFB5" w:rsidR="00A00BB3" w:rsidRDefault="00F61CCB" w:rsidP="00054B01">
            <w:pPr>
              <w:rPr>
                <w:sz w:val="24"/>
                <w:szCs w:val="24"/>
              </w:rPr>
            </w:pPr>
            <w:r>
              <w:rPr>
                <w:sz w:val="24"/>
                <w:szCs w:val="24"/>
              </w:rPr>
              <w:t xml:space="preserve">Ensure case management for all persons </w:t>
            </w:r>
            <w:r w:rsidR="00ED17EC">
              <w:rPr>
                <w:sz w:val="24"/>
                <w:szCs w:val="24"/>
              </w:rPr>
              <w:t xml:space="preserve">with </w:t>
            </w:r>
            <w:r>
              <w:rPr>
                <w:sz w:val="24"/>
                <w:szCs w:val="24"/>
              </w:rPr>
              <w:t>confirmed TB disease; identify processing lab for hospitals statewide; identify which commercial laboratories do reflex TB testing; ensure providers are aware of reportable conditions and timeframes</w:t>
            </w:r>
          </w:p>
        </w:tc>
        <w:tc>
          <w:tcPr>
            <w:tcW w:w="2590" w:type="dxa"/>
            <w:vAlign w:val="center"/>
          </w:tcPr>
          <w:p w14:paraId="43296F38" w14:textId="4CF933C3" w:rsidR="00A00BB3" w:rsidRDefault="00F61CCB" w:rsidP="008A7B7A">
            <w:pPr>
              <w:jc w:val="center"/>
              <w:rPr>
                <w:sz w:val="24"/>
                <w:szCs w:val="24"/>
              </w:rPr>
            </w:pPr>
            <w:r>
              <w:rPr>
                <w:sz w:val="24"/>
                <w:szCs w:val="24"/>
              </w:rPr>
              <w:t>99% by 202</w:t>
            </w:r>
            <w:r w:rsidR="00772B80">
              <w:rPr>
                <w:sz w:val="24"/>
                <w:szCs w:val="24"/>
              </w:rPr>
              <w:t>5</w:t>
            </w:r>
          </w:p>
        </w:tc>
        <w:tc>
          <w:tcPr>
            <w:tcW w:w="2590" w:type="dxa"/>
          </w:tcPr>
          <w:p w14:paraId="279C7DB4" w14:textId="77777777" w:rsidR="00A00BB3" w:rsidRDefault="00A00BB3" w:rsidP="00054B01">
            <w:pPr>
              <w:rPr>
                <w:sz w:val="24"/>
                <w:szCs w:val="24"/>
              </w:rPr>
            </w:pPr>
          </w:p>
        </w:tc>
        <w:tc>
          <w:tcPr>
            <w:tcW w:w="2590" w:type="dxa"/>
          </w:tcPr>
          <w:p w14:paraId="398F2B5F" w14:textId="7E0FBC7F" w:rsidR="00A00BB3" w:rsidRDefault="0019748F" w:rsidP="00054B01">
            <w:pPr>
              <w:rPr>
                <w:sz w:val="24"/>
                <w:szCs w:val="24"/>
              </w:rPr>
            </w:pPr>
            <w:r>
              <w:rPr>
                <w:sz w:val="24"/>
                <w:szCs w:val="24"/>
              </w:rPr>
              <w:t>Delayed data entry</w:t>
            </w:r>
          </w:p>
        </w:tc>
      </w:tr>
      <w:tr w:rsidR="00ED17EC" w14:paraId="57528C3B" w14:textId="77777777" w:rsidTr="00C21B6F">
        <w:tc>
          <w:tcPr>
            <w:tcW w:w="2590" w:type="dxa"/>
            <w:vAlign w:val="center"/>
          </w:tcPr>
          <w:p w14:paraId="7A58FDE8" w14:textId="77777777" w:rsidR="00ED17EC" w:rsidRDefault="00ED17EC" w:rsidP="002213D6">
            <w:pPr>
              <w:rPr>
                <w:sz w:val="24"/>
                <w:szCs w:val="24"/>
              </w:rPr>
            </w:pPr>
            <w:r>
              <w:rPr>
                <w:sz w:val="24"/>
                <w:szCs w:val="24"/>
              </w:rPr>
              <w:t>For patients with positive sputum culture results, increase the proportion who have documented conversion to negative within 60 days of treatment initiation</w:t>
            </w:r>
          </w:p>
          <w:p w14:paraId="32AB3BC5" w14:textId="02971DA5" w:rsidR="00241226" w:rsidRDefault="00241226" w:rsidP="002213D6">
            <w:pPr>
              <w:rPr>
                <w:sz w:val="24"/>
                <w:szCs w:val="24"/>
              </w:rPr>
            </w:pPr>
          </w:p>
        </w:tc>
        <w:tc>
          <w:tcPr>
            <w:tcW w:w="2590" w:type="dxa"/>
          </w:tcPr>
          <w:p w14:paraId="6E20B560" w14:textId="4F43F870" w:rsidR="00ED17EC" w:rsidRDefault="00ED17EC" w:rsidP="00054B01">
            <w:pPr>
              <w:rPr>
                <w:sz w:val="24"/>
                <w:szCs w:val="24"/>
              </w:rPr>
            </w:pPr>
            <w:r>
              <w:rPr>
                <w:sz w:val="24"/>
                <w:szCs w:val="24"/>
              </w:rPr>
              <w:t>Maintain sputum culture conversion log; ensure case management for all persons with confirmed TB disease; maintain laboratory summary log</w:t>
            </w:r>
          </w:p>
        </w:tc>
        <w:tc>
          <w:tcPr>
            <w:tcW w:w="2590" w:type="dxa"/>
            <w:vAlign w:val="center"/>
          </w:tcPr>
          <w:p w14:paraId="77DB28A5" w14:textId="65C79B87" w:rsidR="00ED17EC" w:rsidRDefault="00241226" w:rsidP="008A7B7A">
            <w:pPr>
              <w:jc w:val="center"/>
              <w:rPr>
                <w:sz w:val="24"/>
                <w:szCs w:val="24"/>
              </w:rPr>
            </w:pPr>
            <w:r>
              <w:rPr>
                <w:sz w:val="24"/>
                <w:szCs w:val="24"/>
              </w:rPr>
              <w:t>83% by 202</w:t>
            </w:r>
            <w:r w:rsidR="00772B80">
              <w:rPr>
                <w:sz w:val="24"/>
                <w:szCs w:val="24"/>
              </w:rPr>
              <w:t>5</w:t>
            </w:r>
          </w:p>
        </w:tc>
        <w:tc>
          <w:tcPr>
            <w:tcW w:w="2590" w:type="dxa"/>
          </w:tcPr>
          <w:p w14:paraId="2DB33D0D" w14:textId="12915842" w:rsidR="00ED17EC" w:rsidRDefault="00241226" w:rsidP="00054B01">
            <w:pPr>
              <w:rPr>
                <w:sz w:val="24"/>
                <w:szCs w:val="24"/>
              </w:rPr>
            </w:pPr>
            <w:r>
              <w:rPr>
                <w:sz w:val="24"/>
                <w:szCs w:val="24"/>
              </w:rPr>
              <w:t>Statewide sputum culture conversion rate has increased over the past four (4) years; increase use of therapeutic drug monitoring</w:t>
            </w:r>
          </w:p>
        </w:tc>
        <w:tc>
          <w:tcPr>
            <w:tcW w:w="2590" w:type="dxa"/>
          </w:tcPr>
          <w:p w14:paraId="5039DFFB" w14:textId="77777777" w:rsidR="00ED17EC" w:rsidRDefault="00ED17EC" w:rsidP="00054B01">
            <w:pPr>
              <w:rPr>
                <w:sz w:val="24"/>
                <w:szCs w:val="24"/>
              </w:rPr>
            </w:pPr>
          </w:p>
        </w:tc>
      </w:tr>
      <w:tr w:rsidR="00241226" w14:paraId="70F1AD6D" w14:textId="77777777" w:rsidTr="00241226">
        <w:tc>
          <w:tcPr>
            <w:tcW w:w="12950" w:type="dxa"/>
            <w:gridSpan w:val="5"/>
            <w:shd w:val="clear" w:color="auto" w:fill="D9D9D9" w:themeFill="background1" w:themeFillShade="D9"/>
            <w:vAlign w:val="center"/>
          </w:tcPr>
          <w:p w14:paraId="2FB5EA7E" w14:textId="41E91293" w:rsidR="00241226" w:rsidRPr="00241226" w:rsidRDefault="00241226" w:rsidP="00054B01">
            <w:pPr>
              <w:rPr>
                <w:b/>
                <w:bCs/>
                <w:sz w:val="24"/>
                <w:szCs w:val="24"/>
              </w:rPr>
            </w:pPr>
            <w:r>
              <w:rPr>
                <w:b/>
                <w:bCs/>
                <w:sz w:val="24"/>
                <w:szCs w:val="24"/>
              </w:rPr>
              <w:t>Strategy 2A: Contact Investigation for Infectious Cases</w:t>
            </w:r>
          </w:p>
        </w:tc>
      </w:tr>
      <w:tr w:rsidR="00241226" w14:paraId="1C9E77F9" w14:textId="77777777" w:rsidTr="00241226">
        <w:tc>
          <w:tcPr>
            <w:tcW w:w="5180" w:type="dxa"/>
            <w:gridSpan w:val="2"/>
            <w:shd w:val="clear" w:color="auto" w:fill="F2F2F2" w:themeFill="background1" w:themeFillShade="F2"/>
            <w:vAlign w:val="center"/>
          </w:tcPr>
          <w:p w14:paraId="1CEF74AE" w14:textId="3901A0AC" w:rsidR="00241226" w:rsidRPr="00241226" w:rsidRDefault="00241226" w:rsidP="00241226">
            <w:pPr>
              <w:jc w:val="center"/>
              <w:rPr>
                <w:b/>
                <w:bCs/>
                <w:sz w:val="24"/>
                <w:szCs w:val="24"/>
              </w:rPr>
            </w:pPr>
            <w:r>
              <w:rPr>
                <w:b/>
                <w:bCs/>
                <w:sz w:val="24"/>
                <w:szCs w:val="24"/>
              </w:rPr>
              <w:t>Related Outcomes</w:t>
            </w:r>
          </w:p>
        </w:tc>
        <w:tc>
          <w:tcPr>
            <w:tcW w:w="7770" w:type="dxa"/>
            <w:gridSpan w:val="3"/>
            <w:shd w:val="clear" w:color="auto" w:fill="F2F2F2" w:themeFill="background1" w:themeFillShade="F2"/>
            <w:vAlign w:val="center"/>
          </w:tcPr>
          <w:p w14:paraId="69632C11" w14:textId="44E9F2AF" w:rsidR="00241226" w:rsidRPr="00241226" w:rsidRDefault="00241226" w:rsidP="00241226">
            <w:pPr>
              <w:jc w:val="center"/>
              <w:rPr>
                <w:b/>
                <w:bCs/>
                <w:sz w:val="24"/>
                <w:szCs w:val="24"/>
              </w:rPr>
            </w:pPr>
            <w:r>
              <w:rPr>
                <w:b/>
                <w:bCs/>
                <w:sz w:val="24"/>
                <w:szCs w:val="24"/>
              </w:rPr>
              <w:t>Measures of Success</w:t>
            </w:r>
          </w:p>
        </w:tc>
      </w:tr>
      <w:tr w:rsidR="00241226" w14:paraId="4E4A9ECB" w14:textId="77777777" w:rsidTr="0021319E">
        <w:tc>
          <w:tcPr>
            <w:tcW w:w="5180" w:type="dxa"/>
            <w:gridSpan w:val="2"/>
            <w:vAlign w:val="center"/>
          </w:tcPr>
          <w:p w14:paraId="22213E13" w14:textId="57CD3C56" w:rsidR="00241226" w:rsidRDefault="00772B80" w:rsidP="00241226">
            <w:pPr>
              <w:rPr>
                <w:sz w:val="24"/>
                <w:szCs w:val="24"/>
              </w:rPr>
            </w:pPr>
            <w:r>
              <w:rPr>
                <w:sz w:val="24"/>
                <w:szCs w:val="24"/>
              </w:rPr>
              <w:t>Increase in (1) contacts elicited/examined and (2) contacts initiating/completing LTBI treatment</w:t>
            </w:r>
          </w:p>
        </w:tc>
        <w:tc>
          <w:tcPr>
            <w:tcW w:w="7770" w:type="dxa"/>
            <w:gridSpan w:val="3"/>
          </w:tcPr>
          <w:p w14:paraId="636900A5" w14:textId="57A66481" w:rsidR="00241226" w:rsidRDefault="00241226" w:rsidP="00241226">
            <w:pPr>
              <w:rPr>
                <w:sz w:val="24"/>
                <w:szCs w:val="24"/>
              </w:rPr>
            </w:pPr>
            <w:r>
              <w:rPr>
                <w:sz w:val="24"/>
                <w:szCs w:val="24"/>
              </w:rPr>
              <w:t xml:space="preserve">National TB Indicator Project (NTIP) objectives for contact investigation can be accessed at: </w:t>
            </w:r>
            <w:hyperlink r:id="rId12" w:history="1">
              <w:r w:rsidRPr="00A33505">
                <w:rPr>
                  <w:rStyle w:val="Hyperlink"/>
                  <w:sz w:val="24"/>
                  <w:szCs w:val="24"/>
                </w:rPr>
                <w:t>https://www.cdc.gov/tb/programs/evaluation/indicators/default.htm</w:t>
              </w:r>
            </w:hyperlink>
            <w:r>
              <w:rPr>
                <w:sz w:val="24"/>
                <w:szCs w:val="24"/>
              </w:rPr>
              <w:t xml:space="preserve"> </w:t>
            </w:r>
          </w:p>
        </w:tc>
      </w:tr>
      <w:tr w:rsidR="00241226" w14:paraId="3CAE3BCE" w14:textId="77777777" w:rsidTr="00772B80">
        <w:tc>
          <w:tcPr>
            <w:tcW w:w="2590" w:type="dxa"/>
            <w:shd w:val="clear" w:color="auto" w:fill="F2F2F2" w:themeFill="background1" w:themeFillShade="F2"/>
            <w:vAlign w:val="center"/>
          </w:tcPr>
          <w:p w14:paraId="3D004D8F" w14:textId="56CE319D" w:rsidR="00241226" w:rsidRPr="00772B80" w:rsidRDefault="00772B80" w:rsidP="00772B80">
            <w:pPr>
              <w:jc w:val="center"/>
              <w:rPr>
                <w:b/>
                <w:bCs/>
                <w:sz w:val="24"/>
                <w:szCs w:val="24"/>
              </w:rPr>
            </w:pPr>
            <w:r>
              <w:rPr>
                <w:b/>
                <w:bCs/>
                <w:sz w:val="24"/>
                <w:szCs w:val="24"/>
              </w:rPr>
              <w:t>Objectives</w:t>
            </w:r>
          </w:p>
        </w:tc>
        <w:tc>
          <w:tcPr>
            <w:tcW w:w="2590" w:type="dxa"/>
            <w:shd w:val="clear" w:color="auto" w:fill="F2F2F2" w:themeFill="background1" w:themeFillShade="F2"/>
          </w:tcPr>
          <w:p w14:paraId="4FAC3061" w14:textId="26063161" w:rsidR="00241226" w:rsidRPr="00772B80" w:rsidRDefault="00772B80" w:rsidP="00772B80">
            <w:pPr>
              <w:jc w:val="center"/>
              <w:rPr>
                <w:b/>
                <w:bCs/>
                <w:sz w:val="24"/>
                <w:szCs w:val="24"/>
              </w:rPr>
            </w:pPr>
            <w:r>
              <w:rPr>
                <w:b/>
                <w:bCs/>
                <w:sz w:val="24"/>
                <w:szCs w:val="24"/>
              </w:rPr>
              <w:t>Activities</w:t>
            </w:r>
          </w:p>
        </w:tc>
        <w:tc>
          <w:tcPr>
            <w:tcW w:w="2590" w:type="dxa"/>
            <w:shd w:val="clear" w:color="auto" w:fill="F2F2F2" w:themeFill="background1" w:themeFillShade="F2"/>
            <w:vAlign w:val="center"/>
          </w:tcPr>
          <w:p w14:paraId="1BC8D361" w14:textId="40019578" w:rsidR="00241226" w:rsidRPr="00772B80" w:rsidRDefault="00772B80" w:rsidP="00772B80">
            <w:pPr>
              <w:jc w:val="center"/>
              <w:rPr>
                <w:b/>
                <w:bCs/>
                <w:sz w:val="24"/>
                <w:szCs w:val="24"/>
              </w:rPr>
            </w:pPr>
            <w:r>
              <w:rPr>
                <w:b/>
                <w:bCs/>
                <w:sz w:val="24"/>
                <w:szCs w:val="24"/>
              </w:rPr>
              <w:t>Timeline</w:t>
            </w:r>
          </w:p>
        </w:tc>
        <w:tc>
          <w:tcPr>
            <w:tcW w:w="2590" w:type="dxa"/>
            <w:shd w:val="clear" w:color="auto" w:fill="F2F2F2" w:themeFill="background1" w:themeFillShade="F2"/>
          </w:tcPr>
          <w:p w14:paraId="0261F76D" w14:textId="6DD4112A" w:rsidR="00241226" w:rsidRPr="00772B80" w:rsidRDefault="00772B80" w:rsidP="00772B80">
            <w:pPr>
              <w:jc w:val="center"/>
              <w:rPr>
                <w:b/>
                <w:bCs/>
                <w:sz w:val="24"/>
                <w:szCs w:val="24"/>
              </w:rPr>
            </w:pPr>
            <w:r>
              <w:rPr>
                <w:b/>
                <w:bCs/>
                <w:sz w:val="24"/>
                <w:szCs w:val="24"/>
              </w:rPr>
              <w:t>Successes</w:t>
            </w:r>
          </w:p>
        </w:tc>
        <w:tc>
          <w:tcPr>
            <w:tcW w:w="2590" w:type="dxa"/>
            <w:shd w:val="clear" w:color="auto" w:fill="F2F2F2" w:themeFill="background1" w:themeFillShade="F2"/>
          </w:tcPr>
          <w:p w14:paraId="035DB325" w14:textId="28BD9BDA" w:rsidR="00241226" w:rsidRPr="00772B80" w:rsidRDefault="00772B80" w:rsidP="00772B80">
            <w:pPr>
              <w:jc w:val="center"/>
              <w:rPr>
                <w:b/>
                <w:bCs/>
                <w:sz w:val="24"/>
                <w:szCs w:val="24"/>
              </w:rPr>
            </w:pPr>
            <w:r>
              <w:rPr>
                <w:b/>
                <w:bCs/>
                <w:sz w:val="24"/>
                <w:szCs w:val="24"/>
              </w:rPr>
              <w:t>Barriers</w:t>
            </w:r>
          </w:p>
        </w:tc>
      </w:tr>
      <w:tr w:rsidR="00772B80" w14:paraId="483C8402" w14:textId="77777777" w:rsidTr="00C21B6F">
        <w:tc>
          <w:tcPr>
            <w:tcW w:w="2590" w:type="dxa"/>
            <w:vAlign w:val="center"/>
          </w:tcPr>
          <w:p w14:paraId="73CDFBF2" w14:textId="083A803F" w:rsidR="00772B80" w:rsidRDefault="00772B80" w:rsidP="00241226">
            <w:pPr>
              <w:rPr>
                <w:sz w:val="24"/>
                <w:szCs w:val="24"/>
              </w:rPr>
            </w:pPr>
            <w:r>
              <w:rPr>
                <w:sz w:val="24"/>
                <w:szCs w:val="24"/>
              </w:rPr>
              <w:t xml:space="preserve">For TB patients with positive AFB sputum smear results, increase the proportion who have contacts elicited </w:t>
            </w:r>
          </w:p>
        </w:tc>
        <w:tc>
          <w:tcPr>
            <w:tcW w:w="2590" w:type="dxa"/>
          </w:tcPr>
          <w:p w14:paraId="404777E9" w14:textId="6B29C7D3" w:rsidR="00772B80" w:rsidRDefault="00B232CB" w:rsidP="00241226">
            <w:pPr>
              <w:rPr>
                <w:sz w:val="24"/>
                <w:szCs w:val="24"/>
              </w:rPr>
            </w:pPr>
            <w:r>
              <w:rPr>
                <w:sz w:val="24"/>
                <w:szCs w:val="24"/>
              </w:rPr>
              <w:t>Ensure that all staff conducting contact investigations are adequately trained in contact investigation; assess contact investigation data to determine if re-interviews of index patients are needed</w:t>
            </w:r>
            <w:r w:rsidR="006728FA">
              <w:rPr>
                <w:sz w:val="24"/>
                <w:szCs w:val="24"/>
              </w:rPr>
              <w:t xml:space="preserve">.   </w:t>
            </w:r>
          </w:p>
        </w:tc>
        <w:tc>
          <w:tcPr>
            <w:tcW w:w="2590" w:type="dxa"/>
            <w:vAlign w:val="center"/>
          </w:tcPr>
          <w:p w14:paraId="10D00F5F" w14:textId="16974B08" w:rsidR="00772B80" w:rsidRDefault="00772B80" w:rsidP="00241226">
            <w:pPr>
              <w:jc w:val="center"/>
              <w:rPr>
                <w:sz w:val="24"/>
                <w:szCs w:val="24"/>
              </w:rPr>
            </w:pPr>
            <w:r>
              <w:rPr>
                <w:sz w:val="24"/>
                <w:szCs w:val="24"/>
              </w:rPr>
              <w:t>100% by 2025</w:t>
            </w:r>
          </w:p>
        </w:tc>
        <w:tc>
          <w:tcPr>
            <w:tcW w:w="2590" w:type="dxa"/>
          </w:tcPr>
          <w:p w14:paraId="18EA6E4E" w14:textId="77777777" w:rsidR="00772B80" w:rsidRDefault="00772B80" w:rsidP="00241226">
            <w:pPr>
              <w:rPr>
                <w:sz w:val="24"/>
                <w:szCs w:val="24"/>
              </w:rPr>
            </w:pPr>
          </w:p>
        </w:tc>
        <w:tc>
          <w:tcPr>
            <w:tcW w:w="2590" w:type="dxa"/>
          </w:tcPr>
          <w:p w14:paraId="7496620D" w14:textId="77777777" w:rsidR="00772B80" w:rsidRDefault="00772B80" w:rsidP="00241226">
            <w:pPr>
              <w:rPr>
                <w:sz w:val="24"/>
                <w:szCs w:val="24"/>
              </w:rPr>
            </w:pPr>
          </w:p>
        </w:tc>
      </w:tr>
      <w:tr w:rsidR="00772B80" w14:paraId="65AD6BD9" w14:textId="77777777" w:rsidTr="00C21B6F">
        <w:tc>
          <w:tcPr>
            <w:tcW w:w="2590" w:type="dxa"/>
            <w:vAlign w:val="center"/>
          </w:tcPr>
          <w:p w14:paraId="48B90902" w14:textId="0782ED77" w:rsidR="00772B80" w:rsidRDefault="00772B80" w:rsidP="00241226">
            <w:pPr>
              <w:rPr>
                <w:sz w:val="24"/>
                <w:szCs w:val="24"/>
              </w:rPr>
            </w:pPr>
            <w:r>
              <w:rPr>
                <w:sz w:val="24"/>
                <w:szCs w:val="24"/>
              </w:rPr>
              <w:t>For contacts to sputum AFB smear positive TB cases, increase the proportion who are examined for infection and disease</w:t>
            </w:r>
          </w:p>
        </w:tc>
        <w:tc>
          <w:tcPr>
            <w:tcW w:w="2590" w:type="dxa"/>
          </w:tcPr>
          <w:p w14:paraId="7D9B7DFF" w14:textId="7C20C023" w:rsidR="00772B80" w:rsidRDefault="00B232CB" w:rsidP="00241226">
            <w:pPr>
              <w:rPr>
                <w:sz w:val="24"/>
                <w:szCs w:val="24"/>
              </w:rPr>
            </w:pPr>
            <w:r>
              <w:rPr>
                <w:sz w:val="24"/>
                <w:szCs w:val="24"/>
              </w:rPr>
              <w:t>Ensure all regional TB clinicians know the criteria for “fully evaluated”; ensure that contact investigations are prioritized according to Tennessee TB Elimination Program</w:t>
            </w:r>
            <w:r w:rsidR="005A0265">
              <w:rPr>
                <w:sz w:val="24"/>
                <w:szCs w:val="24"/>
              </w:rPr>
              <w:t xml:space="preserve"> (TTBEP)</w:t>
            </w:r>
            <w:r>
              <w:rPr>
                <w:sz w:val="24"/>
                <w:szCs w:val="24"/>
              </w:rPr>
              <w:t xml:space="preserve"> Manual</w:t>
            </w:r>
          </w:p>
        </w:tc>
        <w:tc>
          <w:tcPr>
            <w:tcW w:w="2590" w:type="dxa"/>
            <w:vAlign w:val="center"/>
          </w:tcPr>
          <w:p w14:paraId="513D8B88" w14:textId="01B138D7" w:rsidR="00772B80" w:rsidRDefault="00772B80" w:rsidP="00241226">
            <w:pPr>
              <w:jc w:val="center"/>
              <w:rPr>
                <w:sz w:val="24"/>
                <w:szCs w:val="24"/>
              </w:rPr>
            </w:pPr>
            <w:r>
              <w:rPr>
                <w:sz w:val="24"/>
                <w:szCs w:val="24"/>
              </w:rPr>
              <w:t>94% by 2025</w:t>
            </w:r>
          </w:p>
        </w:tc>
        <w:tc>
          <w:tcPr>
            <w:tcW w:w="2590" w:type="dxa"/>
          </w:tcPr>
          <w:p w14:paraId="411ECFD3" w14:textId="77777777" w:rsidR="00772B80" w:rsidRDefault="00772B80" w:rsidP="00241226">
            <w:pPr>
              <w:rPr>
                <w:sz w:val="24"/>
                <w:szCs w:val="24"/>
              </w:rPr>
            </w:pPr>
          </w:p>
        </w:tc>
        <w:tc>
          <w:tcPr>
            <w:tcW w:w="2590" w:type="dxa"/>
          </w:tcPr>
          <w:p w14:paraId="5617AF50" w14:textId="77777777" w:rsidR="00772B80" w:rsidRDefault="00772B80" w:rsidP="00241226">
            <w:pPr>
              <w:rPr>
                <w:sz w:val="24"/>
                <w:szCs w:val="24"/>
              </w:rPr>
            </w:pPr>
          </w:p>
        </w:tc>
      </w:tr>
      <w:tr w:rsidR="00772B80" w14:paraId="533F5E95" w14:textId="77777777" w:rsidTr="00C21B6F">
        <w:tc>
          <w:tcPr>
            <w:tcW w:w="2590" w:type="dxa"/>
            <w:vAlign w:val="center"/>
          </w:tcPr>
          <w:p w14:paraId="5AFC2E26" w14:textId="631A8E7D" w:rsidR="00772B80" w:rsidRDefault="00772B80" w:rsidP="00241226">
            <w:pPr>
              <w:rPr>
                <w:sz w:val="24"/>
                <w:szCs w:val="24"/>
              </w:rPr>
            </w:pPr>
            <w:r>
              <w:rPr>
                <w:sz w:val="24"/>
                <w:szCs w:val="24"/>
              </w:rPr>
              <w:t xml:space="preserve">For contacts to sputum AFB smear positive TB cases diagnosed with latent TB infection, increase the proportion who </w:t>
            </w:r>
            <w:r w:rsidR="00881CD2">
              <w:rPr>
                <w:sz w:val="24"/>
                <w:szCs w:val="24"/>
              </w:rPr>
              <w:t>start treatment</w:t>
            </w:r>
            <w:r>
              <w:rPr>
                <w:sz w:val="24"/>
                <w:szCs w:val="24"/>
              </w:rPr>
              <w:t xml:space="preserve"> </w:t>
            </w:r>
          </w:p>
        </w:tc>
        <w:tc>
          <w:tcPr>
            <w:tcW w:w="2590" w:type="dxa"/>
          </w:tcPr>
          <w:p w14:paraId="17835221" w14:textId="2F3F88DD" w:rsidR="00772B80" w:rsidRDefault="005A0265" w:rsidP="00241226">
            <w:pPr>
              <w:rPr>
                <w:sz w:val="24"/>
                <w:szCs w:val="24"/>
              </w:rPr>
            </w:pPr>
            <w:r>
              <w:rPr>
                <w:sz w:val="24"/>
                <w:szCs w:val="24"/>
              </w:rPr>
              <w:t>Ensure providers provide culturally appropriate education about TB infection and progression to active TB disease; ensure contacts are prioritized for treatment according to TTBEP Manual</w:t>
            </w:r>
          </w:p>
        </w:tc>
        <w:tc>
          <w:tcPr>
            <w:tcW w:w="2590" w:type="dxa"/>
            <w:vAlign w:val="center"/>
          </w:tcPr>
          <w:p w14:paraId="23F28C2A" w14:textId="244FED0F" w:rsidR="00772B80" w:rsidRDefault="00772B80" w:rsidP="00241226">
            <w:pPr>
              <w:jc w:val="center"/>
              <w:rPr>
                <w:sz w:val="24"/>
                <w:szCs w:val="24"/>
              </w:rPr>
            </w:pPr>
            <w:r>
              <w:rPr>
                <w:sz w:val="24"/>
                <w:szCs w:val="24"/>
              </w:rPr>
              <w:t>92% by 2025</w:t>
            </w:r>
          </w:p>
        </w:tc>
        <w:tc>
          <w:tcPr>
            <w:tcW w:w="2590" w:type="dxa"/>
          </w:tcPr>
          <w:p w14:paraId="2AF7E85F" w14:textId="77777777" w:rsidR="00772B80" w:rsidRDefault="00772B80" w:rsidP="00241226">
            <w:pPr>
              <w:rPr>
                <w:sz w:val="24"/>
                <w:szCs w:val="24"/>
              </w:rPr>
            </w:pPr>
          </w:p>
        </w:tc>
        <w:tc>
          <w:tcPr>
            <w:tcW w:w="2590" w:type="dxa"/>
          </w:tcPr>
          <w:p w14:paraId="039A586F" w14:textId="77777777" w:rsidR="00772B80" w:rsidRDefault="00772B80" w:rsidP="00241226">
            <w:pPr>
              <w:rPr>
                <w:sz w:val="24"/>
                <w:szCs w:val="24"/>
              </w:rPr>
            </w:pPr>
          </w:p>
        </w:tc>
      </w:tr>
      <w:tr w:rsidR="00772B80" w14:paraId="1E14E38D" w14:textId="77777777" w:rsidTr="00C21B6F">
        <w:tc>
          <w:tcPr>
            <w:tcW w:w="2590" w:type="dxa"/>
            <w:vAlign w:val="center"/>
          </w:tcPr>
          <w:p w14:paraId="27F0C444" w14:textId="77777777" w:rsidR="00772B80" w:rsidRDefault="00772B80" w:rsidP="00241226">
            <w:pPr>
              <w:rPr>
                <w:sz w:val="24"/>
                <w:szCs w:val="24"/>
              </w:rPr>
            </w:pPr>
            <w:r>
              <w:rPr>
                <w:sz w:val="24"/>
                <w:szCs w:val="24"/>
              </w:rPr>
              <w:t>For contac</w:t>
            </w:r>
            <w:r w:rsidR="00255CEB">
              <w:rPr>
                <w:sz w:val="24"/>
                <w:szCs w:val="24"/>
              </w:rPr>
              <w:t>ts to sputum AFB smear positive TB cases who have started treatment for latent TB infection, increase the proportion who complete treatment</w:t>
            </w:r>
          </w:p>
          <w:p w14:paraId="4607E5C1" w14:textId="474E7524" w:rsidR="00881CD2" w:rsidRDefault="00881CD2" w:rsidP="00241226">
            <w:pPr>
              <w:rPr>
                <w:sz w:val="24"/>
                <w:szCs w:val="24"/>
              </w:rPr>
            </w:pPr>
          </w:p>
        </w:tc>
        <w:tc>
          <w:tcPr>
            <w:tcW w:w="2590" w:type="dxa"/>
          </w:tcPr>
          <w:p w14:paraId="38060005" w14:textId="1B63CE35" w:rsidR="00772B80" w:rsidRDefault="005A0265" w:rsidP="00241226">
            <w:pPr>
              <w:rPr>
                <w:sz w:val="24"/>
                <w:szCs w:val="24"/>
              </w:rPr>
            </w:pPr>
            <w:r>
              <w:rPr>
                <w:sz w:val="24"/>
                <w:szCs w:val="24"/>
              </w:rPr>
              <w:t>Increase use of 12-week isoniazid/rifapentine regimen; expand use of electronic directly observed therapy (eDOT); ensure case management of persons with confirmed TB infection (TBI)</w:t>
            </w:r>
          </w:p>
        </w:tc>
        <w:tc>
          <w:tcPr>
            <w:tcW w:w="2590" w:type="dxa"/>
            <w:vAlign w:val="center"/>
          </w:tcPr>
          <w:p w14:paraId="593B90AA" w14:textId="77777777" w:rsidR="00772B80" w:rsidRDefault="00772B80" w:rsidP="00241226">
            <w:pPr>
              <w:jc w:val="center"/>
              <w:rPr>
                <w:sz w:val="24"/>
                <w:szCs w:val="24"/>
              </w:rPr>
            </w:pPr>
          </w:p>
        </w:tc>
        <w:tc>
          <w:tcPr>
            <w:tcW w:w="2590" w:type="dxa"/>
          </w:tcPr>
          <w:p w14:paraId="5D29A339" w14:textId="77777777" w:rsidR="00772B80" w:rsidRDefault="00772B80" w:rsidP="00241226">
            <w:pPr>
              <w:rPr>
                <w:sz w:val="24"/>
                <w:szCs w:val="24"/>
              </w:rPr>
            </w:pPr>
          </w:p>
        </w:tc>
        <w:tc>
          <w:tcPr>
            <w:tcW w:w="2590" w:type="dxa"/>
          </w:tcPr>
          <w:p w14:paraId="216796E7" w14:textId="12CB059B" w:rsidR="00772B80" w:rsidRDefault="0011134E" w:rsidP="00241226">
            <w:pPr>
              <w:rPr>
                <w:sz w:val="24"/>
                <w:szCs w:val="24"/>
              </w:rPr>
            </w:pPr>
            <w:r>
              <w:rPr>
                <w:sz w:val="24"/>
                <w:szCs w:val="24"/>
              </w:rPr>
              <w:t>Nitrosamine impurities in rifamycins – use of rifapentine</w:t>
            </w:r>
          </w:p>
        </w:tc>
      </w:tr>
      <w:tr w:rsidR="00881CD2" w14:paraId="63E44596" w14:textId="77777777" w:rsidTr="00881CD2">
        <w:tc>
          <w:tcPr>
            <w:tcW w:w="12950" w:type="dxa"/>
            <w:gridSpan w:val="5"/>
            <w:shd w:val="clear" w:color="auto" w:fill="D9D9D9" w:themeFill="background1" w:themeFillShade="D9"/>
            <w:vAlign w:val="center"/>
          </w:tcPr>
          <w:p w14:paraId="427A2B84" w14:textId="0AC27D79" w:rsidR="00881CD2" w:rsidRPr="00881CD2" w:rsidRDefault="00881CD2" w:rsidP="00241226">
            <w:pPr>
              <w:rPr>
                <w:b/>
                <w:bCs/>
                <w:sz w:val="24"/>
                <w:szCs w:val="24"/>
              </w:rPr>
            </w:pPr>
            <w:r>
              <w:rPr>
                <w:b/>
                <w:bCs/>
                <w:sz w:val="24"/>
                <w:szCs w:val="24"/>
              </w:rPr>
              <w:t xml:space="preserve">Strategy 2B: Examination of Immigrants and Refugees </w:t>
            </w:r>
          </w:p>
        </w:tc>
      </w:tr>
      <w:tr w:rsidR="00881CD2" w14:paraId="351F3DB8" w14:textId="77777777" w:rsidTr="00881CD2">
        <w:tc>
          <w:tcPr>
            <w:tcW w:w="5180" w:type="dxa"/>
            <w:gridSpan w:val="2"/>
            <w:shd w:val="clear" w:color="auto" w:fill="F2F2F2" w:themeFill="background1" w:themeFillShade="F2"/>
            <w:vAlign w:val="center"/>
          </w:tcPr>
          <w:p w14:paraId="05F69E3A" w14:textId="69F2C43A" w:rsidR="00881CD2" w:rsidRPr="00881CD2" w:rsidRDefault="00881CD2" w:rsidP="00881CD2">
            <w:pPr>
              <w:jc w:val="center"/>
              <w:rPr>
                <w:b/>
                <w:bCs/>
                <w:sz w:val="24"/>
                <w:szCs w:val="24"/>
              </w:rPr>
            </w:pPr>
            <w:r>
              <w:rPr>
                <w:b/>
                <w:bCs/>
                <w:sz w:val="24"/>
                <w:szCs w:val="24"/>
              </w:rPr>
              <w:t>Related Outcomes</w:t>
            </w:r>
          </w:p>
        </w:tc>
        <w:tc>
          <w:tcPr>
            <w:tcW w:w="7770" w:type="dxa"/>
            <w:gridSpan w:val="3"/>
            <w:shd w:val="clear" w:color="auto" w:fill="F2F2F2" w:themeFill="background1" w:themeFillShade="F2"/>
            <w:vAlign w:val="center"/>
          </w:tcPr>
          <w:p w14:paraId="16B83D95" w14:textId="2E5976D5" w:rsidR="00881CD2" w:rsidRPr="00881CD2" w:rsidRDefault="00881CD2" w:rsidP="00881CD2">
            <w:pPr>
              <w:jc w:val="center"/>
              <w:rPr>
                <w:b/>
                <w:bCs/>
                <w:sz w:val="24"/>
                <w:szCs w:val="24"/>
              </w:rPr>
            </w:pPr>
            <w:r>
              <w:rPr>
                <w:b/>
                <w:bCs/>
                <w:sz w:val="24"/>
                <w:szCs w:val="24"/>
              </w:rPr>
              <w:t>Measures of Success</w:t>
            </w:r>
          </w:p>
        </w:tc>
      </w:tr>
      <w:tr w:rsidR="00881CD2" w14:paraId="5C31442E" w14:textId="77777777" w:rsidTr="0021319E">
        <w:tc>
          <w:tcPr>
            <w:tcW w:w="5180" w:type="dxa"/>
            <w:gridSpan w:val="2"/>
            <w:vAlign w:val="center"/>
          </w:tcPr>
          <w:p w14:paraId="45B91489" w14:textId="1B0AACA2" w:rsidR="00881CD2" w:rsidRDefault="0011134E" w:rsidP="00881CD2">
            <w:pPr>
              <w:rPr>
                <w:sz w:val="24"/>
                <w:szCs w:val="24"/>
              </w:rPr>
            </w:pPr>
            <w:r>
              <w:rPr>
                <w:sz w:val="24"/>
                <w:szCs w:val="24"/>
              </w:rPr>
              <w:t>Increase in (1) treatment initiation for patients with LTBI/prior pulmonary TB who are recommended for treatment and (2) LTBI diagnoses and high-risk patients who initiate treatment</w:t>
            </w:r>
          </w:p>
        </w:tc>
        <w:tc>
          <w:tcPr>
            <w:tcW w:w="7770" w:type="dxa"/>
            <w:gridSpan w:val="3"/>
          </w:tcPr>
          <w:p w14:paraId="3D540ADB" w14:textId="3C926680" w:rsidR="00881CD2" w:rsidRDefault="00881CD2" w:rsidP="00881CD2">
            <w:pPr>
              <w:rPr>
                <w:sz w:val="24"/>
                <w:szCs w:val="24"/>
              </w:rPr>
            </w:pPr>
            <w:r>
              <w:rPr>
                <w:sz w:val="24"/>
                <w:szCs w:val="24"/>
              </w:rPr>
              <w:t xml:space="preserve">National TB Indicator Project (NTIP) objectives for examination of immigrants and refugees can be accessed at: </w:t>
            </w:r>
            <w:hyperlink r:id="rId13" w:history="1">
              <w:r w:rsidRPr="00A33505">
                <w:rPr>
                  <w:rStyle w:val="Hyperlink"/>
                  <w:sz w:val="24"/>
                  <w:szCs w:val="24"/>
                </w:rPr>
                <w:t>https://www.cdc.gov/tb/programs/evaluation/indicators/default.htm</w:t>
              </w:r>
            </w:hyperlink>
            <w:r>
              <w:rPr>
                <w:sz w:val="24"/>
                <w:szCs w:val="24"/>
              </w:rPr>
              <w:t xml:space="preserve"> </w:t>
            </w:r>
          </w:p>
        </w:tc>
      </w:tr>
      <w:tr w:rsidR="00881CD2" w14:paraId="0560A5FB" w14:textId="77777777" w:rsidTr="0011134E">
        <w:tc>
          <w:tcPr>
            <w:tcW w:w="2590" w:type="dxa"/>
            <w:shd w:val="clear" w:color="auto" w:fill="F2F2F2" w:themeFill="background1" w:themeFillShade="F2"/>
            <w:vAlign w:val="center"/>
          </w:tcPr>
          <w:p w14:paraId="168C2449" w14:textId="187C530F" w:rsidR="00881CD2" w:rsidRPr="0011134E" w:rsidRDefault="0011134E" w:rsidP="0011134E">
            <w:pPr>
              <w:jc w:val="center"/>
              <w:rPr>
                <w:b/>
                <w:bCs/>
                <w:sz w:val="24"/>
                <w:szCs w:val="24"/>
              </w:rPr>
            </w:pPr>
            <w:r>
              <w:rPr>
                <w:b/>
                <w:bCs/>
                <w:sz w:val="24"/>
                <w:szCs w:val="24"/>
              </w:rPr>
              <w:t>Objectives</w:t>
            </w:r>
          </w:p>
        </w:tc>
        <w:tc>
          <w:tcPr>
            <w:tcW w:w="2590" w:type="dxa"/>
            <w:shd w:val="clear" w:color="auto" w:fill="F2F2F2" w:themeFill="background1" w:themeFillShade="F2"/>
          </w:tcPr>
          <w:p w14:paraId="1958CB1B" w14:textId="6893F270" w:rsidR="00881CD2" w:rsidRPr="0011134E" w:rsidRDefault="0011134E" w:rsidP="0011134E">
            <w:pPr>
              <w:jc w:val="center"/>
              <w:rPr>
                <w:b/>
                <w:bCs/>
                <w:sz w:val="24"/>
                <w:szCs w:val="24"/>
              </w:rPr>
            </w:pPr>
            <w:r>
              <w:rPr>
                <w:b/>
                <w:bCs/>
                <w:sz w:val="24"/>
                <w:szCs w:val="24"/>
              </w:rPr>
              <w:t>Activities</w:t>
            </w:r>
          </w:p>
        </w:tc>
        <w:tc>
          <w:tcPr>
            <w:tcW w:w="2590" w:type="dxa"/>
            <w:shd w:val="clear" w:color="auto" w:fill="F2F2F2" w:themeFill="background1" w:themeFillShade="F2"/>
            <w:vAlign w:val="center"/>
          </w:tcPr>
          <w:p w14:paraId="7E748254" w14:textId="4731E305" w:rsidR="00881CD2" w:rsidRPr="0011134E" w:rsidRDefault="0011134E" w:rsidP="0011134E">
            <w:pPr>
              <w:jc w:val="center"/>
              <w:rPr>
                <w:b/>
                <w:bCs/>
                <w:sz w:val="24"/>
                <w:szCs w:val="24"/>
              </w:rPr>
            </w:pPr>
            <w:r>
              <w:rPr>
                <w:b/>
                <w:bCs/>
                <w:sz w:val="24"/>
                <w:szCs w:val="24"/>
              </w:rPr>
              <w:t>Timeline</w:t>
            </w:r>
          </w:p>
        </w:tc>
        <w:tc>
          <w:tcPr>
            <w:tcW w:w="2590" w:type="dxa"/>
            <w:shd w:val="clear" w:color="auto" w:fill="F2F2F2" w:themeFill="background1" w:themeFillShade="F2"/>
          </w:tcPr>
          <w:p w14:paraId="56B8C135" w14:textId="362CE3BE" w:rsidR="00881CD2" w:rsidRPr="0011134E" w:rsidRDefault="0011134E" w:rsidP="0011134E">
            <w:pPr>
              <w:jc w:val="center"/>
              <w:rPr>
                <w:b/>
                <w:bCs/>
                <w:sz w:val="24"/>
                <w:szCs w:val="24"/>
              </w:rPr>
            </w:pPr>
            <w:r>
              <w:rPr>
                <w:b/>
                <w:bCs/>
                <w:sz w:val="24"/>
                <w:szCs w:val="24"/>
              </w:rPr>
              <w:t>Successes</w:t>
            </w:r>
          </w:p>
        </w:tc>
        <w:tc>
          <w:tcPr>
            <w:tcW w:w="2590" w:type="dxa"/>
            <w:shd w:val="clear" w:color="auto" w:fill="F2F2F2" w:themeFill="background1" w:themeFillShade="F2"/>
          </w:tcPr>
          <w:p w14:paraId="08D8EF4A" w14:textId="1D6F8CE7" w:rsidR="00881CD2" w:rsidRPr="0011134E" w:rsidRDefault="0011134E" w:rsidP="0011134E">
            <w:pPr>
              <w:jc w:val="center"/>
              <w:rPr>
                <w:b/>
                <w:bCs/>
                <w:sz w:val="24"/>
                <w:szCs w:val="24"/>
              </w:rPr>
            </w:pPr>
            <w:r>
              <w:rPr>
                <w:b/>
                <w:bCs/>
                <w:sz w:val="24"/>
                <w:szCs w:val="24"/>
              </w:rPr>
              <w:t>Barriers</w:t>
            </w:r>
          </w:p>
        </w:tc>
      </w:tr>
      <w:tr w:rsidR="00881CD2" w14:paraId="31C9ED22" w14:textId="77777777" w:rsidTr="00C21B6F">
        <w:tc>
          <w:tcPr>
            <w:tcW w:w="2590" w:type="dxa"/>
            <w:vAlign w:val="center"/>
          </w:tcPr>
          <w:p w14:paraId="0D3B77FF" w14:textId="203F2A92" w:rsidR="00881CD2" w:rsidRDefault="00BF65A9" w:rsidP="00241226">
            <w:pPr>
              <w:rPr>
                <w:sz w:val="24"/>
                <w:szCs w:val="24"/>
              </w:rPr>
            </w:pPr>
            <w:r>
              <w:rPr>
                <w:sz w:val="24"/>
                <w:szCs w:val="24"/>
              </w:rPr>
              <w:t>For immigrants and refugees with abnormal CXRs read overseas as consistent with TB, increase the proportion who initiate a medical examination within 30 days of notification</w:t>
            </w:r>
          </w:p>
        </w:tc>
        <w:tc>
          <w:tcPr>
            <w:tcW w:w="2590" w:type="dxa"/>
          </w:tcPr>
          <w:p w14:paraId="3D77281C" w14:textId="2A9CA52B" w:rsidR="00881CD2" w:rsidRDefault="00DF4C05" w:rsidP="00241226">
            <w:pPr>
              <w:rPr>
                <w:sz w:val="24"/>
                <w:szCs w:val="24"/>
              </w:rPr>
            </w:pPr>
            <w:r>
              <w:rPr>
                <w:sz w:val="24"/>
                <w:szCs w:val="24"/>
              </w:rPr>
              <w:t>Identify barriers that increase the amount of time between notification and examination; increase the number of clinic-level users for EDN; provide regional TB programs with 30-day timeframe from date of notification</w:t>
            </w:r>
          </w:p>
        </w:tc>
        <w:tc>
          <w:tcPr>
            <w:tcW w:w="2590" w:type="dxa"/>
            <w:vAlign w:val="center"/>
          </w:tcPr>
          <w:p w14:paraId="1F4A9609" w14:textId="108C6A6F" w:rsidR="00881CD2" w:rsidRDefault="00BF65A9" w:rsidP="00241226">
            <w:pPr>
              <w:jc w:val="center"/>
              <w:rPr>
                <w:sz w:val="24"/>
                <w:szCs w:val="24"/>
              </w:rPr>
            </w:pPr>
            <w:r>
              <w:rPr>
                <w:sz w:val="24"/>
                <w:szCs w:val="24"/>
              </w:rPr>
              <w:t>72% by 2025</w:t>
            </w:r>
          </w:p>
        </w:tc>
        <w:tc>
          <w:tcPr>
            <w:tcW w:w="2590" w:type="dxa"/>
          </w:tcPr>
          <w:p w14:paraId="0B6AA546" w14:textId="77777777" w:rsidR="00881CD2" w:rsidRDefault="00881CD2" w:rsidP="00241226">
            <w:pPr>
              <w:rPr>
                <w:sz w:val="24"/>
                <w:szCs w:val="24"/>
              </w:rPr>
            </w:pPr>
          </w:p>
        </w:tc>
        <w:tc>
          <w:tcPr>
            <w:tcW w:w="2590" w:type="dxa"/>
          </w:tcPr>
          <w:p w14:paraId="15532548" w14:textId="77777777" w:rsidR="00881CD2" w:rsidRDefault="00881CD2" w:rsidP="00241226">
            <w:pPr>
              <w:rPr>
                <w:sz w:val="24"/>
                <w:szCs w:val="24"/>
              </w:rPr>
            </w:pPr>
          </w:p>
        </w:tc>
      </w:tr>
      <w:tr w:rsidR="00BF65A9" w14:paraId="05BDF0F6" w14:textId="77777777" w:rsidTr="00DF4C05">
        <w:tc>
          <w:tcPr>
            <w:tcW w:w="2590" w:type="dxa"/>
            <w:vAlign w:val="center"/>
          </w:tcPr>
          <w:p w14:paraId="64AC3DBC" w14:textId="4CCB7DBE" w:rsidR="00BF65A9" w:rsidRDefault="00BF65A9" w:rsidP="00241226">
            <w:pPr>
              <w:rPr>
                <w:sz w:val="24"/>
                <w:szCs w:val="24"/>
              </w:rPr>
            </w:pPr>
            <w:r>
              <w:rPr>
                <w:sz w:val="24"/>
                <w:szCs w:val="24"/>
              </w:rPr>
              <w:t>For immigrants and refugees with abnormal CXRs read overseas as consistent with TB, increase the proportion who complete a medical examination within 120 days of notification</w:t>
            </w:r>
          </w:p>
        </w:tc>
        <w:tc>
          <w:tcPr>
            <w:tcW w:w="2590" w:type="dxa"/>
            <w:vAlign w:val="center"/>
          </w:tcPr>
          <w:p w14:paraId="3EC94A7C" w14:textId="09D37AE9" w:rsidR="00BF65A9" w:rsidRDefault="00DF4C05" w:rsidP="00DF4C05">
            <w:pPr>
              <w:rPr>
                <w:sz w:val="24"/>
                <w:szCs w:val="24"/>
              </w:rPr>
            </w:pPr>
            <w:r>
              <w:rPr>
                <w:sz w:val="24"/>
                <w:szCs w:val="24"/>
              </w:rPr>
              <w:t>Provide regional TB program managers with 90-day target dates for each B-notification received; follow-up with regional TB program managers as the 90-day deadline approaches</w:t>
            </w:r>
          </w:p>
        </w:tc>
        <w:tc>
          <w:tcPr>
            <w:tcW w:w="2590" w:type="dxa"/>
            <w:vAlign w:val="center"/>
          </w:tcPr>
          <w:p w14:paraId="4B3B542F" w14:textId="380212AA" w:rsidR="00BF65A9" w:rsidRDefault="00BF65A9" w:rsidP="00241226">
            <w:pPr>
              <w:jc w:val="center"/>
              <w:rPr>
                <w:sz w:val="24"/>
                <w:szCs w:val="24"/>
              </w:rPr>
            </w:pPr>
            <w:r>
              <w:rPr>
                <w:sz w:val="24"/>
                <w:szCs w:val="24"/>
              </w:rPr>
              <w:t>78% by 2020</w:t>
            </w:r>
          </w:p>
        </w:tc>
        <w:tc>
          <w:tcPr>
            <w:tcW w:w="2590" w:type="dxa"/>
          </w:tcPr>
          <w:p w14:paraId="3E196072" w14:textId="77777777" w:rsidR="00BF65A9" w:rsidRDefault="00BF65A9" w:rsidP="00241226">
            <w:pPr>
              <w:rPr>
                <w:sz w:val="24"/>
                <w:szCs w:val="24"/>
              </w:rPr>
            </w:pPr>
          </w:p>
        </w:tc>
        <w:tc>
          <w:tcPr>
            <w:tcW w:w="2590" w:type="dxa"/>
          </w:tcPr>
          <w:p w14:paraId="6E95D94A" w14:textId="77777777" w:rsidR="00BF65A9" w:rsidRDefault="00BF65A9" w:rsidP="00241226">
            <w:pPr>
              <w:rPr>
                <w:sz w:val="24"/>
                <w:szCs w:val="24"/>
              </w:rPr>
            </w:pPr>
          </w:p>
        </w:tc>
      </w:tr>
      <w:tr w:rsidR="00BF65A9" w14:paraId="48C27A85" w14:textId="77777777" w:rsidTr="00C21B6F">
        <w:tc>
          <w:tcPr>
            <w:tcW w:w="2590" w:type="dxa"/>
            <w:vAlign w:val="center"/>
          </w:tcPr>
          <w:p w14:paraId="60D9386C" w14:textId="7BDE3B44" w:rsidR="00BF65A9" w:rsidRDefault="00BF65A9" w:rsidP="00241226">
            <w:pPr>
              <w:rPr>
                <w:sz w:val="24"/>
                <w:szCs w:val="24"/>
              </w:rPr>
            </w:pPr>
            <w:r>
              <w:rPr>
                <w:sz w:val="24"/>
                <w:szCs w:val="24"/>
              </w:rPr>
              <w:t>For immigrants and refugees with abnormal CXRs read overseas as consistent with TB who are diagnosed with LTBI or have radiographic findings consistent with prior pulmonary TB on the basis of examination in the U.S., for whom treatment was recommended, increase the proportion who start treatment</w:t>
            </w:r>
          </w:p>
        </w:tc>
        <w:tc>
          <w:tcPr>
            <w:tcW w:w="2590" w:type="dxa"/>
          </w:tcPr>
          <w:p w14:paraId="08567169" w14:textId="631A059D" w:rsidR="00BF65A9" w:rsidRDefault="00056B1C" w:rsidP="00241226">
            <w:pPr>
              <w:rPr>
                <w:sz w:val="24"/>
                <w:szCs w:val="24"/>
              </w:rPr>
            </w:pPr>
            <w:r>
              <w:rPr>
                <w:sz w:val="24"/>
                <w:szCs w:val="24"/>
              </w:rPr>
              <w:t xml:space="preserve">Ensure </w:t>
            </w:r>
            <w:r w:rsidR="00D15EAD">
              <w:rPr>
                <w:sz w:val="24"/>
                <w:szCs w:val="24"/>
              </w:rPr>
              <w:t>culturally sensitive</w:t>
            </w:r>
            <w:r>
              <w:rPr>
                <w:sz w:val="24"/>
                <w:szCs w:val="24"/>
              </w:rPr>
              <w:t xml:space="preserve"> education is provided; partner with agencies providing primary care to immigrants/refugees; ensure providers stress the importance of treatment for TB infection and the possibility of progressing to active TB disease if untreated; ensure educational materials are translated and in plain language</w:t>
            </w:r>
          </w:p>
        </w:tc>
        <w:tc>
          <w:tcPr>
            <w:tcW w:w="2590" w:type="dxa"/>
            <w:vAlign w:val="center"/>
          </w:tcPr>
          <w:p w14:paraId="77498B61" w14:textId="51BDD328" w:rsidR="00BF65A9" w:rsidRDefault="00BF65A9" w:rsidP="00241226">
            <w:pPr>
              <w:jc w:val="center"/>
              <w:rPr>
                <w:sz w:val="24"/>
                <w:szCs w:val="24"/>
              </w:rPr>
            </w:pPr>
            <w:r>
              <w:rPr>
                <w:sz w:val="24"/>
                <w:szCs w:val="24"/>
              </w:rPr>
              <w:t>87% by 2025</w:t>
            </w:r>
          </w:p>
        </w:tc>
        <w:tc>
          <w:tcPr>
            <w:tcW w:w="2590" w:type="dxa"/>
          </w:tcPr>
          <w:p w14:paraId="5B74F7F4" w14:textId="77777777" w:rsidR="00BF65A9" w:rsidRDefault="00BF65A9" w:rsidP="00241226">
            <w:pPr>
              <w:rPr>
                <w:sz w:val="24"/>
                <w:szCs w:val="24"/>
              </w:rPr>
            </w:pPr>
          </w:p>
        </w:tc>
        <w:tc>
          <w:tcPr>
            <w:tcW w:w="2590" w:type="dxa"/>
          </w:tcPr>
          <w:p w14:paraId="31594540" w14:textId="77777777" w:rsidR="00BF65A9" w:rsidRDefault="00BF65A9" w:rsidP="00241226">
            <w:pPr>
              <w:rPr>
                <w:sz w:val="24"/>
                <w:szCs w:val="24"/>
              </w:rPr>
            </w:pPr>
          </w:p>
        </w:tc>
      </w:tr>
      <w:tr w:rsidR="005A0265" w14:paraId="20A4923A" w14:textId="77777777" w:rsidTr="00073FFB">
        <w:tc>
          <w:tcPr>
            <w:tcW w:w="2590" w:type="dxa"/>
            <w:vAlign w:val="center"/>
          </w:tcPr>
          <w:p w14:paraId="1A8114BF" w14:textId="189E6359" w:rsidR="005A0265" w:rsidRDefault="005A0265" w:rsidP="005A0265">
            <w:pPr>
              <w:rPr>
                <w:sz w:val="24"/>
                <w:szCs w:val="24"/>
              </w:rPr>
            </w:pPr>
            <w:r>
              <w:rPr>
                <w:sz w:val="24"/>
                <w:szCs w:val="24"/>
              </w:rPr>
              <w:t>For immigrants and refugees with abnormal CXRs read overseas as consistent with TB who are diagnosed with LTBI or have radiographic findings consistent with prior pulmonary TB on the basis of examination in the U.S., and who have started on treatment, increase the proportion who complete treatment</w:t>
            </w:r>
          </w:p>
        </w:tc>
        <w:tc>
          <w:tcPr>
            <w:tcW w:w="2590" w:type="dxa"/>
            <w:vAlign w:val="center"/>
          </w:tcPr>
          <w:p w14:paraId="6505B1AF" w14:textId="1039947F" w:rsidR="005A0265" w:rsidRDefault="005A0265" w:rsidP="005A0265">
            <w:pPr>
              <w:rPr>
                <w:sz w:val="24"/>
                <w:szCs w:val="24"/>
              </w:rPr>
            </w:pPr>
            <w:r>
              <w:rPr>
                <w:sz w:val="24"/>
                <w:szCs w:val="24"/>
              </w:rPr>
              <w:t xml:space="preserve">Ensure case management of patients with TB infection; increase use of 12-week isoniazid/rifapentine regimen; use incentives/enablers when appropriate; partner with agencies providing primary care to immigrants/refugees; ensure information is provided in the patient’s primary language </w:t>
            </w:r>
          </w:p>
        </w:tc>
        <w:tc>
          <w:tcPr>
            <w:tcW w:w="2590" w:type="dxa"/>
            <w:vAlign w:val="center"/>
          </w:tcPr>
          <w:p w14:paraId="267E7FA9" w14:textId="1F02253F" w:rsidR="005A0265" w:rsidRDefault="005A0265" w:rsidP="005A0265">
            <w:pPr>
              <w:jc w:val="center"/>
              <w:rPr>
                <w:sz w:val="24"/>
                <w:szCs w:val="24"/>
              </w:rPr>
            </w:pPr>
            <w:r>
              <w:rPr>
                <w:sz w:val="24"/>
                <w:szCs w:val="24"/>
              </w:rPr>
              <w:t>87% by 2025</w:t>
            </w:r>
          </w:p>
        </w:tc>
        <w:tc>
          <w:tcPr>
            <w:tcW w:w="2590" w:type="dxa"/>
          </w:tcPr>
          <w:p w14:paraId="5DF43E40" w14:textId="77777777" w:rsidR="005A0265" w:rsidRDefault="005A0265" w:rsidP="005A0265">
            <w:pPr>
              <w:rPr>
                <w:sz w:val="24"/>
                <w:szCs w:val="24"/>
              </w:rPr>
            </w:pPr>
          </w:p>
        </w:tc>
        <w:tc>
          <w:tcPr>
            <w:tcW w:w="2590" w:type="dxa"/>
          </w:tcPr>
          <w:p w14:paraId="7E04FE81" w14:textId="0C5B8D31" w:rsidR="005A0265" w:rsidRDefault="005A0265" w:rsidP="005A0265">
            <w:pPr>
              <w:rPr>
                <w:sz w:val="24"/>
                <w:szCs w:val="24"/>
              </w:rPr>
            </w:pPr>
            <w:r>
              <w:rPr>
                <w:sz w:val="24"/>
                <w:szCs w:val="24"/>
              </w:rPr>
              <w:t>Nitrosamine impurities in rifamycins – use of rifapentine</w:t>
            </w:r>
          </w:p>
        </w:tc>
      </w:tr>
      <w:tr w:rsidR="005A0265" w14:paraId="1ACBCF01" w14:textId="77777777" w:rsidTr="00BF65A9">
        <w:tc>
          <w:tcPr>
            <w:tcW w:w="12950" w:type="dxa"/>
            <w:gridSpan w:val="5"/>
            <w:shd w:val="clear" w:color="auto" w:fill="D9D9D9" w:themeFill="background1" w:themeFillShade="D9"/>
            <w:vAlign w:val="center"/>
          </w:tcPr>
          <w:p w14:paraId="0BFD9863" w14:textId="68502620" w:rsidR="005A0265" w:rsidRPr="00BF65A9" w:rsidRDefault="005A0265" w:rsidP="005A0265">
            <w:pPr>
              <w:rPr>
                <w:b/>
                <w:bCs/>
                <w:sz w:val="24"/>
                <w:szCs w:val="24"/>
              </w:rPr>
            </w:pPr>
            <w:r>
              <w:rPr>
                <w:b/>
                <w:bCs/>
                <w:sz w:val="24"/>
                <w:szCs w:val="24"/>
              </w:rPr>
              <w:t>Strategy 2C: Focused Testing and Treatment of TB Infection (Program-Identified)</w:t>
            </w:r>
          </w:p>
        </w:tc>
      </w:tr>
      <w:tr w:rsidR="005A0265" w14:paraId="716BDA1B" w14:textId="77777777" w:rsidTr="00BF65A9">
        <w:tc>
          <w:tcPr>
            <w:tcW w:w="5180" w:type="dxa"/>
            <w:gridSpan w:val="2"/>
            <w:shd w:val="clear" w:color="auto" w:fill="F2F2F2" w:themeFill="background1" w:themeFillShade="F2"/>
            <w:vAlign w:val="center"/>
          </w:tcPr>
          <w:p w14:paraId="50EE2DC2" w14:textId="755C8C77" w:rsidR="005A0265" w:rsidRPr="00BF65A9" w:rsidRDefault="005A0265" w:rsidP="005A0265">
            <w:pPr>
              <w:jc w:val="center"/>
              <w:rPr>
                <w:b/>
                <w:bCs/>
                <w:sz w:val="24"/>
                <w:szCs w:val="24"/>
              </w:rPr>
            </w:pPr>
            <w:r>
              <w:rPr>
                <w:b/>
                <w:bCs/>
                <w:sz w:val="24"/>
                <w:szCs w:val="24"/>
              </w:rPr>
              <w:t>Related Outcomes</w:t>
            </w:r>
          </w:p>
        </w:tc>
        <w:tc>
          <w:tcPr>
            <w:tcW w:w="7770" w:type="dxa"/>
            <w:gridSpan w:val="3"/>
            <w:shd w:val="clear" w:color="auto" w:fill="F2F2F2" w:themeFill="background1" w:themeFillShade="F2"/>
            <w:vAlign w:val="center"/>
          </w:tcPr>
          <w:p w14:paraId="1C39D34C" w14:textId="10DE7F2F" w:rsidR="005A0265" w:rsidRPr="00BF65A9" w:rsidRDefault="005A0265" w:rsidP="005A0265">
            <w:pPr>
              <w:jc w:val="center"/>
              <w:rPr>
                <w:b/>
                <w:bCs/>
                <w:sz w:val="24"/>
                <w:szCs w:val="24"/>
              </w:rPr>
            </w:pPr>
            <w:r>
              <w:rPr>
                <w:b/>
                <w:bCs/>
                <w:sz w:val="24"/>
                <w:szCs w:val="24"/>
              </w:rPr>
              <w:t>Measures of Success</w:t>
            </w:r>
          </w:p>
        </w:tc>
      </w:tr>
      <w:tr w:rsidR="005A0265" w14:paraId="4245F22F" w14:textId="77777777" w:rsidTr="0021319E">
        <w:tc>
          <w:tcPr>
            <w:tcW w:w="5180" w:type="dxa"/>
            <w:gridSpan w:val="2"/>
            <w:vAlign w:val="center"/>
          </w:tcPr>
          <w:p w14:paraId="16A435FF" w14:textId="77777777" w:rsidR="005A0265" w:rsidRDefault="005A0265" w:rsidP="005A0265">
            <w:pPr>
              <w:rPr>
                <w:sz w:val="24"/>
                <w:szCs w:val="24"/>
              </w:rPr>
            </w:pPr>
            <w:r>
              <w:rPr>
                <w:sz w:val="24"/>
                <w:szCs w:val="24"/>
                <w:u w:val="single"/>
              </w:rPr>
              <w:t>Increase</w:t>
            </w:r>
            <w:r>
              <w:rPr>
                <w:sz w:val="24"/>
                <w:szCs w:val="24"/>
              </w:rPr>
              <w:t xml:space="preserve"> in: (1) treatment initiation for high-risk patients diagnosed with TB infection; (2) treatment completion for patients diagnosed with TB infection who initiate treatment</w:t>
            </w:r>
          </w:p>
          <w:p w14:paraId="7AF9A1D5" w14:textId="77777777" w:rsidR="005A0265" w:rsidRDefault="005A0265" w:rsidP="005A0265">
            <w:pPr>
              <w:rPr>
                <w:sz w:val="24"/>
                <w:szCs w:val="24"/>
              </w:rPr>
            </w:pPr>
            <w:r>
              <w:rPr>
                <w:sz w:val="24"/>
                <w:szCs w:val="24"/>
                <w:u w:val="single"/>
              </w:rPr>
              <w:t>Decrease</w:t>
            </w:r>
            <w:r>
              <w:rPr>
                <w:sz w:val="24"/>
                <w:szCs w:val="24"/>
              </w:rPr>
              <w:t xml:space="preserve"> in (1) number of patients diagnosed with TB infection who progress to active TB disease</w:t>
            </w:r>
          </w:p>
          <w:p w14:paraId="21563074" w14:textId="6157A8F5" w:rsidR="005A0265" w:rsidRPr="00AF5BA0" w:rsidRDefault="005A0265" w:rsidP="005A0265">
            <w:pPr>
              <w:rPr>
                <w:sz w:val="24"/>
                <w:szCs w:val="24"/>
              </w:rPr>
            </w:pPr>
          </w:p>
        </w:tc>
        <w:tc>
          <w:tcPr>
            <w:tcW w:w="7770" w:type="dxa"/>
            <w:gridSpan w:val="3"/>
            <w:vAlign w:val="center"/>
          </w:tcPr>
          <w:p w14:paraId="03572C2A" w14:textId="7C3933FB" w:rsidR="005A0265" w:rsidRPr="0048318A" w:rsidRDefault="005A0265" w:rsidP="005A0265">
            <w:pPr>
              <w:pStyle w:val="ListParagraph"/>
              <w:numPr>
                <w:ilvl w:val="0"/>
                <w:numId w:val="39"/>
              </w:numPr>
              <w:ind w:left="376"/>
              <w:rPr>
                <w:sz w:val="24"/>
                <w:szCs w:val="24"/>
              </w:rPr>
            </w:pPr>
            <w:r>
              <w:rPr>
                <w:sz w:val="24"/>
                <w:szCs w:val="24"/>
              </w:rPr>
              <w:t xml:space="preserve">100% of regional TB programs will identify at least one high-risk population for prioritized education and TB infection testing activities; (2) regional TB programs will establish regional education and testing benchmarks; (3) regional TB programs will establish regional treatment initiation benchmarks for each high-risk population identified; (4) regional TB programs will identify treatment completion benchmarks for each high-risk population identified </w:t>
            </w:r>
            <w:r>
              <w:rPr>
                <w:b/>
                <w:bCs/>
                <w:sz w:val="24"/>
                <w:szCs w:val="24"/>
              </w:rPr>
              <w:t>(NOTE: New measures of success)</w:t>
            </w:r>
          </w:p>
        </w:tc>
      </w:tr>
      <w:tr w:rsidR="005A0265" w14:paraId="6ADB98A7" w14:textId="77777777" w:rsidTr="00BF65A9">
        <w:tc>
          <w:tcPr>
            <w:tcW w:w="2590" w:type="dxa"/>
            <w:shd w:val="clear" w:color="auto" w:fill="F2F2F2" w:themeFill="background1" w:themeFillShade="F2"/>
            <w:vAlign w:val="center"/>
          </w:tcPr>
          <w:p w14:paraId="564135F9" w14:textId="40465B32" w:rsidR="005A0265" w:rsidRPr="00BF65A9" w:rsidRDefault="005A0265" w:rsidP="005A0265">
            <w:pPr>
              <w:jc w:val="center"/>
              <w:rPr>
                <w:b/>
                <w:bCs/>
                <w:sz w:val="24"/>
                <w:szCs w:val="24"/>
              </w:rPr>
            </w:pPr>
            <w:r>
              <w:rPr>
                <w:b/>
                <w:bCs/>
                <w:sz w:val="24"/>
                <w:szCs w:val="24"/>
              </w:rPr>
              <w:t>Objectives</w:t>
            </w:r>
          </w:p>
        </w:tc>
        <w:tc>
          <w:tcPr>
            <w:tcW w:w="2590" w:type="dxa"/>
            <w:shd w:val="clear" w:color="auto" w:fill="F2F2F2" w:themeFill="background1" w:themeFillShade="F2"/>
          </w:tcPr>
          <w:p w14:paraId="1EC07437" w14:textId="7B276037" w:rsidR="005A0265" w:rsidRPr="00BF65A9" w:rsidRDefault="005A0265" w:rsidP="005A0265">
            <w:pPr>
              <w:jc w:val="center"/>
              <w:rPr>
                <w:b/>
                <w:bCs/>
                <w:sz w:val="24"/>
                <w:szCs w:val="24"/>
              </w:rPr>
            </w:pPr>
            <w:r>
              <w:rPr>
                <w:b/>
                <w:bCs/>
                <w:sz w:val="24"/>
                <w:szCs w:val="24"/>
              </w:rPr>
              <w:t>Activities</w:t>
            </w:r>
          </w:p>
        </w:tc>
        <w:tc>
          <w:tcPr>
            <w:tcW w:w="2590" w:type="dxa"/>
            <w:shd w:val="clear" w:color="auto" w:fill="F2F2F2" w:themeFill="background1" w:themeFillShade="F2"/>
            <w:vAlign w:val="center"/>
          </w:tcPr>
          <w:p w14:paraId="583724E4" w14:textId="350C24DF" w:rsidR="005A0265" w:rsidRPr="00BF65A9" w:rsidRDefault="005A0265" w:rsidP="005A0265">
            <w:pPr>
              <w:jc w:val="center"/>
              <w:rPr>
                <w:b/>
                <w:bCs/>
                <w:sz w:val="24"/>
                <w:szCs w:val="24"/>
              </w:rPr>
            </w:pPr>
            <w:r>
              <w:rPr>
                <w:b/>
                <w:bCs/>
                <w:sz w:val="24"/>
                <w:szCs w:val="24"/>
              </w:rPr>
              <w:t>Timeline</w:t>
            </w:r>
          </w:p>
        </w:tc>
        <w:tc>
          <w:tcPr>
            <w:tcW w:w="2590" w:type="dxa"/>
            <w:shd w:val="clear" w:color="auto" w:fill="F2F2F2" w:themeFill="background1" w:themeFillShade="F2"/>
          </w:tcPr>
          <w:p w14:paraId="568F2089" w14:textId="386079B9" w:rsidR="005A0265" w:rsidRPr="00BF65A9" w:rsidRDefault="005A0265" w:rsidP="005A0265">
            <w:pPr>
              <w:jc w:val="center"/>
              <w:rPr>
                <w:b/>
                <w:bCs/>
                <w:sz w:val="24"/>
                <w:szCs w:val="24"/>
              </w:rPr>
            </w:pPr>
            <w:r>
              <w:rPr>
                <w:b/>
                <w:bCs/>
                <w:sz w:val="24"/>
                <w:szCs w:val="24"/>
              </w:rPr>
              <w:t>Successes</w:t>
            </w:r>
          </w:p>
        </w:tc>
        <w:tc>
          <w:tcPr>
            <w:tcW w:w="2590" w:type="dxa"/>
            <w:shd w:val="clear" w:color="auto" w:fill="F2F2F2" w:themeFill="background1" w:themeFillShade="F2"/>
          </w:tcPr>
          <w:p w14:paraId="4BDFFC37" w14:textId="7D14E126" w:rsidR="005A0265" w:rsidRPr="00BF65A9" w:rsidRDefault="005A0265" w:rsidP="005A0265">
            <w:pPr>
              <w:jc w:val="center"/>
              <w:rPr>
                <w:b/>
                <w:bCs/>
                <w:sz w:val="24"/>
                <w:szCs w:val="24"/>
              </w:rPr>
            </w:pPr>
            <w:r>
              <w:rPr>
                <w:b/>
                <w:bCs/>
                <w:sz w:val="24"/>
                <w:szCs w:val="24"/>
              </w:rPr>
              <w:t>Barriers</w:t>
            </w:r>
          </w:p>
        </w:tc>
      </w:tr>
      <w:tr w:rsidR="005A0265" w14:paraId="2A23EF10" w14:textId="77777777" w:rsidTr="00881C03">
        <w:tc>
          <w:tcPr>
            <w:tcW w:w="2590" w:type="dxa"/>
            <w:vAlign w:val="center"/>
          </w:tcPr>
          <w:p w14:paraId="680A87FA" w14:textId="2DA05198" w:rsidR="005A0265" w:rsidRDefault="005A0265" w:rsidP="005A0265">
            <w:pPr>
              <w:rPr>
                <w:sz w:val="24"/>
                <w:szCs w:val="24"/>
              </w:rPr>
            </w:pPr>
            <w:r>
              <w:rPr>
                <w:sz w:val="24"/>
                <w:szCs w:val="24"/>
              </w:rPr>
              <w:t>Implement “Community Partnerships to End TB (CPETB)” initiative statewide</w:t>
            </w:r>
          </w:p>
        </w:tc>
        <w:tc>
          <w:tcPr>
            <w:tcW w:w="2590" w:type="dxa"/>
            <w:vAlign w:val="center"/>
          </w:tcPr>
          <w:p w14:paraId="770F72E2" w14:textId="1E902856" w:rsidR="005A0265" w:rsidRDefault="005A0265" w:rsidP="005A0265">
            <w:pPr>
              <w:rPr>
                <w:sz w:val="24"/>
                <w:szCs w:val="24"/>
              </w:rPr>
            </w:pPr>
            <w:r>
              <w:rPr>
                <w:sz w:val="24"/>
                <w:szCs w:val="24"/>
              </w:rPr>
              <w:t>Conduct meetings with leadership of each regional TB program</w:t>
            </w:r>
          </w:p>
        </w:tc>
        <w:tc>
          <w:tcPr>
            <w:tcW w:w="2590" w:type="dxa"/>
            <w:vAlign w:val="center"/>
          </w:tcPr>
          <w:p w14:paraId="26B74BFA" w14:textId="77777777" w:rsidR="005A0265" w:rsidRDefault="005A0265" w:rsidP="005A0265">
            <w:pPr>
              <w:jc w:val="center"/>
              <w:rPr>
                <w:sz w:val="24"/>
                <w:szCs w:val="24"/>
              </w:rPr>
            </w:pPr>
          </w:p>
        </w:tc>
        <w:tc>
          <w:tcPr>
            <w:tcW w:w="2590" w:type="dxa"/>
          </w:tcPr>
          <w:p w14:paraId="60EA83AB" w14:textId="77777777" w:rsidR="005A0265" w:rsidRDefault="005A0265" w:rsidP="005A0265">
            <w:pPr>
              <w:rPr>
                <w:sz w:val="24"/>
                <w:szCs w:val="24"/>
              </w:rPr>
            </w:pPr>
          </w:p>
        </w:tc>
        <w:tc>
          <w:tcPr>
            <w:tcW w:w="2590" w:type="dxa"/>
          </w:tcPr>
          <w:p w14:paraId="1FCA2CC3" w14:textId="77777777" w:rsidR="005A0265" w:rsidRDefault="005A0265" w:rsidP="005A0265">
            <w:pPr>
              <w:rPr>
                <w:sz w:val="24"/>
                <w:szCs w:val="24"/>
              </w:rPr>
            </w:pPr>
          </w:p>
        </w:tc>
      </w:tr>
      <w:tr w:rsidR="005A0265" w14:paraId="18B8EFBB" w14:textId="77777777" w:rsidTr="00881C03">
        <w:tc>
          <w:tcPr>
            <w:tcW w:w="2590" w:type="dxa"/>
            <w:vAlign w:val="center"/>
          </w:tcPr>
          <w:p w14:paraId="0A0BDFB0" w14:textId="020D3147" w:rsidR="005A0265" w:rsidRDefault="005A0265" w:rsidP="005A0265">
            <w:pPr>
              <w:rPr>
                <w:sz w:val="24"/>
                <w:szCs w:val="24"/>
              </w:rPr>
            </w:pPr>
            <w:r>
              <w:rPr>
                <w:sz w:val="24"/>
                <w:szCs w:val="24"/>
              </w:rPr>
              <w:t>Identify of at least one (1) high-risk population by each regional TB program for focused education and testing for TB infection</w:t>
            </w:r>
          </w:p>
        </w:tc>
        <w:tc>
          <w:tcPr>
            <w:tcW w:w="2590" w:type="dxa"/>
            <w:vAlign w:val="center"/>
          </w:tcPr>
          <w:p w14:paraId="049111D9" w14:textId="02050010" w:rsidR="005A0265" w:rsidRDefault="005A0265" w:rsidP="005A0265">
            <w:pPr>
              <w:rPr>
                <w:sz w:val="24"/>
                <w:szCs w:val="24"/>
              </w:rPr>
            </w:pPr>
            <w:r>
              <w:rPr>
                <w:sz w:val="24"/>
                <w:szCs w:val="24"/>
              </w:rPr>
              <w:t>Provide county- and regional-level TB and TB infection (TBI) data to each regional TB program manager</w:t>
            </w:r>
          </w:p>
        </w:tc>
        <w:tc>
          <w:tcPr>
            <w:tcW w:w="2590" w:type="dxa"/>
            <w:vAlign w:val="center"/>
          </w:tcPr>
          <w:p w14:paraId="4C665A11" w14:textId="77777777" w:rsidR="005A0265" w:rsidRDefault="005A0265" w:rsidP="005A0265">
            <w:pPr>
              <w:jc w:val="center"/>
              <w:rPr>
                <w:sz w:val="24"/>
                <w:szCs w:val="24"/>
              </w:rPr>
            </w:pPr>
          </w:p>
        </w:tc>
        <w:tc>
          <w:tcPr>
            <w:tcW w:w="2590" w:type="dxa"/>
          </w:tcPr>
          <w:p w14:paraId="0D9A2CC6" w14:textId="77777777" w:rsidR="005A0265" w:rsidRDefault="005A0265" w:rsidP="005A0265">
            <w:pPr>
              <w:rPr>
                <w:sz w:val="24"/>
                <w:szCs w:val="24"/>
              </w:rPr>
            </w:pPr>
          </w:p>
        </w:tc>
        <w:tc>
          <w:tcPr>
            <w:tcW w:w="2590" w:type="dxa"/>
          </w:tcPr>
          <w:p w14:paraId="6EB45F4D" w14:textId="77777777" w:rsidR="005A0265" w:rsidRDefault="005A0265" w:rsidP="005A0265">
            <w:pPr>
              <w:rPr>
                <w:sz w:val="24"/>
                <w:szCs w:val="24"/>
              </w:rPr>
            </w:pPr>
          </w:p>
        </w:tc>
      </w:tr>
      <w:tr w:rsidR="005A0265" w14:paraId="4920DD15" w14:textId="77777777" w:rsidTr="00C21B6F">
        <w:tc>
          <w:tcPr>
            <w:tcW w:w="2590" w:type="dxa"/>
            <w:vAlign w:val="center"/>
          </w:tcPr>
          <w:p w14:paraId="615F7AFC" w14:textId="49EC9AEE" w:rsidR="005A0265" w:rsidRDefault="005A0265" w:rsidP="005A0265">
            <w:pPr>
              <w:rPr>
                <w:sz w:val="24"/>
                <w:szCs w:val="24"/>
              </w:rPr>
            </w:pPr>
            <w:r>
              <w:rPr>
                <w:sz w:val="24"/>
                <w:szCs w:val="24"/>
              </w:rPr>
              <w:t>Provide education, screening, and testing activities for identified high-risk populations</w:t>
            </w:r>
          </w:p>
        </w:tc>
        <w:tc>
          <w:tcPr>
            <w:tcW w:w="2590" w:type="dxa"/>
          </w:tcPr>
          <w:p w14:paraId="26FDF023" w14:textId="1D800413" w:rsidR="005A0265" w:rsidRDefault="005A0265" w:rsidP="005A0265">
            <w:pPr>
              <w:rPr>
                <w:sz w:val="24"/>
                <w:szCs w:val="24"/>
              </w:rPr>
            </w:pPr>
            <w:r>
              <w:rPr>
                <w:sz w:val="24"/>
                <w:szCs w:val="24"/>
              </w:rPr>
              <w:t>Assist regional TB programs with the development of plan to screen and test high-risk population that include culturally-appropriate and plain language educational materials</w:t>
            </w:r>
          </w:p>
        </w:tc>
        <w:tc>
          <w:tcPr>
            <w:tcW w:w="2590" w:type="dxa"/>
            <w:vAlign w:val="center"/>
          </w:tcPr>
          <w:p w14:paraId="76F23957" w14:textId="77777777" w:rsidR="005A0265" w:rsidRDefault="005A0265" w:rsidP="005A0265">
            <w:pPr>
              <w:jc w:val="center"/>
              <w:rPr>
                <w:sz w:val="24"/>
                <w:szCs w:val="24"/>
              </w:rPr>
            </w:pPr>
          </w:p>
        </w:tc>
        <w:tc>
          <w:tcPr>
            <w:tcW w:w="2590" w:type="dxa"/>
          </w:tcPr>
          <w:p w14:paraId="458EBB83" w14:textId="77777777" w:rsidR="005A0265" w:rsidRDefault="005A0265" w:rsidP="005A0265">
            <w:pPr>
              <w:rPr>
                <w:sz w:val="24"/>
                <w:szCs w:val="24"/>
              </w:rPr>
            </w:pPr>
          </w:p>
        </w:tc>
        <w:tc>
          <w:tcPr>
            <w:tcW w:w="2590" w:type="dxa"/>
          </w:tcPr>
          <w:p w14:paraId="0FBC62A4" w14:textId="77777777" w:rsidR="005A0265" w:rsidRDefault="005A0265" w:rsidP="005A0265">
            <w:pPr>
              <w:rPr>
                <w:sz w:val="24"/>
                <w:szCs w:val="24"/>
              </w:rPr>
            </w:pPr>
          </w:p>
        </w:tc>
      </w:tr>
      <w:tr w:rsidR="005A0265" w14:paraId="20E3404B" w14:textId="77777777" w:rsidTr="00346079">
        <w:tc>
          <w:tcPr>
            <w:tcW w:w="12950" w:type="dxa"/>
            <w:gridSpan w:val="5"/>
            <w:shd w:val="clear" w:color="auto" w:fill="D9D9D9" w:themeFill="background1" w:themeFillShade="D9"/>
            <w:vAlign w:val="center"/>
          </w:tcPr>
          <w:p w14:paraId="755033E1" w14:textId="5AC6B4F0" w:rsidR="005A0265" w:rsidRPr="00346079" w:rsidRDefault="005A0265" w:rsidP="005A0265">
            <w:pPr>
              <w:rPr>
                <w:b/>
                <w:bCs/>
                <w:sz w:val="24"/>
                <w:szCs w:val="24"/>
              </w:rPr>
            </w:pPr>
            <w:r>
              <w:rPr>
                <w:b/>
                <w:bCs/>
                <w:sz w:val="24"/>
                <w:szCs w:val="24"/>
              </w:rPr>
              <w:t>Strategy 3: Program Planning, Evaluation, and Improvement</w:t>
            </w:r>
          </w:p>
        </w:tc>
      </w:tr>
      <w:tr w:rsidR="005A0265" w14:paraId="6426DBDA" w14:textId="77777777" w:rsidTr="00346079">
        <w:tc>
          <w:tcPr>
            <w:tcW w:w="5180" w:type="dxa"/>
            <w:gridSpan w:val="2"/>
            <w:shd w:val="clear" w:color="auto" w:fill="F2F2F2" w:themeFill="background1" w:themeFillShade="F2"/>
            <w:vAlign w:val="center"/>
          </w:tcPr>
          <w:p w14:paraId="00AF9EF3" w14:textId="0AE2B528" w:rsidR="005A0265" w:rsidRPr="00346079" w:rsidRDefault="005A0265" w:rsidP="005A0265">
            <w:pPr>
              <w:jc w:val="center"/>
              <w:rPr>
                <w:b/>
                <w:bCs/>
                <w:sz w:val="24"/>
                <w:szCs w:val="24"/>
              </w:rPr>
            </w:pPr>
            <w:r>
              <w:rPr>
                <w:b/>
                <w:bCs/>
                <w:sz w:val="24"/>
                <w:szCs w:val="24"/>
              </w:rPr>
              <w:t>Related Outcomes</w:t>
            </w:r>
          </w:p>
        </w:tc>
        <w:tc>
          <w:tcPr>
            <w:tcW w:w="7770" w:type="dxa"/>
            <w:gridSpan w:val="3"/>
            <w:shd w:val="clear" w:color="auto" w:fill="F2F2F2" w:themeFill="background1" w:themeFillShade="F2"/>
            <w:vAlign w:val="center"/>
          </w:tcPr>
          <w:p w14:paraId="1A26F8E3" w14:textId="7BF386E9" w:rsidR="005A0265" w:rsidRPr="00346079" w:rsidRDefault="005A0265" w:rsidP="005A0265">
            <w:pPr>
              <w:jc w:val="center"/>
              <w:rPr>
                <w:b/>
                <w:bCs/>
                <w:sz w:val="24"/>
                <w:szCs w:val="24"/>
              </w:rPr>
            </w:pPr>
            <w:r>
              <w:rPr>
                <w:b/>
                <w:bCs/>
                <w:sz w:val="24"/>
                <w:szCs w:val="24"/>
              </w:rPr>
              <w:t>Measures of Success</w:t>
            </w:r>
          </w:p>
        </w:tc>
      </w:tr>
      <w:tr w:rsidR="005A0265" w14:paraId="01C5A28E" w14:textId="77777777" w:rsidTr="0021319E">
        <w:tc>
          <w:tcPr>
            <w:tcW w:w="5180" w:type="dxa"/>
            <w:gridSpan w:val="2"/>
            <w:vAlign w:val="center"/>
          </w:tcPr>
          <w:p w14:paraId="3ED35227" w14:textId="6EF682DD" w:rsidR="005A0265" w:rsidRPr="00346079" w:rsidRDefault="005A0265" w:rsidP="005A0265">
            <w:pPr>
              <w:rPr>
                <w:sz w:val="24"/>
                <w:szCs w:val="24"/>
              </w:rPr>
            </w:pPr>
            <w:r>
              <w:rPr>
                <w:sz w:val="24"/>
                <w:szCs w:val="24"/>
                <w:u w:val="single"/>
              </w:rPr>
              <w:t>Increase</w:t>
            </w:r>
            <w:r>
              <w:rPr>
                <w:sz w:val="24"/>
                <w:szCs w:val="24"/>
              </w:rPr>
              <w:t xml:space="preserve"> in (1) identification/dissemination of best practices internally and externally; (2) annual progress toward or meeting NTIP objectives; and (3) using findings to inform programmatic changes</w:t>
            </w:r>
          </w:p>
        </w:tc>
        <w:tc>
          <w:tcPr>
            <w:tcW w:w="7770" w:type="dxa"/>
            <w:gridSpan w:val="3"/>
            <w:vAlign w:val="center"/>
          </w:tcPr>
          <w:p w14:paraId="5A015FD0" w14:textId="04B83FB1" w:rsidR="005A0265" w:rsidRPr="00346079" w:rsidRDefault="005A0265" w:rsidP="005A0265">
            <w:pPr>
              <w:pStyle w:val="ListParagraph"/>
              <w:numPr>
                <w:ilvl w:val="0"/>
                <w:numId w:val="40"/>
              </w:numPr>
              <w:ind w:left="376"/>
              <w:rPr>
                <w:sz w:val="24"/>
                <w:szCs w:val="24"/>
              </w:rPr>
            </w:pPr>
            <w:r>
              <w:rPr>
                <w:sz w:val="24"/>
                <w:szCs w:val="24"/>
              </w:rPr>
              <w:t>Annual increase in programmatic NTIP performance and (2) annual review and update of Tennessee TB Elimination Program Manual</w:t>
            </w:r>
          </w:p>
        </w:tc>
      </w:tr>
      <w:tr w:rsidR="005A0265" w14:paraId="35EAE682" w14:textId="77777777" w:rsidTr="00C6702C">
        <w:tc>
          <w:tcPr>
            <w:tcW w:w="2590" w:type="dxa"/>
            <w:shd w:val="clear" w:color="auto" w:fill="F2F2F2" w:themeFill="background1" w:themeFillShade="F2"/>
            <w:vAlign w:val="center"/>
          </w:tcPr>
          <w:p w14:paraId="08450E56" w14:textId="0EFE6DAE" w:rsidR="005A0265" w:rsidRPr="00C6702C" w:rsidRDefault="005A0265" w:rsidP="005A0265">
            <w:pPr>
              <w:jc w:val="center"/>
              <w:rPr>
                <w:b/>
                <w:bCs/>
                <w:sz w:val="24"/>
                <w:szCs w:val="24"/>
              </w:rPr>
            </w:pPr>
            <w:r>
              <w:rPr>
                <w:b/>
                <w:bCs/>
                <w:sz w:val="24"/>
                <w:szCs w:val="24"/>
              </w:rPr>
              <w:t>Objectives</w:t>
            </w:r>
          </w:p>
        </w:tc>
        <w:tc>
          <w:tcPr>
            <w:tcW w:w="2590" w:type="dxa"/>
            <w:shd w:val="clear" w:color="auto" w:fill="F2F2F2" w:themeFill="background1" w:themeFillShade="F2"/>
            <w:vAlign w:val="center"/>
          </w:tcPr>
          <w:p w14:paraId="5C43A0A7" w14:textId="1D0AA524" w:rsidR="005A0265" w:rsidRPr="00C6702C" w:rsidRDefault="005A0265" w:rsidP="005A0265">
            <w:pPr>
              <w:jc w:val="center"/>
              <w:rPr>
                <w:b/>
                <w:bCs/>
                <w:sz w:val="24"/>
                <w:szCs w:val="24"/>
              </w:rPr>
            </w:pPr>
            <w:r>
              <w:rPr>
                <w:b/>
                <w:bCs/>
                <w:sz w:val="24"/>
                <w:szCs w:val="24"/>
              </w:rPr>
              <w:t>Activities</w:t>
            </w:r>
          </w:p>
        </w:tc>
        <w:tc>
          <w:tcPr>
            <w:tcW w:w="2590" w:type="dxa"/>
            <w:shd w:val="clear" w:color="auto" w:fill="F2F2F2" w:themeFill="background1" w:themeFillShade="F2"/>
            <w:vAlign w:val="center"/>
          </w:tcPr>
          <w:p w14:paraId="29771557" w14:textId="05CDF3F5" w:rsidR="005A0265" w:rsidRPr="00C6702C" w:rsidRDefault="005A0265" w:rsidP="005A0265">
            <w:pPr>
              <w:jc w:val="center"/>
              <w:rPr>
                <w:b/>
                <w:bCs/>
                <w:sz w:val="24"/>
                <w:szCs w:val="24"/>
              </w:rPr>
            </w:pPr>
            <w:r>
              <w:rPr>
                <w:b/>
                <w:bCs/>
                <w:sz w:val="24"/>
                <w:szCs w:val="24"/>
              </w:rPr>
              <w:t>Timeline</w:t>
            </w:r>
          </w:p>
        </w:tc>
        <w:tc>
          <w:tcPr>
            <w:tcW w:w="2590" w:type="dxa"/>
            <w:shd w:val="clear" w:color="auto" w:fill="F2F2F2" w:themeFill="background1" w:themeFillShade="F2"/>
            <w:vAlign w:val="center"/>
          </w:tcPr>
          <w:p w14:paraId="587A68F2" w14:textId="27979A08" w:rsidR="005A0265" w:rsidRPr="00C6702C" w:rsidRDefault="005A0265" w:rsidP="005A0265">
            <w:pPr>
              <w:jc w:val="center"/>
              <w:rPr>
                <w:b/>
                <w:bCs/>
                <w:sz w:val="24"/>
                <w:szCs w:val="24"/>
              </w:rPr>
            </w:pPr>
            <w:r>
              <w:rPr>
                <w:b/>
                <w:bCs/>
                <w:sz w:val="24"/>
                <w:szCs w:val="24"/>
              </w:rPr>
              <w:t>Successes</w:t>
            </w:r>
          </w:p>
        </w:tc>
        <w:tc>
          <w:tcPr>
            <w:tcW w:w="2590" w:type="dxa"/>
            <w:shd w:val="clear" w:color="auto" w:fill="F2F2F2" w:themeFill="background1" w:themeFillShade="F2"/>
            <w:vAlign w:val="center"/>
          </w:tcPr>
          <w:p w14:paraId="6B18EA8C" w14:textId="1A966F31" w:rsidR="005A0265" w:rsidRPr="00C6702C" w:rsidRDefault="005A0265" w:rsidP="005A0265">
            <w:pPr>
              <w:jc w:val="center"/>
              <w:rPr>
                <w:b/>
                <w:bCs/>
                <w:sz w:val="24"/>
                <w:szCs w:val="24"/>
              </w:rPr>
            </w:pPr>
            <w:r>
              <w:rPr>
                <w:b/>
                <w:bCs/>
                <w:sz w:val="24"/>
                <w:szCs w:val="24"/>
              </w:rPr>
              <w:t>Barriers</w:t>
            </w:r>
          </w:p>
        </w:tc>
      </w:tr>
      <w:tr w:rsidR="005A0265" w14:paraId="6F459EFB" w14:textId="77777777" w:rsidTr="00C21B6F">
        <w:tc>
          <w:tcPr>
            <w:tcW w:w="2590" w:type="dxa"/>
            <w:vAlign w:val="center"/>
          </w:tcPr>
          <w:p w14:paraId="598C2BF2" w14:textId="7ED396F3" w:rsidR="005A0265" w:rsidRDefault="005A0265" w:rsidP="005A0265">
            <w:pPr>
              <w:rPr>
                <w:sz w:val="24"/>
                <w:szCs w:val="24"/>
              </w:rPr>
            </w:pPr>
            <w:r>
              <w:rPr>
                <w:sz w:val="24"/>
                <w:szCs w:val="24"/>
              </w:rPr>
              <w:t>Develop a program evaluation plan</w:t>
            </w:r>
          </w:p>
        </w:tc>
        <w:tc>
          <w:tcPr>
            <w:tcW w:w="2590" w:type="dxa"/>
          </w:tcPr>
          <w:p w14:paraId="717ED03B" w14:textId="7F38A1CC" w:rsidR="005A0265" w:rsidRDefault="005A0265" w:rsidP="005A0265">
            <w:pPr>
              <w:rPr>
                <w:sz w:val="24"/>
                <w:szCs w:val="24"/>
              </w:rPr>
            </w:pPr>
            <w:r>
              <w:rPr>
                <w:sz w:val="24"/>
                <w:szCs w:val="24"/>
              </w:rPr>
              <w:t>Review NTIP indicators; develop SMART objectives</w:t>
            </w:r>
          </w:p>
        </w:tc>
        <w:tc>
          <w:tcPr>
            <w:tcW w:w="2590" w:type="dxa"/>
            <w:vAlign w:val="center"/>
          </w:tcPr>
          <w:p w14:paraId="2907682A" w14:textId="77777777" w:rsidR="005A0265" w:rsidRDefault="005A0265" w:rsidP="005A0265">
            <w:pPr>
              <w:jc w:val="center"/>
              <w:rPr>
                <w:sz w:val="24"/>
                <w:szCs w:val="24"/>
              </w:rPr>
            </w:pPr>
          </w:p>
        </w:tc>
        <w:tc>
          <w:tcPr>
            <w:tcW w:w="2590" w:type="dxa"/>
          </w:tcPr>
          <w:p w14:paraId="1C33C922" w14:textId="77777777" w:rsidR="005A0265" w:rsidRDefault="005A0265" w:rsidP="005A0265">
            <w:pPr>
              <w:rPr>
                <w:sz w:val="24"/>
                <w:szCs w:val="24"/>
              </w:rPr>
            </w:pPr>
          </w:p>
        </w:tc>
        <w:tc>
          <w:tcPr>
            <w:tcW w:w="2590" w:type="dxa"/>
          </w:tcPr>
          <w:p w14:paraId="09B7E7D5" w14:textId="77777777" w:rsidR="005A0265" w:rsidRDefault="005A0265" w:rsidP="005A0265">
            <w:pPr>
              <w:rPr>
                <w:sz w:val="24"/>
                <w:szCs w:val="24"/>
              </w:rPr>
            </w:pPr>
          </w:p>
        </w:tc>
      </w:tr>
      <w:tr w:rsidR="005A0265" w14:paraId="4619537F" w14:textId="77777777" w:rsidTr="00C21B6F">
        <w:tc>
          <w:tcPr>
            <w:tcW w:w="2590" w:type="dxa"/>
            <w:vAlign w:val="center"/>
          </w:tcPr>
          <w:p w14:paraId="41421A30" w14:textId="42810F58" w:rsidR="005A0265" w:rsidRDefault="005A0265" w:rsidP="005A0265">
            <w:pPr>
              <w:rPr>
                <w:sz w:val="24"/>
                <w:szCs w:val="24"/>
              </w:rPr>
            </w:pPr>
            <w:r>
              <w:rPr>
                <w:sz w:val="24"/>
                <w:szCs w:val="24"/>
              </w:rPr>
              <w:t>Implement a program evaluation plan</w:t>
            </w:r>
          </w:p>
        </w:tc>
        <w:tc>
          <w:tcPr>
            <w:tcW w:w="2590" w:type="dxa"/>
          </w:tcPr>
          <w:p w14:paraId="1FF38DB0" w14:textId="45C96FFB" w:rsidR="005A0265" w:rsidRDefault="005A0265" w:rsidP="005A0265">
            <w:pPr>
              <w:rPr>
                <w:sz w:val="24"/>
                <w:szCs w:val="24"/>
              </w:rPr>
            </w:pPr>
            <w:r>
              <w:rPr>
                <w:sz w:val="24"/>
                <w:szCs w:val="24"/>
              </w:rPr>
              <w:t>Develop program evaluation committee; execute planned activities; monitor and report findings</w:t>
            </w:r>
          </w:p>
        </w:tc>
        <w:tc>
          <w:tcPr>
            <w:tcW w:w="2590" w:type="dxa"/>
            <w:vAlign w:val="center"/>
          </w:tcPr>
          <w:p w14:paraId="5D8F6D9B" w14:textId="77777777" w:rsidR="005A0265" w:rsidRDefault="005A0265" w:rsidP="005A0265">
            <w:pPr>
              <w:jc w:val="center"/>
              <w:rPr>
                <w:sz w:val="24"/>
                <w:szCs w:val="24"/>
              </w:rPr>
            </w:pPr>
          </w:p>
        </w:tc>
        <w:tc>
          <w:tcPr>
            <w:tcW w:w="2590" w:type="dxa"/>
          </w:tcPr>
          <w:p w14:paraId="626CB6E3" w14:textId="77777777" w:rsidR="005A0265" w:rsidRDefault="005A0265" w:rsidP="005A0265">
            <w:pPr>
              <w:rPr>
                <w:sz w:val="24"/>
                <w:szCs w:val="24"/>
              </w:rPr>
            </w:pPr>
          </w:p>
        </w:tc>
        <w:tc>
          <w:tcPr>
            <w:tcW w:w="2590" w:type="dxa"/>
          </w:tcPr>
          <w:p w14:paraId="7FB10BA9" w14:textId="77777777" w:rsidR="005A0265" w:rsidRDefault="005A0265" w:rsidP="005A0265">
            <w:pPr>
              <w:rPr>
                <w:sz w:val="24"/>
                <w:szCs w:val="24"/>
              </w:rPr>
            </w:pPr>
          </w:p>
        </w:tc>
      </w:tr>
      <w:tr w:rsidR="005A0265" w14:paraId="673C02FE" w14:textId="77777777" w:rsidTr="00C21B6F">
        <w:tc>
          <w:tcPr>
            <w:tcW w:w="2590" w:type="dxa"/>
            <w:vAlign w:val="center"/>
          </w:tcPr>
          <w:p w14:paraId="1AA8E7E7" w14:textId="442A5295" w:rsidR="005A0265" w:rsidRDefault="005A0265" w:rsidP="005A0265">
            <w:pPr>
              <w:rPr>
                <w:sz w:val="24"/>
                <w:szCs w:val="24"/>
              </w:rPr>
            </w:pPr>
            <w:r>
              <w:rPr>
                <w:sz w:val="24"/>
                <w:szCs w:val="24"/>
              </w:rPr>
              <w:t>Develop strategies to implement activities to address finding of program evaluation plan</w:t>
            </w:r>
          </w:p>
        </w:tc>
        <w:tc>
          <w:tcPr>
            <w:tcW w:w="2590" w:type="dxa"/>
          </w:tcPr>
          <w:p w14:paraId="5CD55C29" w14:textId="699E0D9E" w:rsidR="005A0265" w:rsidRDefault="005A0265" w:rsidP="005A0265">
            <w:pPr>
              <w:rPr>
                <w:sz w:val="24"/>
                <w:szCs w:val="24"/>
              </w:rPr>
            </w:pPr>
            <w:r>
              <w:rPr>
                <w:sz w:val="24"/>
                <w:szCs w:val="24"/>
              </w:rPr>
              <w:t>Solicit input from regional TB programs; review program evaluation plan; update plan as needed</w:t>
            </w:r>
          </w:p>
        </w:tc>
        <w:tc>
          <w:tcPr>
            <w:tcW w:w="2590" w:type="dxa"/>
            <w:vAlign w:val="center"/>
          </w:tcPr>
          <w:p w14:paraId="003D8989" w14:textId="77777777" w:rsidR="005A0265" w:rsidRDefault="005A0265" w:rsidP="005A0265">
            <w:pPr>
              <w:jc w:val="center"/>
              <w:rPr>
                <w:sz w:val="24"/>
                <w:szCs w:val="24"/>
              </w:rPr>
            </w:pPr>
          </w:p>
        </w:tc>
        <w:tc>
          <w:tcPr>
            <w:tcW w:w="2590" w:type="dxa"/>
          </w:tcPr>
          <w:p w14:paraId="53D1EAD1" w14:textId="77777777" w:rsidR="005A0265" w:rsidRDefault="005A0265" w:rsidP="005A0265">
            <w:pPr>
              <w:rPr>
                <w:sz w:val="24"/>
                <w:szCs w:val="24"/>
              </w:rPr>
            </w:pPr>
          </w:p>
        </w:tc>
        <w:tc>
          <w:tcPr>
            <w:tcW w:w="2590" w:type="dxa"/>
          </w:tcPr>
          <w:p w14:paraId="372A278C" w14:textId="77777777" w:rsidR="005A0265" w:rsidRDefault="005A0265" w:rsidP="005A0265">
            <w:pPr>
              <w:rPr>
                <w:sz w:val="24"/>
                <w:szCs w:val="24"/>
              </w:rPr>
            </w:pPr>
          </w:p>
        </w:tc>
      </w:tr>
      <w:tr w:rsidR="005A0265" w14:paraId="14655FBE" w14:textId="77777777" w:rsidTr="0021319E">
        <w:tc>
          <w:tcPr>
            <w:tcW w:w="12950" w:type="dxa"/>
            <w:gridSpan w:val="5"/>
            <w:shd w:val="clear" w:color="auto" w:fill="D9D9D9" w:themeFill="background1" w:themeFillShade="D9"/>
            <w:vAlign w:val="center"/>
          </w:tcPr>
          <w:p w14:paraId="2DBBB040" w14:textId="0E9D5BE5" w:rsidR="005A0265" w:rsidRPr="0021319E" w:rsidRDefault="005A0265" w:rsidP="005A0265">
            <w:pPr>
              <w:rPr>
                <w:b/>
                <w:bCs/>
                <w:sz w:val="24"/>
                <w:szCs w:val="24"/>
              </w:rPr>
            </w:pPr>
            <w:r>
              <w:rPr>
                <w:b/>
                <w:bCs/>
                <w:sz w:val="24"/>
                <w:szCs w:val="24"/>
              </w:rPr>
              <w:t>Strategy 4: Epidemiologic Surveillance and Response</w:t>
            </w:r>
          </w:p>
        </w:tc>
      </w:tr>
      <w:tr w:rsidR="005A0265" w14:paraId="4D4FC055" w14:textId="77777777" w:rsidTr="0021319E">
        <w:tc>
          <w:tcPr>
            <w:tcW w:w="5180" w:type="dxa"/>
            <w:gridSpan w:val="2"/>
            <w:shd w:val="clear" w:color="auto" w:fill="F2F2F2" w:themeFill="background1" w:themeFillShade="F2"/>
            <w:vAlign w:val="center"/>
          </w:tcPr>
          <w:p w14:paraId="429D14C0" w14:textId="1DBFD6E6" w:rsidR="005A0265" w:rsidRPr="0021319E" w:rsidRDefault="005A0265" w:rsidP="005A0265">
            <w:pPr>
              <w:jc w:val="center"/>
              <w:rPr>
                <w:b/>
                <w:bCs/>
                <w:sz w:val="24"/>
                <w:szCs w:val="24"/>
              </w:rPr>
            </w:pPr>
            <w:r>
              <w:rPr>
                <w:b/>
                <w:bCs/>
                <w:sz w:val="24"/>
                <w:szCs w:val="24"/>
              </w:rPr>
              <w:t>Related Outcomes</w:t>
            </w:r>
          </w:p>
        </w:tc>
        <w:tc>
          <w:tcPr>
            <w:tcW w:w="7770" w:type="dxa"/>
            <w:gridSpan w:val="3"/>
            <w:shd w:val="clear" w:color="auto" w:fill="F2F2F2" w:themeFill="background1" w:themeFillShade="F2"/>
            <w:vAlign w:val="center"/>
          </w:tcPr>
          <w:p w14:paraId="4DB9005D" w14:textId="54D0C5FD" w:rsidR="005A0265" w:rsidRPr="0021319E" w:rsidRDefault="005A0265" w:rsidP="005A0265">
            <w:pPr>
              <w:jc w:val="center"/>
              <w:rPr>
                <w:b/>
                <w:bCs/>
                <w:sz w:val="24"/>
                <w:szCs w:val="24"/>
              </w:rPr>
            </w:pPr>
            <w:r>
              <w:rPr>
                <w:b/>
                <w:bCs/>
                <w:sz w:val="24"/>
                <w:szCs w:val="24"/>
              </w:rPr>
              <w:t>Measures of Success</w:t>
            </w:r>
          </w:p>
        </w:tc>
      </w:tr>
      <w:tr w:rsidR="005A0265" w14:paraId="0FEE7FCF" w14:textId="77777777" w:rsidTr="0021319E">
        <w:tc>
          <w:tcPr>
            <w:tcW w:w="5180" w:type="dxa"/>
            <w:gridSpan w:val="2"/>
            <w:vAlign w:val="center"/>
          </w:tcPr>
          <w:p w14:paraId="68E0C0B3" w14:textId="55997CBB" w:rsidR="005A0265" w:rsidRPr="00A22951" w:rsidRDefault="005A0265" w:rsidP="005A0265">
            <w:pPr>
              <w:spacing w:before="240"/>
              <w:rPr>
                <w:sz w:val="24"/>
                <w:szCs w:val="24"/>
              </w:rPr>
            </w:pPr>
            <w:r>
              <w:rPr>
                <w:sz w:val="24"/>
                <w:szCs w:val="24"/>
              </w:rPr>
              <w:t xml:space="preserve">Implementation of the 2020 RVCT </w:t>
            </w:r>
            <w:r>
              <w:rPr>
                <w:b/>
                <w:bCs/>
                <w:sz w:val="24"/>
                <w:szCs w:val="24"/>
              </w:rPr>
              <w:t>(new)</w:t>
            </w:r>
            <w:r>
              <w:rPr>
                <w:sz w:val="24"/>
                <w:szCs w:val="24"/>
              </w:rPr>
              <w:t xml:space="preserve">; </w:t>
            </w:r>
            <w:r>
              <w:rPr>
                <w:sz w:val="24"/>
                <w:szCs w:val="24"/>
                <w:u w:val="single"/>
              </w:rPr>
              <w:t>increase</w:t>
            </w:r>
            <w:r>
              <w:rPr>
                <w:sz w:val="24"/>
                <w:szCs w:val="24"/>
              </w:rPr>
              <w:t xml:space="preserve"> in: (1) accuracy and completeness of surveillance, genotyping, and WGS data; (2) linkage of genotyping and surveillance data; (3) availability  </w:t>
            </w:r>
          </w:p>
        </w:tc>
        <w:tc>
          <w:tcPr>
            <w:tcW w:w="7770" w:type="dxa"/>
            <w:gridSpan w:val="3"/>
            <w:vAlign w:val="center"/>
          </w:tcPr>
          <w:p w14:paraId="5B957676" w14:textId="77777777" w:rsidR="005A0265" w:rsidRDefault="005A0265" w:rsidP="005A0265">
            <w:pPr>
              <w:rPr>
                <w:sz w:val="24"/>
                <w:szCs w:val="24"/>
              </w:rPr>
            </w:pPr>
          </w:p>
        </w:tc>
      </w:tr>
      <w:tr w:rsidR="005A0265" w14:paraId="25EEF3CC" w14:textId="77777777" w:rsidTr="0021319E">
        <w:tc>
          <w:tcPr>
            <w:tcW w:w="2590" w:type="dxa"/>
            <w:shd w:val="clear" w:color="auto" w:fill="F2F2F2" w:themeFill="background1" w:themeFillShade="F2"/>
            <w:vAlign w:val="center"/>
          </w:tcPr>
          <w:p w14:paraId="15BE93AB" w14:textId="1D81526C" w:rsidR="005A0265" w:rsidRPr="0021319E" w:rsidRDefault="005A0265" w:rsidP="005A0265">
            <w:pPr>
              <w:jc w:val="center"/>
              <w:rPr>
                <w:b/>
                <w:bCs/>
                <w:sz w:val="24"/>
                <w:szCs w:val="24"/>
              </w:rPr>
            </w:pPr>
            <w:r>
              <w:rPr>
                <w:b/>
                <w:bCs/>
                <w:sz w:val="24"/>
                <w:szCs w:val="24"/>
              </w:rPr>
              <w:t>Objectives</w:t>
            </w:r>
          </w:p>
        </w:tc>
        <w:tc>
          <w:tcPr>
            <w:tcW w:w="2590" w:type="dxa"/>
            <w:shd w:val="clear" w:color="auto" w:fill="F2F2F2" w:themeFill="background1" w:themeFillShade="F2"/>
          </w:tcPr>
          <w:p w14:paraId="4B33BE7E" w14:textId="76657004" w:rsidR="005A0265" w:rsidRPr="0021319E" w:rsidRDefault="005A0265" w:rsidP="005A0265">
            <w:pPr>
              <w:jc w:val="center"/>
              <w:rPr>
                <w:b/>
                <w:bCs/>
                <w:sz w:val="24"/>
                <w:szCs w:val="24"/>
              </w:rPr>
            </w:pPr>
            <w:r>
              <w:rPr>
                <w:b/>
                <w:bCs/>
                <w:sz w:val="24"/>
                <w:szCs w:val="24"/>
              </w:rPr>
              <w:t>Activities</w:t>
            </w:r>
          </w:p>
        </w:tc>
        <w:tc>
          <w:tcPr>
            <w:tcW w:w="2590" w:type="dxa"/>
            <w:shd w:val="clear" w:color="auto" w:fill="F2F2F2" w:themeFill="background1" w:themeFillShade="F2"/>
            <w:vAlign w:val="center"/>
          </w:tcPr>
          <w:p w14:paraId="1B1FCA88" w14:textId="6992CC85" w:rsidR="005A0265" w:rsidRPr="0021319E" w:rsidRDefault="005A0265" w:rsidP="005A0265">
            <w:pPr>
              <w:jc w:val="center"/>
              <w:rPr>
                <w:b/>
                <w:bCs/>
                <w:sz w:val="24"/>
                <w:szCs w:val="24"/>
              </w:rPr>
            </w:pPr>
            <w:r>
              <w:rPr>
                <w:b/>
                <w:bCs/>
                <w:sz w:val="24"/>
                <w:szCs w:val="24"/>
              </w:rPr>
              <w:t>Timeline</w:t>
            </w:r>
          </w:p>
        </w:tc>
        <w:tc>
          <w:tcPr>
            <w:tcW w:w="2590" w:type="dxa"/>
            <w:shd w:val="clear" w:color="auto" w:fill="F2F2F2" w:themeFill="background1" w:themeFillShade="F2"/>
          </w:tcPr>
          <w:p w14:paraId="2DA98652" w14:textId="1DE277BB" w:rsidR="005A0265" w:rsidRPr="0021319E" w:rsidRDefault="005A0265" w:rsidP="005A0265">
            <w:pPr>
              <w:jc w:val="center"/>
              <w:rPr>
                <w:b/>
                <w:bCs/>
                <w:sz w:val="24"/>
                <w:szCs w:val="24"/>
              </w:rPr>
            </w:pPr>
            <w:r>
              <w:rPr>
                <w:b/>
                <w:bCs/>
                <w:sz w:val="24"/>
                <w:szCs w:val="24"/>
              </w:rPr>
              <w:t>Successes</w:t>
            </w:r>
          </w:p>
        </w:tc>
        <w:tc>
          <w:tcPr>
            <w:tcW w:w="2590" w:type="dxa"/>
            <w:shd w:val="clear" w:color="auto" w:fill="F2F2F2" w:themeFill="background1" w:themeFillShade="F2"/>
          </w:tcPr>
          <w:p w14:paraId="5B92B322" w14:textId="43CEF91E" w:rsidR="005A0265" w:rsidRPr="0021319E" w:rsidRDefault="005A0265" w:rsidP="005A0265">
            <w:pPr>
              <w:jc w:val="center"/>
              <w:rPr>
                <w:b/>
                <w:bCs/>
                <w:sz w:val="24"/>
                <w:szCs w:val="24"/>
              </w:rPr>
            </w:pPr>
            <w:r>
              <w:rPr>
                <w:b/>
                <w:bCs/>
                <w:sz w:val="24"/>
                <w:szCs w:val="24"/>
              </w:rPr>
              <w:t>Barriers</w:t>
            </w:r>
          </w:p>
        </w:tc>
      </w:tr>
      <w:tr w:rsidR="005A0265" w14:paraId="7D9EB33C" w14:textId="77777777" w:rsidTr="00C21B6F">
        <w:tc>
          <w:tcPr>
            <w:tcW w:w="2590" w:type="dxa"/>
            <w:vAlign w:val="center"/>
          </w:tcPr>
          <w:p w14:paraId="6F4022E8" w14:textId="14BCCB3E" w:rsidR="005A0265" w:rsidRPr="000E77FA" w:rsidRDefault="005A0265" w:rsidP="005A0265">
            <w:pPr>
              <w:rPr>
                <w:b/>
                <w:bCs/>
                <w:sz w:val="24"/>
                <w:szCs w:val="24"/>
              </w:rPr>
            </w:pPr>
            <w:r>
              <w:rPr>
                <w:sz w:val="24"/>
                <w:szCs w:val="24"/>
              </w:rPr>
              <w:t xml:space="preserve">Implement the 2020 RVCT </w:t>
            </w:r>
            <w:r>
              <w:rPr>
                <w:b/>
                <w:bCs/>
                <w:sz w:val="24"/>
                <w:szCs w:val="24"/>
              </w:rPr>
              <w:t>(new)</w:t>
            </w:r>
          </w:p>
        </w:tc>
        <w:tc>
          <w:tcPr>
            <w:tcW w:w="2590" w:type="dxa"/>
          </w:tcPr>
          <w:p w14:paraId="0A881B0A" w14:textId="27118853" w:rsidR="005A0265" w:rsidRDefault="005A0265" w:rsidP="005A0265">
            <w:pPr>
              <w:rPr>
                <w:sz w:val="24"/>
                <w:szCs w:val="24"/>
              </w:rPr>
            </w:pPr>
            <w:r>
              <w:rPr>
                <w:sz w:val="24"/>
                <w:szCs w:val="24"/>
              </w:rPr>
              <w:t>Work with Surveillance Systems and Informatic Program (SSIP) to ensure implementation of the 2020 RVCT page into the NEDSS-based system</w:t>
            </w:r>
          </w:p>
        </w:tc>
        <w:tc>
          <w:tcPr>
            <w:tcW w:w="2590" w:type="dxa"/>
            <w:vAlign w:val="center"/>
          </w:tcPr>
          <w:p w14:paraId="228212BF" w14:textId="0E035491" w:rsidR="005A0265" w:rsidRDefault="005A0265" w:rsidP="005A0265">
            <w:pPr>
              <w:jc w:val="center"/>
              <w:rPr>
                <w:sz w:val="24"/>
                <w:szCs w:val="24"/>
              </w:rPr>
            </w:pPr>
            <w:r>
              <w:rPr>
                <w:sz w:val="24"/>
                <w:szCs w:val="24"/>
              </w:rPr>
              <w:t>December 31, 2022</w:t>
            </w:r>
          </w:p>
        </w:tc>
        <w:tc>
          <w:tcPr>
            <w:tcW w:w="2590" w:type="dxa"/>
          </w:tcPr>
          <w:p w14:paraId="7315E121" w14:textId="77777777" w:rsidR="005A0265" w:rsidRDefault="005A0265" w:rsidP="005A0265">
            <w:pPr>
              <w:rPr>
                <w:sz w:val="24"/>
                <w:szCs w:val="24"/>
              </w:rPr>
            </w:pPr>
          </w:p>
        </w:tc>
        <w:tc>
          <w:tcPr>
            <w:tcW w:w="2590" w:type="dxa"/>
          </w:tcPr>
          <w:p w14:paraId="296AB496" w14:textId="77777777" w:rsidR="005A0265" w:rsidRDefault="005A0265" w:rsidP="005A0265">
            <w:pPr>
              <w:rPr>
                <w:sz w:val="24"/>
                <w:szCs w:val="24"/>
              </w:rPr>
            </w:pPr>
          </w:p>
        </w:tc>
      </w:tr>
      <w:tr w:rsidR="005A0265" w14:paraId="76C3141E" w14:textId="77777777" w:rsidTr="00C21B6F">
        <w:tc>
          <w:tcPr>
            <w:tcW w:w="2590" w:type="dxa"/>
            <w:vAlign w:val="center"/>
          </w:tcPr>
          <w:p w14:paraId="4F636CBD" w14:textId="093EADC7" w:rsidR="005A0265" w:rsidRPr="000E77FA" w:rsidRDefault="005A0265" w:rsidP="005A0265">
            <w:pPr>
              <w:rPr>
                <w:b/>
                <w:bCs/>
                <w:sz w:val="24"/>
                <w:szCs w:val="24"/>
              </w:rPr>
            </w:pPr>
            <w:r>
              <w:rPr>
                <w:sz w:val="24"/>
                <w:szCs w:val="24"/>
              </w:rPr>
              <w:t xml:space="preserve">Provide education and training for regional TB program staff on 2020 RVCT </w:t>
            </w:r>
            <w:r>
              <w:rPr>
                <w:b/>
                <w:bCs/>
                <w:sz w:val="24"/>
                <w:szCs w:val="24"/>
              </w:rPr>
              <w:t>(new)</w:t>
            </w:r>
          </w:p>
        </w:tc>
        <w:tc>
          <w:tcPr>
            <w:tcW w:w="2590" w:type="dxa"/>
          </w:tcPr>
          <w:p w14:paraId="344F7AEF" w14:textId="4E73A3A0" w:rsidR="005A0265" w:rsidRDefault="005A0265" w:rsidP="005A0265">
            <w:pPr>
              <w:rPr>
                <w:sz w:val="24"/>
                <w:szCs w:val="24"/>
              </w:rPr>
            </w:pPr>
            <w:r>
              <w:rPr>
                <w:sz w:val="24"/>
                <w:szCs w:val="24"/>
              </w:rPr>
              <w:t>Develop education and training material; ensure use of plain language</w:t>
            </w:r>
          </w:p>
        </w:tc>
        <w:tc>
          <w:tcPr>
            <w:tcW w:w="2590" w:type="dxa"/>
            <w:vAlign w:val="center"/>
          </w:tcPr>
          <w:p w14:paraId="682BE85B" w14:textId="06A91F07" w:rsidR="005A0265" w:rsidRDefault="005A0265" w:rsidP="005A0265">
            <w:pPr>
              <w:jc w:val="center"/>
              <w:rPr>
                <w:sz w:val="24"/>
                <w:szCs w:val="24"/>
              </w:rPr>
            </w:pPr>
            <w:r>
              <w:rPr>
                <w:sz w:val="24"/>
                <w:szCs w:val="24"/>
              </w:rPr>
              <w:t>December 31, 2022</w:t>
            </w:r>
          </w:p>
        </w:tc>
        <w:tc>
          <w:tcPr>
            <w:tcW w:w="2590" w:type="dxa"/>
          </w:tcPr>
          <w:p w14:paraId="777DDA79" w14:textId="091BB90F" w:rsidR="005A0265" w:rsidRDefault="005A0265" w:rsidP="005A0265">
            <w:pPr>
              <w:rPr>
                <w:sz w:val="24"/>
                <w:szCs w:val="24"/>
              </w:rPr>
            </w:pPr>
            <w:r>
              <w:rPr>
                <w:sz w:val="24"/>
                <w:szCs w:val="24"/>
              </w:rPr>
              <w:t>Training material developed</w:t>
            </w:r>
          </w:p>
        </w:tc>
        <w:tc>
          <w:tcPr>
            <w:tcW w:w="2590" w:type="dxa"/>
          </w:tcPr>
          <w:p w14:paraId="323357FB" w14:textId="77777777" w:rsidR="005A0265" w:rsidRDefault="005A0265" w:rsidP="005A0265">
            <w:pPr>
              <w:rPr>
                <w:sz w:val="24"/>
                <w:szCs w:val="24"/>
              </w:rPr>
            </w:pPr>
          </w:p>
        </w:tc>
      </w:tr>
      <w:tr w:rsidR="005A0265" w14:paraId="617C6152" w14:textId="77777777" w:rsidTr="00C21B6F">
        <w:tc>
          <w:tcPr>
            <w:tcW w:w="2590" w:type="dxa"/>
            <w:vAlign w:val="center"/>
          </w:tcPr>
          <w:p w14:paraId="618E15D6" w14:textId="69F0A25C" w:rsidR="005A0265" w:rsidRDefault="005A0265" w:rsidP="005A0265">
            <w:pPr>
              <w:rPr>
                <w:sz w:val="24"/>
                <w:szCs w:val="24"/>
              </w:rPr>
            </w:pPr>
            <w:r>
              <w:rPr>
                <w:sz w:val="24"/>
                <w:szCs w:val="24"/>
              </w:rPr>
              <w:t>Ensure  the completeness of each core RVCT data item reported to CDC</w:t>
            </w:r>
          </w:p>
        </w:tc>
        <w:tc>
          <w:tcPr>
            <w:tcW w:w="2590" w:type="dxa"/>
          </w:tcPr>
          <w:p w14:paraId="22E897BF" w14:textId="4AAAB578" w:rsidR="005A0265" w:rsidRDefault="005A0265" w:rsidP="005A0265">
            <w:pPr>
              <w:rPr>
                <w:sz w:val="24"/>
                <w:szCs w:val="24"/>
              </w:rPr>
            </w:pPr>
            <w:r>
              <w:rPr>
                <w:sz w:val="24"/>
                <w:szCs w:val="24"/>
              </w:rPr>
              <w:t>Provide quality assurance (QA) on TB case data prior to submission to CDC</w:t>
            </w:r>
          </w:p>
        </w:tc>
        <w:tc>
          <w:tcPr>
            <w:tcW w:w="2590" w:type="dxa"/>
            <w:vAlign w:val="center"/>
          </w:tcPr>
          <w:p w14:paraId="50124E88" w14:textId="13C847BD" w:rsidR="005A0265" w:rsidRDefault="005A0265" w:rsidP="005A0265">
            <w:pPr>
              <w:jc w:val="center"/>
              <w:rPr>
                <w:sz w:val="24"/>
                <w:szCs w:val="24"/>
              </w:rPr>
            </w:pPr>
            <w:r>
              <w:rPr>
                <w:sz w:val="24"/>
                <w:szCs w:val="24"/>
              </w:rPr>
              <w:t>100% by 2025</w:t>
            </w:r>
          </w:p>
        </w:tc>
        <w:tc>
          <w:tcPr>
            <w:tcW w:w="2590" w:type="dxa"/>
          </w:tcPr>
          <w:p w14:paraId="695B9092" w14:textId="77777777" w:rsidR="005A0265" w:rsidRDefault="005A0265" w:rsidP="005A0265">
            <w:pPr>
              <w:rPr>
                <w:sz w:val="24"/>
                <w:szCs w:val="24"/>
              </w:rPr>
            </w:pPr>
          </w:p>
        </w:tc>
        <w:tc>
          <w:tcPr>
            <w:tcW w:w="2590" w:type="dxa"/>
          </w:tcPr>
          <w:p w14:paraId="78C610B8" w14:textId="77777777" w:rsidR="005A0265" w:rsidRDefault="005A0265" w:rsidP="005A0265">
            <w:pPr>
              <w:rPr>
                <w:sz w:val="24"/>
                <w:szCs w:val="24"/>
              </w:rPr>
            </w:pPr>
          </w:p>
        </w:tc>
      </w:tr>
      <w:tr w:rsidR="005A0265" w14:paraId="7C4ED40A" w14:textId="77777777" w:rsidTr="00C21B6F">
        <w:tc>
          <w:tcPr>
            <w:tcW w:w="2590" w:type="dxa"/>
            <w:vAlign w:val="center"/>
          </w:tcPr>
          <w:p w14:paraId="7CC647AA" w14:textId="730FE4C8" w:rsidR="005A0265" w:rsidRDefault="005A0265" w:rsidP="005A0265">
            <w:pPr>
              <w:rPr>
                <w:sz w:val="24"/>
                <w:szCs w:val="24"/>
              </w:rPr>
            </w:pPr>
            <w:r>
              <w:rPr>
                <w:sz w:val="24"/>
                <w:szCs w:val="24"/>
              </w:rPr>
              <w:t>Ensure the completeness of each core ARPE data items reported to CDC</w:t>
            </w:r>
          </w:p>
        </w:tc>
        <w:tc>
          <w:tcPr>
            <w:tcW w:w="2590" w:type="dxa"/>
          </w:tcPr>
          <w:p w14:paraId="5DB82F4E" w14:textId="5E64FC9B" w:rsidR="005A0265" w:rsidRDefault="005A0265" w:rsidP="005A0265">
            <w:pPr>
              <w:rPr>
                <w:sz w:val="24"/>
                <w:szCs w:val="24"/>
              </w:rPr>
            </w:pPr>
            <w:r>
              <w:rPr>
                <w:sz w:val="24"/>
                <w:szCs w:val="24"/>
              </w:rPr>
              <w:t>Review contact investigation data; provide quality assurance on ARPE data</w:t>
            </w:r>
          </w:p>
        </w:tc>
        <w:tc>
          <w:tcPr>
            <w:tcW w:w="2590" w:type="dxa"/>
            <w:vAlign w:val="center"/>
          </w:tcPr>
          <w:p w14:paraId="7DFBA890" w14:textId="54996E34" w:rsidR="005A0265" w:rsidRDefault="005A0265" w:rsidP="005A0265">
            <w:pPr>
              <w:jc w:val="center"/>
              <w:rPr>
                <w:sz w:val="24"/>
                <w:szCs w:val="24"/>
              </w:rPr>
            </w:pPr>
            <w:r>
              <w:rPr>
                <w:sz w:val="24"/>
                <w:szCs w:val="24"/>
              </w:rPr>
              <w:t>100% by 2025</w:t>
            </w:r>
          </w:p>
        </w:tc>
        <w:tc>
          <w:tcPr>
            <w:tcW w:w="2590" w:type="dxa"/>
          </w:tcPr>
          <w:p w14:paraId="3A7E855D" w14:textId="77777777" w:rsidR="005A0265" w:rsidRDefault="005A0265" w:rsidP="005A0265">
            <w:pPr>
              <w:rPr>
                <w:sz w:val="24"/>
                <w:szCs w:val="24"/>
              </w:rPr>
            </w:pPr>
          </w:p>
        </w:tc>
        <w:tc>
          <w:tcPr>
            <w:tcW w:w="2590" w:type="dxa"/>
          </w:tcPr>
          <w:p w14:paraId="22CF0DBD" w14:textId="77777777" w:rsidR="005A0265" w:rsidRDefault="005A0265" w:rsidP="005A0265">
            <w:pPr>
              <w:rPr>
                <w:sz w:val="24"/>
                <w:szCs w:val="24"/>
              </w:rPr>
            </w:pPr>
          </w:p>
        </w:tc>
      </w:tr>
      <w:tr w:rsidR="005A0265" w14:paraId="4E46AAB5" w14:textId="77777777" w:rsidTr="00C21B6F">
        <w:tc>
          <w:tcPr>
            <w:tcW w:w="2590" w:type="dxa"/>
            <w:vAlign w:val="center"/>
          </w:tcPr>
          <w:p w14:paraId="21337342" w14:textId="7A27868D" w:rsidR="005A0265" w:rsidRDefault="005A0265" w:rsidP="005A0265">
            <w:pPr>
              <w:rPr>
                <w:sz w:val="24"/>
                <w:szCs w:val="24"/>
              </w:rPr>
            </w:pPr>
            <w:r>
              <w:rPr>
                <w:sz w:val="24"/>
                <w:szCs w:val="24"/>
              </w:rPr>
              <w:t>Ensure the completeness of each core TB Follow-Up Worksheet data item reported to CDC via the EDN system</w:t>
            </w:r>
          </w:p>
        </w:tc>
        <w:tc>
          <w:tcPr>
            <w:tcW w:w="2590" w:type="dxa"/>
          </w:tcPr>
          <w:p w14:paraId="4DD97202" w14:textId="5D5A479B" w:rsidR="005A0265" w:rsidRDefault="005A0265" w:rsidP="005A0265">
            <w:pPr>
              <w:rPr>
                <w:sz w:val="24"/>
                <w:szCs w:val="24"/>
              </w:rPr>
            </w:pPr>
            <w:r>
              <w:rPr>
                <w:sz w:val="24"/>
                <w:szCs w:val="24"/>
              </w:rPr>
              <w:t>Maintain state EDN database; review EDN data and provide quality assurance prior to final submission in EDN system</w:t>
            </w:r>
          </w:p>
        </w:tc>
        <w:tc>
          <w:tcPr>
            <w:tcW w:w="2590" w:type="dxa"/>
            <w:vAlign w:val="center"/>
          </w:tcPr>
          <w:p w14:paraId="29F7980F" w14:textId="61F0DA2D" w:rsidR="005A0265" w:rsidRDefault="005A0265" w:rsidP="005A0265">
            <w:pPr>
              <w:jc w:val="center"/>
              <w:rPr>
                <w:sz w:val="24"/>
                <w:szCs w:val="24"/>
              </w:rPr>
            </w:pPr>
            <w:r>
              <w:rPr>
                <w:sz w:val="24"/>
                <w:szCs w:val="24"/>
              </w:rPr>
              <w:t>93% by 2025</w:t>
            </w:r>
          </w:p>
        </w:tc>
        <w:tc>
          <w:tcPr>
            <w:tcW w:w="2590" w:type="dxa"/>
          </w:tcPr>
          <w:p w14:paraId="1A914F6B" w14:textId="77777777" w:rsidR="005A0265" w:rsidRDefault="005A0265" w:rsidP="005A0265">
            <w:pPr>
              <w:rPr>
                <w:sz w:val="24"/>
                <w:szCs w:val="24"/>
              </w:rPr>
            </w:pPr>
          </w:p>
        </w:tc>
        <w:tc>
          <w:tcPr>
            <w:tcW w:w="2590" w:type="dxa"/>
          </w:tcPr>
          <w:p w14:paraId="53A078C9" w14:textId="77777777" w:rsidR="005A0265" w:rsidRDefault="005A0265" w:rsidP="005A0265">
            <w:pPr>
              <w:rPr>
                <w:sz w:val="24"/>
                <w:szCs w:val="24"/>
              </w:rPr>
            </w:pPr>
          </w:p>
        </w:tc>
      </w:tr>
      <w:tr w:rsidR="005A0265" w14:paraId="44EE8EA6" w14:textId="77777777" w:rsidTr="00C21B6F">
        <w:tc>
          <w:tcPr>
            <w:tcW w:w="2590" w:type="dxa"/>
            <w:vAlign w:val="center"/>
          </w:tcPr>
          <w:p w14:paraId="5C2E5F8B" w14:textId="780A091C" w:rsidR="005A0265" w:rsidRDefault="005A0265" w:rsidP="005A0265">
            <w:pPr>
              <w:rPr>
                <w:sz w:val="24"/>
                <w:szCs w:val="24"/>
              </w:rPr>
            </w:pPr>
            <w:r>
              <w:rPr>
                <w:sz w:val="24"/>
                <w:szCs w:val="24"/>
              </w:rPr>
              <w:t>Report PCRType, GENType, and WGS results and genotype matches to regional TB programs</w:t>
            </w:r>
          </w:p>
        </w:tc>
        <w:tc>
          <w:tcPr>
            <w:tcW w:w="2590" w:type="dxa"/>
          </w:tcPr>
          <w:p w14:paraId="7A144291" w14:textId="3DB81D25" w:rsidR="005A0265" w:rsidRDefault="005A0265" w:rsidP="005A0265">
            <w:pPr>
              <w:rPr>
                <w:sz w:val="24"/>
                <w:szCs w:val="24"/>
              </w:rPr>
            </w:pPr>
            <w:r>
              <w:rPr>
                <w:sz w:val="24"/>
                <w:szCs w:val="24"/>
              </w:rPr>
              <w:t>Provide genotype data and cluster snapshot data to regional TB programs for each genotyped case</w:t>
            </w:r>
          </w:p>
        </w:tc>
        <w:tc>
          <w:tcPr>
            <w:tcW w:w="2590" w:type="dxa"/>
            <w:vAlign w:val="center"/>
          </w:tcPr>
          <w:p w14:paraId="764AA42B" w14:textId="77777777" w:rsidR="005A0265" w:rsidRDefault="005A0265" w:rsidP="005A0265">
            <w:pPr>
              <w:jc w:val="center"/>
              <w:rPr>
                <w:sz w:val="24"/>
                <w:szCs w:val="24"/>
              </w:rPr>
            </w:pPr>
          </w:p>
        </w:tc>
        <w:tc>
          <w:tcPr>
            <w:tcW w:w="2590" w:type="dxa"/>
          </w:tcPr>
          <w:p w14:paraId="2888EA40" w14:textId="77777777" w:rsidR="005A0265" w:rsidRDefault="005A0265" w:rsidP="005A0265">
            <w:pPr>
              <w:rPr>
                <w:sz w:val="24"/>
                <w:szCs w:val="24"/>
              </w:rPr>
            </w:pPr>
          </w:p>
        </w:tc>
        <w:tc>
          <w:tcPr>
            <w:tcW w:w="2590" w:type="dxa"/>
          </w:tcPr>
          <w:p w14:paraId="278F70FE" w14:textId="77777777" w:rsidR="005A0265" w:rsidRDefault="005A0265" w:rsidP="005A0265">
            <w:pPr>
              <w:rPr>
                <w:sz w:val="24"/>
                <w:szCs w:val="24"/>
              </w:rPr>
            </w:pPr>
          </w:p>
        </w:tc>
      </w:tr>
      <w:tr w:rsidR="005A0265" w14:paraId="183750A5" w14:textId="77777777" w:rsidTr="00C21B6F">
        <w:tc>
          <w:tcPr>
            <w:tcW w:w="2590" w:type="dxa"/>
            <w:vAlign w:val="center"/>
          </w:tcPr>
          <w:p w14:paraId="61F7A8A6" w14:textId="41299729" w:rsidR="005A0265" w:rsidRDefault="005A0265" w:rsidP="005A0265">
            <w:pPr>
              <w:rPr>
                <w:sz w:val="24"/>
                <w:szCs w:val="24"/>
              </w:rPr>
            </w:pPr>
            <w:r>
              <w:rPr>
                <w:sz w:val="24"/>
                <w:szCs w:val="24"/>
              </w:rPr>
              <w:t>Transmit TB infection (TBI) data to CDC</w:t>
            </w:r>
          </w:p>
        </w:tc>
        <w:tc>
          <w:tcPr>
            <w:tcW w:w="2590" w:type="dxa"/>
          </w:tcPr>
          <w:p w14:paraId="750DC284" w14:textId="3750126A" w:rsidR="005A0265" w:rsidRDefault="005A0265" w:rsidP="005A0265">
            <w:pPr>
              <w:rPr>
                <w:sz w:val="24"/>
                <w:szCs w:val="24"/>
              </w:rPr>
            </w:pPr>
            <w:r>
              <w:rPr>
                <w:sz w:val="24"/>
                <w:szCs w:val="24"/>
              </w:rPr>
              <w:t>Ensure state surveillance system contains all recommended LTBI variables; ensure HL7 messaging</w:t>
            </w:r>
          </w:p>
        </w:tc>
        <w:tc>
          <w:tcPr>
            <w:tcW w:w="2590" w:type="dxa"/>
            <w:vAlign w:val="center"/>
          </w:tcPr>
          <w:p w14:paraId="2BEC3678" w14:textId="77777777" w:rsidR="005A0265" w:rsidRDefault="005A0265" w:rsidP="005A0265">
            <w:pPr>
              <w:jc w:val="center"/>
              <w:rPr>
                <w:sz w:val="24"/>
                <w:szCs w:val="24"/>
              </w:rPr>
            </w:pPr>
          </w:p>
        </w:tc>
        <w:tc>
          <w:tcPr>
            <w:tcW w:w="2590" w:type="dxa"/>
          </w:tcPr>
          <w:p w14:paraId="1FF25E75" w14:textId="77777777" w:rsidR="005A0265" w:rsidRDefault="005A0265" w:rsidP="005A0265">
            <w:pPr>
              <w:rPr>
                <w:sz w:val="24"/>
                <w:szCs w:val="24"/>
              </w:rPr>
            </w:pPr>
          </w:p>
        </w:tc>
        <w:tc>
          <w:tcPr>
            <w:tcW w:w="2590" w:type="dxa"/>
          </w:tcPr>
          <w:p w14:paraId="301E5F35" w14:textId="77777777" w:rsidR="005A0265" w:rsidRDefault="005A0265" w:rsidP="005A0265">
            <w:pPr>
              <w:rPr>
                <w:sz w:val="24"/>
                <w:szCs w:val="24"/>
              </w:rPr>
            </w:pPr>
          </w:p>
        </w:tc>
      </w:tr>
    </w:tbl>
    <w:p w14:paraId="487921AD" w14:textId="77777777" w:rsidR="00CB75A4" w:rsidRDefault="00CB75A4" w:rsidP="00CB75A4">
      <w:pPr>
        <w:spacing w:after="0" w:line="240" w:lineRule="auto"/>
        <w:rPr>
          <w:sz w:val="24"/>
          <w:szCs w:val="24"/>
          <w:u w:val="single"/>
        </w:rPr>
      </w:pPr>
    </w:p>
    <w:p w14:paraId="48E7113B" w14:textId="77777777" w:rsidR="00287DD4" w:rsidRDefault="00287DD4" w:rsidP="00054B01">
      <w:pPr>
        <w:spacing w:after="0" w:line="240" w:lineRule="auto"/>
        <w:rPr>
          <w:b/>
          <w:bCs/>
          <w:sz w:val="24"/>
          <w:szCs w:val="24"/>
          <w:u w:val="single"/>
        </w:rPr>
        <w:sectPr w:rsidR="00287DD4" w:rsidSect="00DB3CAD">
          <w:pgSz w:w="15840" w:h="12240" w:orient="landscape"/>
          <w:pgMar w:top="1440" w:right="1440" w:bottom="1440" w:left="1440" w:header="720" w:footer="720" w:gutter="0"/>
          <w:cols w:space="720"/>
          <w:docGrid w:linePitch="360"/>
        </w:sectPr>
      </w:pPr>
    </w:p>
    <w:p w14:paraId="7F9F3AE8" w14:textId="77777777" w:rsidR="00287DD4" w:rsidRDefault="00287DD4" w:rsidP="00287DD4">
      <w:pPr>
        <w:spacing w:after="0" w:line="240" w:lineRule="auto"/>
        <w:rPr>
          <w:b/>
          <w:bCs/>
          <w:sz w:val="24"/>
          <w:szCs w:val="24"/>
          <w:u w:val="single"/>
        </w:rPr>
      </w:pPr>
      <w:r>
        <w:rPr>
          <w:b/>
          <w:bCs/>
          <w:sz w:val="24"/>
          <w:szCs w:val="24"/>
          <w:u w:val="single"/>
        </w:rPr>
        <w:t>2021 ACTIVITIES AND PROPOSED 2022 ACTIVITIES</w:t>
      </w:r>
    </w:p>
    <w:p w14:paraId="1AA3E09A" w14:textId="77777777" w:rsidR="00287DD4" w:rsidRDefault="00287DD4" w:rsidP="00287DD4">
      <w:pPr>
        <w:spacing w:after="0" w:line="240" w:lineRule="auto"/>
        <w:rPr>
          <w:sz w:val="24"/>
          <w:szCs w:val="24"/>
        </w:rPr>
      </w:pPr>
    </w:p>
    <w:tbl>
      <w:tblPr>
        <w:tblStyle w:val="TableGrid"/>
        <w:tblW w:w="0" w:type="auto"/>
        <w:tblLook w:val="04A0" w:firstRow="1" w:lastRow="0" w:firstColumn="1" w:lastColumn="0" w:noHBand="0" w:noVBand="1"/>
      </w:tblPr>
      <w:tblGrid>
        <w:gridCol w:w="2785"/>
        <w:gridCol w:w="3510"/>
        <w:gridCol w:w="3420"/>
        <w:gridCol w:w="3235"/>
      </w:tblGrid>
      <w:tr w:rsidR="00894537" w14:paraId="4F7D1737" w14:textId="3CD22A72" w:rsidTr="00FF4FE5">
        <w:tc>
          <w:tcPr>
            <w:tcW w:w="12950" w:type="dxa"/>
            <w:gridSpan w:val="4"/>
            <w:shd w:val="clear" w:color="auto" w:fill="D9D9D9" w:themeFill="background1" w:themeFillShade="D9"/>
            <w:vAlign w:val="center"/>
          </w:tcPr>
          <w:p w14:paraId="65B33C57" w14:textId="58574CAF" w:rsidR="00894537" w:rsidRDefault="00894537" w:rsidP="00FF4FE5">
            <w:pPr>
              <w:rPr>
                <w:b/>
                <w:bCs/>
                <w:sz w:val="24"/>
                <w:szCs w:val="24"/>
              </w:rPr>
            </w:pPr>
            <w:r>
              <w:rPr>
                <w:b/>
                <w:bCs/>
                <w:sz w:val="24"/>
                <w:szCs w:val="24"/>
              </w:rPr>
              <w:t>Strategies and Activities Progress</w:t>
            </w:r>
          </w:p>
        </w:tc>
      </w:tr>
      <w:tr w:rsidR="00894537" w14:paraId="1B419519" w14:textId="281EC926" w:rsidTr="00894537">
        <w:tc>
          <w:tcPr>
            <w:tcW w:w="2785" w:type="dxa"/>
            <w:shd w:val="clear" w:color="auto" w:fill="F2F2F2" w:themeFill="background1" w:themeFillShade="F2"/>
            <w:vAlign w:val="center"/>
          </w:tcPr>
          <w:p w14:paraId="0CF06B2E" w14:textId="77777777" w:rsidR="00894537" w:rsidRPr="00970D36" w:rsidRDefault="00894537" w:rsidP="00FF4FE5">
            <w:pPr>
              <w:jc w:val="center"/>
              <w:rPr>
                <w:b/>
                <w:bCs/>
                <w:sz w:val="24"/>
                <w:szCs w:val="24"/>
              </w:rPr>
            </w:pPr>
            <w:r>
              <w:rPr>
                <w:b/>
                <w:bCs/>
                <w:sz w:val="24"/>
                <w:szCs w:val="24"/>
              </w:rPr>
              <w:t>Strategy</w:t>
            </w:r>
          </w:p>
        </w:tc>
        <w:tc>
          <w:tcPr>
            <w:tcW w:w="3510" w:type="dxa"/>
            <w:shd w:val="clear" w:color="auto" w:fill="F2F2F2" w:themeFill="background1" w:themeFillShade="F2"/>
            <w:vAlign w:val="center"/>
          </w:tcPr>
          <w:p w14:paraId="7E4C8126" w14:textId="4FE9ACCC" w:rsidR="00894537" w:rsidRPr="00970D36" w:rsidRDefault="00894537" w:rsidP="00FF4FE5">
            <w:pPr>
              <w:jc w:val="center"/>
              <w:rPr>
                <w:b/>
                <w:bCs/>
                <w:sz w:val="24"/>
                <w:szCs w:val="24"/>
              </w:rPr>
            </w:pPr>
            <w:r>
              <w:rPr>
                <w:b/>
                <w:bCs/>
                <w:sz w:val="24"/>
                <w:szCs w:val="24"/>
              </w:rPr>
              <w:t>2021 Proposed Activities</w:t>
            </w:r>
          </w:p>
        </w:tc>
        <w:tc>
          <w:tcPr>
            <w:tcW w:w="3420" w:type="dxa"/>
            <w:shd w:val="clear" w:color="auto" w:fill="F2F2F2" w:themeFill="background1" w:themeFillShade="F2"/>
            <w:vAlign w:val="center"/>
          </w:tcPr>
          <w:p w14:paraId="58038CE8" w14:textId="7CD70C6F" w:rsidR="00894537" w:rsidRPr="00970D36" w:rsidRDefault="00FF4FE5" w:rsidP="00FF4FE5">
            <w:pPr>
              <w:jc w:val="center"/>
              <w:rPr>
                <w:b/>
                <w:bCs/>
                <w:sz w:val="24"/>
                <w:szCs w:val="24"/>
              </w:rPr>
            </w:pPr>
            <w:r>
              <w:rPr>
                <w:b/>
                <w:bCs/>
                <w:sz w:val="24"/>
                <w:szCs w:val="24"/>
              </w:rPr>
              <w:t>2021 Narrative</w:t>
            </w:r>
          </w:p>
        </w:tc>
        <w:tc>
          <w:tcPr>
            <w:tcW w:w="3235" w:type="dxa"/>
            <w:shd w:val="clear" w:color="auto" w:fill="F2F2F2" w:themeFill="background1" w:themeFillShade="F2"/>
          </w:tcPr>
          <w:p w14:paraId="40176DBA" w14:textId="3517BB7A" w:rsidR="00894537" w:rsidRDefault="00F62DE7" w:rsidP="00FF4FE5">
            <w:pPr>
              <w:jc w:val="center"/>
              <w:rPr>
                <w:b/>
                <w:bCs/>
                <w:sz w:val="24"/>
                <w:szCs w:val="24"/>
              </w:rPr>
            </w:pPr>
            <w:r>
              <w:rPr>
                <w:b/>
                <w:bCs/>
                <w:sz w:val="24"/>
                <w:szCs w:val="24"/>
              </w:rPr>
              <w:t>2022</w:t>
            </w:r>
            <w:r w:rsidR="00894537">
              <w:rPr>
                <w:b/>
                <w:bCs/>
                <w:sz w:val="24"/>
                <w:szCs w:val="24"/>
              </w:rPr>
              <w:t xml:space="preserve"> Proposed Activities</w:t>
            </w:r>
          </w:p>
        </w:tc>
      </w:tr>
      <w:tr w:rsidR="00894537" w14:paraId="467A57D8" w14:textId="5DD957E1" w:rsidTr="00894537">
        <w:tc>
          <w:tcPr>
            <w:tcW w:w="2785" w:type="dxa"/>
            <w:vAlign w:val="center"/>
          </w:tcPr>
          <w:p w14:paraId="3E019A60" w14:textId="77777777" w:rsidR="00894537" w:rsidRPr="00970D36" w:rsidRDefault="00894537" w:rsidP="00FF4FE5">
            <w:pPr>
              <w:rPr>
                <w:sz w:val="24"/>
                <w:szCs w:val="24"/>
              </w:rPr>
            </w:pPr>
            <w:r>
              <w:rPr>
                <w:sz w:val="24"/>
                <w:szCs w:val="24"/>
                <w:u w:val="single"/>
              </w:rPr>
              <w:t>Strategy 1</w:t>
            </w:r>
            <w:r>
              <w:rPr>
                <w:sz w:val="24"/>
                <w:szCs w:val="24"/>
              </w:rPr>
              <w:t>: Diagnosis/Treatment of Persons with TB Disease</w:t>
            </w:r>
          </w:p>
        </w:tc>
        <w:tc>
          <w:tcPr>
            <w:tcW w:w="3510" w:type="dxa"/>
          </w:tcPr>
          <w:p w14:paraId="5E8C3ADA" w14:textId="77777777" w:rsidR="00894537" w:rsidRPr="00970D36" w:rsidRDefault="00894537" w:rsidP="00FF4FE5">
            <w:pPr>
              <w:rPr>
                <w:sz w:val="24"/>
                <w:szCs w:val="24"/>
              </w:rPr>
            </w:pPr>
            <w:r>
              <w:rPr>
                <w:sz w:val="24"/>
                <w:szCs w:val="24"/>
              </w:rPr>
              <w:t>Continue use of Cepheid GeneXpert</w:t>
            </w:r>
            <w:r>
              <w:rPr>
                <w:rFonts w:cstheme="minorHAnsi"/>
                <w:sz w:val="24"/>
                <w:szCs w:val="24"/>
                <w:vertAlign w:val="superscript"/>
              </w:rPr>
              <w:t>®</w:t>
            </w:r>
            <w:r>
              <w:rPr>
                <w:sz w:val="24"/>
                <w:szCs w:val="24"/>
              </w:rPr>
              <w:t xml:space="preserve"> statewide and increase communication to clinical partners on the benefit of utilizing GeneXpert</w:t>
            </w:r>
            <w:r>
              <w:rPr>
                <w:rFonts w:cstheme="minorHAnsi"/>
                <w:sz w:val="24"/>
                <w:szCs w:val="24"/>
                <w:vertAlign w:val="superscript"/>
              </w:rPr>
              <w:t>®</w:t>
            </w:r>
            <w:r>
              <w:rPr>
                <w:sz w:val="24"/>
                <w:szCs w:val="24"/>
              </w:rPr>
              <w:t xml:space="preserve"> for rapid diagnosis and release from isolation.</w:t>
            </w:r>
          </w:p>
        </w:tc>
        <w:tc>
          <w:tcPr>
            <w:tcW w:w="3420" w:type="dxa"/>
            <w:vAlign w:val="center"/>
          </w:tcPr>
          <w:p w14:paraId="44BA9F34" w14:textId="4587D9E6" w:rsidR="00894537" w:rsidRPr="00FF4FE5" w:rsidRDefault="00FF4FE5" w:rsidP="00FF4FE5">
            <w:pPr>
              <w:rPr>
                <w:sz w:val="24"/>
                <w:szCs w:val="24"/>
              </w:rPr>
            </w:pPr>
            <w:r>
              <w:rPr>
                <w:sz w:val="24"/>
                <w:szCs w:val="24"/>
              </w:rPr>
              <w:t>For the first six (6) months of 2021, the Tennessee Department of Health, Division of Laboratory Services performed 84 GeneXpert</w:t>
            </w:r>
            <w:r>
              <w:rPr>
                <w:rFonts w:cstheme="minorHAnsi"/>
                <w:sz w:val="24"/>
                <w:szCs w:val="24"/>
                <w:vertAlign w:val="superscript"/>
              </w:rPr>
              <w:t>®</w:t>
            </w:r>
            <w:r>
              <w:rPr>
                <w:sz w:val="24"/>
                <w:szCs w:val="24"/>
              </w:rPr>
              <w:t xml:space="preserve"> tests for 62 unique patients.  Of those 84 tests, 18 (21.4%) were positive.  Of the 18 positive results, four (22.2%) were initially smear-negative.</w:t>
            </w:r>
          </w:p>
        </w:tc>
        <w:tc>
          <w:tcPr>
            <w:tcW w:w="3235" w:type="dxa"/>
          </w:tcPr>
          <w:p w14:paraId="760D2E5F" w14:textId="0D661351" w:rsidR="00894537" w:rsidRPr="00771413" w:rsidRDefault="00771413" w:rsidP="00FF4FE5">
            <w:pPr>
              <w:rPr>
                <w:sz w:val="24"/>
                <w:szCs w:val="24"/>
              </w:rPr>
            </w:pPr>
            <w:r>
              <w:rPr>
                <w:sz w:val="24"/>
                <w:szCs w:val="24"/>
              </w:rPr>
              <w:t>Ensure validation of the new Cepheid GeneXpert</w:t>
            </w:r>
            <w:r>
              <w:rPr>
                <w:rFonts w:cstheme="minorHAnsi"/>
                <w:sz w:val="24"/>
                <w:szCs w:val="24"/>
                <w:vertAlign w:val="superscript"/>
              </w:rPr>
              <w:t>®</w:t>
            </w:r>
            <w:r>
              <w:rPr>
                <w:sz w:val="24"/>
                <w:szCs w:val="24"/>
              </w:rPr>
              <w:t xml:space="preserve"> equipment at the Tennessee Department of Health, Division of Laboratory Services.</w:t>
            </w:r>
          </w:p>
        </w:tc>
      </w:tr>
      <w:tr w:rsidR="00894537" w14:paraId="49ACE123" w14:textId="72B8F855" w:rsidTr="00894537">
        <w:tc>
          <w:tcPr>
            <w:tcW w:w="2785" w:type="dxa"/>
            <w:vAlign w:val="center"/>
          </w:tcPr>
          <w:p w14:paraId="5E88DE05" w14:textId="77777777" w:rsidR="00894537" w:rsidRPr="00EC3CF5" w:rsidRDefault="00894537" w:rsidP="00FF4FE5">
            <w:pPr>
              <w:rPr>
                <w:sz w:val="24"/>
                <w:szCs w:val="24"/>
              </w:rPr>
            </w:pPr>
            <w:r>
              <w:rPr>
                <w:sz w:val="24"/>
                <w:szCs w:val="24"/>
                <w:u w:val="single"/>
              </w:rPr>
              <w:t>Strategy 2A</w:t>
            </w:r>
            <w:r>
              <w:rPr>
                <w:sz w:val="24"/>
                <w:szCs w:val="24"/>
              </w:rPr>
              <w:t>: Conduct Contact Investigations for Infectious Cases</w:t>
            </w:r>
          </w:p>
        </w:tc>
        <w:tc>
          <w:tcPr>
            <w:tcW w:w="3510" w:type="dxa"/>
          </w:tcPr>
          <w:p w14:paraId="43BA5CE1" w14:textId="77777777" w:rsidR="00894537" w:rsidRDefault="00894537" w:rsidP="00FF4FE5">
            <w:pPr>
              <w:rPr>
                <w:sz w:val="24"/>
                <w:szCs w:val="24"/>
              </w:rPr>
            </w:pPr>
            <w:r>
              <w:rPr>
                <w:sz w:val="24"/>
                <w:szCs w:val="24"/>
              </w:rPr>
              <w:t>Provide in-person trainings (if allowed) to new case managers and contact investigation staff.  Identify patient education needs and work to meet those needs.</w:t>
            </w:r>
          </w:p>
        </w:tc>
        <w:tc>
          <w:tcPr>
            <w:tcW w:w="3420" w:type="dxa"/>
            <w:vAlign w:val="center"/>
          </w:tcPr>
          <w:p w14:paraId="5F89EF44" w14:textId="77777777" w:rsidR="00894537" w:rsidRDefault="00894537" w:rsidP="00FF4FE5">
            <w:pPr>
              <w:rPr>
                <w:sz w:val="24"/>
                <w:szCs w:val="24"/>
              </w:rPr>
            </w:pPr>
            <w:r>
              <w:rPr>
                <w:sz w:val="24"/>
                <w:szCs w:val="24"/>
              </w:rPr>
              <w:t>In 2021, one (1) new case manager training was held virtually for one (1) new staff member.</w:t>
            </w:r>
          </w:p>
        </w:tc>
        <w:tc>
          <w:tcPr>
            <w:tcW w:w="3235" w:type="dxa"/>
          </w:tcPr>
          <w:p w14:paraId="3D1BBE9A" w14:textId="1F98C4E3" w:rsidR="00894537" w:rsidRDefault="00196719" w:rsidP="00FF4FE5">
            <w:pPr>
              <w:rPr>
                <w:sz w:val="24"/>
                <w:szCs w:val="24"/>
              </w:rPr>
            </w:pPr>
            <w:r>
              <w:rPr>
                <w:sz w:val="24"/>
                <w:szCs w:val="24"/>
              </w:rPr>
              <w:t>Develop “Conduct Investigation Summary” form to include ARPE variables to be completed for each case of TB upon completion of the contact investigation.  Include this activity as a Standard of Public Health Practice in the revised Tennessee TB Elimination Program manual.</w:t>
            </w:r>
          </w:p>
        </w:tc>
      </w:tr>
      <w:tr w:rsidR="00894537" w14:paraId="10A07BE5" w14:textId="6C6BFF2C" w:rsidTr="00894537">
        <w:tc>
          <w:tcPr>
            <w:tcW w:w="2785" w:type="dxa"/>
            <w:vAlign w:val="center"/>
          </w:tcPr>
          <w:p w14:paraId="0845E8F7" w14:textId="77777777" w:rsidR="00894537" w:rsidRPr="00EC3CF5" w:rsidRDefault="00894537" w:rsidP="00FF4FE5">
            <w:pPr>
              <w:rPr>
                <w:sz w:val="24"/>
                <w:szCs w:val="24"/>
              </w:rPr>
            </w:pPr>
            <w:r>
              <w:rPr>
                <w:sz w:val="24"/>
                <w:szCs w:val="24"/>
                <w:u w:val="single"/>
              </w:rPr>
              <w:t>Strategy 2B</w:t>
            </w:r>
            <w:r>
              <w:rPr>
                <w:sz w:val="24"/>
                <w:szCs w:val="24"/>
              </w:rPr>
              <w:t>: Evaluation of Immigrants and Refugees with TB or TBI</w:t>
            </w:r>
          </w:p>
        </w:tc>
        <w:tc>
          <w:tcPr>
            <w:tcW w:w="3510" w:type="dxa"/>
            <w:vAlign w:val="center"/>
          </w:tcPr>
          <w:p w14:paraId="7D06F8C2" w14:textId="77777777" w:rsidR="00894537" w:rsidRDefault="00894537" w:rsidP="00FF4FE5">
            <w:pPr>
              <w:rPr>
                <w:sz w:val="24"/>
                <w:szCs w:val="24"/>
              </w:rPr>
            </w:pPr>
            <w:r>
              <w:rPr>
                <w:sz w:val="24"/>
                <w:szCs w:val="24"/>
              </w:rPr>
              <w:t>Evaluate the efficacy of adding additional clinic-level users to EDN.  Continue to partner with Siloam Family Health Center.  Evaluate the feasibility of partnering with other agencies that serve immigrant and refugee populations.</w:t>
            </w:r>
          </w:p>
        </w:tc>
        <w:tc>
          <w:tcPr>
            <w:tcW w:w="3420" w:type="dxa"/>
          </w:tcPr>
          <w:p w14:paraId="0F82310D" w14:textId="77777777" w:rsidR="00894537" w:rsidRDefault="00894537" w:rsidP="00FF4FE5">
            <w:pPr>
              <w:rPr>
                <w:sz w:val="24"/>
                <w:szCs w:val="24"/>
              </w:rPr>
            </w:pPr>
            <w:r>
              <w:rPr>
                <w:sz w:val="24"/>
                <w:szCs w:val="24"/>
              </w:rPr>
              <w:t>Feasibility of adding a clinic-level user for the region/clinic that receives the largest volume of EDN notifications.  Due to technology limitations of the clinic, it was decided that adding a clinic-level user for this region was not feasible.  The partnership with Siloam Family Health Center continued in 2021; however, health department staff presence in the facility as well as partnering with other agencies was temporarily held due to COVID-19.</w:t>
            </w:r>
          </w:p>
        </w:tc>
        <w:tc>
          <w:tcPr>
            <w:tcW w:w="3235" w:type="dxa"/>
          </w:tcPr>
          <w:p w14:paraId="0629240A" w14:textId="77777777" w:rsidR="00894537" w:rsidRDefault="00894537" w:rsidP="00FF4FE5">
            <w:pPr>
              <w:rPr>
                <w:sz w:val="24"/>
                <w:szCs w:val="24"/>
              </w:rPr>
            </w:pPr>
          </w:p>
        </w:tc>
      </w:tr>
      <w:tr w:rsidR="00894537" w14:paraId="0A705703" w14:textId="73583A38" w:rsidTr="00894537">
        <w:tc>
          <w:tcPr>
            <w:tcW w:w="2785" w:type="dxa"/>
            <w:vAlign w:val="center"/>
          </w:tcPr>
          <w:p w14:paraId="77BDAE32" w14:textId="77777777" w:rsidR="00894537" w:rsidRPr="006F5427" w:rsidRDefault="00894537" w:rsidP="00FF4FE5">
            <w:pPr>
              <w:rPr>
                <w:sz w:val="24"/>
                <w:szCs w:val="24"/>
              </w:rPr>
            </w:pPr>
            <w:r>
              <w:rPr>
                <w:sz w:val="24"/>
                <w:szCs w:val="24"/>
                <w:u w:val="single"/>
              </w:rPr>
              <w:t>Strategy 2C</w:t>
            </w:r>
            <w:r>
              <w:rPr>
                <w:sz w:val="24"/>
                <w:szCs w:val="24"/>
              </w:rPr>
              <w:t>: Targeted Testing and Treatment of TBI in High-Risk Populations</w:t>
            </w:r>
          </w:p>
        </w:tc>
        <w:tc>
          <w:tcPr>
            <w:tcW w:w="3510" w:type="dxa"/>
            <w:vAlign w:val="center"/>
          </w:tcPr>
          <w:p w14:paraId="42D0A23C" w14:textId="77777777" w:rsidR="00894537" w:rsidRDefault="00894537" w:rsidP="00FF4FE5">
            <w:pPr>
              <w:rPr>
                <w:sz w:val="24"/>
                <w:szCs w:val="24"/>
              </w:rPr>
            </w:pPr>
            <w:r>
              <w:rPr>
                <w:sz w:val="24"/>
                <w:szCs w:val="24"/>
              </w:rPr>
              <w:t>Re-launch of the “Community Partnerships to End TB (CPETB)” initiative.</w:t>
            </w:r>
          </w:p>
        </w:tc>
        <w:tc>
          <w:tcPr>
            <w:tcW w:w="3420" w:type="dxa"/>
          </w:tcPr>
          <w:p w14:paraId="58ECAB31" w14:textId="77777777" w:rsidR="00894537" w:rsidRDefault="00894537" w:rsidP="00FF4FE5">
            <w:pPr>
              <w:rPr>
                <w:sz w:val="24"/>
                <w:szCs w:val="24"/>
              </w:rPr>
            </w:pPr>
            <w:r>
              <w:rPr>
                <w:sz w:val="24"/>
                <w:szCs w:val="24"/>
              </w:rPr>
              <w:t>In June 2021, regional TB programs were queried on the feasibility of re-implementing the CEPTB initiative beginning in 2022 as well as identification of barriers to implementing.  The initiative was reintroduced during a statewide call in June 2021 with an anticipated start date in early 2022.</w:t>
            </w:r>
          </w:p>
        </w:tc>
        <w:tc>
          <w:tcPr>
            <w:tcW w:w="3235" w:type="dxa"/>
          </w:tcPr>
          <w:p w14:paraId="1ABE6517" w14:textId="77777777" w:rsidR="00894537" w:rsidRDefault="00894537" w:rsidP="00FF4FE5">
            <w:pPr>
              <w:rPr>
                <w:sz w:val="24"/>
                <w:szCs w:val="24"/>
              </w:rPr>
            </w:pPr>
          </w:p>
        </w:tc>
      </w:tr>
      <w:tr w:rsidR="00894537" w14:paraId="505FA307" w14:textId="1538E8D1" w:rsidTr="00894537">
        <w:tc>
          <w:tcPr>
            <w:tcW w:w="2785" w:type="dxa"/>
            <w:vAlign w:val="center"/>
          </w:tcPr>
          <w:p w14:paraId="12C6CA43" w14:textId="751A6A0F" w:rsidR="00894537" w:rsidRPr="00894537" w:rsidRDefault="00894537" w:rsidP="00FF4FE5">
            <w:pPr>
              <w:rPr>
                <w:sz w:val="24"/>
                <w:szCs w:val="24"/>
                <w:u w:val="single"/>
              </w:rPr>
            </w:pPr>
            <w:r w:rsidRPr="00894537">
              <w:rPr>
                <w:sz w:val="24"/>
                <w:szCs w:val="24"/>
                <w:u w:val="single"/>
              </w:rPr>
              <w:t>Strategy 3</w:t>
            </w:r>
            <w:r>
              <w:rPr>
                <w:sz w:val="24"/>
                <w:szCs w:val="24"/>
              </w:rPr>
              <w:t>: Program Planning, Evaluation, and Improvement</w:t>
            </w:r>
          </w:p>
        </w:tc>
        <w:tc>
          <w:tcPr>
            <w:tcW w:w="3510" w:type="dxa"/>
            <w:vAlign w:val="center"/>
          </w:tcPr>
          <w:p w14:paraId="6F4A1A58" w14:textId="6AEB69C5" w:rsidR="00894537" w:rsidRDefault="00894537" w:rsidP="00FF4FE5">
            <w:pPr>
              <w:rPr>
                <w:sz w:val="24"/>
                <w:szCs w:val="24"/>
              </w:rPr>
            </w:pPr>
            <w:r>
              <w:rPr>
                <w:sz w:val="24"/>
                <w:szCs w:val="24"/>
              </w:rPr>
              <w:t>Implement program evaluation plan as outlined in the Tennessee Performance Management Plan submitted on July 20, 2020.</w:t>
            </w:r>
          </w:p>
        </w:tc>
        <w:tc>
          <w:tcPr>
            <w:tcW w:w="3420" w:type="dxa"/>
          </w:tcPr>
          <w:p w14:paraId="08E1900B" w14:textId="77777777" w:rsidR="00894537" w:rsidRDefault="00894537" w:rsidP="00FF4FE5">
            <w:pPr>
              <w:rPr>
                <w:sz w:val="24"/>
                <w:szCs w:val="24"/>
              </w:rPr>
            </w:pPr>
          </w:p>
        </w:tc>
        <w:tc>
          <w:tcPr>
            <w:tcW w:w="3235" w:type="dxa"/>
          </w:tcPr>
          <w:p w14:paraId="43485C03" w14:textId="77777777" w:rsidR="00894537" w:rsidRDefault="00894537" w:rsidP="00FF4FE5">
            <w:pPr>
              <w:rPr>
                <w:sz w:val="24"/>
                <w:szCs w:val="24"/>
              </w:rPr>
            </w:pPr>
          </w:p>
        </w:tc>
      </w:tr>
      <w:tr w:rsidR="00894537" w14:paraId="6544D167" w14:textId="49FEC0DF" w:rsidTr="00B6422C">
        <w:tc>
          <w:tcPr>
            <w:tcW w:w="2785" w:type="dxa"/>
            <w:vAlign w:val="center"/>
          </w:tcPr>
          <w:p w14:paraId="0D795B28" w14:textId="10C63384" w:rsidR="00894537" w:rsidRPr="00894537" w:rsidRDefault="00894537" w:rsidP="00FF4FE5">
            <w:pPr>
              <w:rPr>
                <w:sz w:val="24"/>
                <w:szCs w:val="24"/>
              </w:rPr>
            </w:pPr>
            <w:r>
              <w:rPr>
                <w:sz w:val="24"/>
                <w:szCs w:val="24"/>
                <w:u w:val="single"/>
              </w:rPr>
              <w:t>Strategy 4</w:t>
            </w:r>
            <w:r>
              <w:rPr>
                <w:sz w:val="24"/>
                <w:szCs w:val="24"/>
              </w:rPr>
              <w:t>: Epidemiologic Surveillance and Response</w:t>
            </w:r>
          </w:p>
        </w:tc>
        <w:tc>
          <w:tcPr>
            <w:tcW w:w="3510" w:type="dxa"/>
            <w:vAlign w:val="center"/>
          </w:tcPr>
          <w:p w14:paraId="03AACD60" w14:textId="5785EA1F" w:rsidR="00894537" w:rsidRDefault="00894537" w:rsidP="00FF4FE5">
            <w:pPr>
              <w:rPr>
                <w:sz w:val="24"/>
                <w:szCs w:val="24"/>
              </w:rPr>
            </w:pPr>
            <w:r>
              <w:rPr>
                <w:sz w:val="24"/>
                <w:szCs w:val="24"/>
              </w:rPr>
              <w:t xml:space="preserve">Modify current </w:t>
            </w:r>
            <w:r w:rsidR="00300B8C">
              <w:rPr>
                <w:sz w:val="24"/>
                <w:szCs w:val="24"/>
              </w:rPr>
              <w:t xml:space="preserve">TBI surveillance variables in statewide NEDSS-based system (NBS) to align with CDC-identified LTBI variables.  Evaluate the feasibility of submitting TBI surveillance data to CDC.  Implement revised RVCT and provide training. </w:t>
            </w:r>
          </w:p>
        </w:tc>
        <w:tc>
          <w:tcPr>
            <w:tcW w:w="3420" w:type="dxa"/>
          </w:tcPr>
          <w:p w14:paraId="4A95860F" w14:textId="62DF7344" w:rsidR="00894537" w:rsidRDefault="00B6422C" w:rsidP="00FF4FE5">
            <w:pPr>
              <w:rPr>
                <w:sz w:val="24"/>
                <w:szCs w:val="24"/>
              </w:rPr>
            </w:pPr>
            <w:r>
              <w:rPr>
                <w:sz w:val="24"/>
                <w:szCs w:val="24"/>
              </w:rPr>
              <w:t xml:space="preserve">Due to the COVID-19 pandemic and the need for creating of surveillance pages for COVID-19, the TBI surveillance variable project was deferred.  Implementation of the 2020 RVCT is dependent on creating of the page in NBS by a CDC vendor which has not occurred at the time of this report.  </w:t>
            </w:r>
          </w:p>
        </w:tc>
        <w:tc>
          <w:tcPr>
            <w:tcW w:w="3235" w:type="dxa"/>
            <w:vAlign w:val="center"/>
          </w:tcPr>
          <w:p w14:paraId="4D3A066C" w14:textId="56249153" w:rsidR="00894537" w:rsidRDefault="00B6422C" w:rsidP="00B6422C">
            <w:pPr>
              <w:rPr>
                <w:sz w:val="24"/>
                <w:szCs w:val="24"/>
              </w:rPr>
            </w:pPr>
            <w:r>
              <w:rPr>
                <w:sz w:val="24"/>
                <w:szCs w:val="24"/>
              </w:rPr>
              <w:t>Implement the 2020 RVCT and provide training to regional TB staff.  Re-visit the feasibility of revising statewide TBI variables in NBS to align with CDC-identified variables. Provide refresher surveillance training to regional TB staff</w:t>
            </w:r>
            <w:r w:rsidR="00E15E99">
              <w:rPr>
                <w:sz w:val="24"/>
                <w:szCs w:val="24"/>
              </w:rPr>
              <w:t>.  Create a surveillance data “Best Practices” document for regional TB staff.</w:t>
            </w:r>
          </w:p>
        </w:tc>
      </w:tr>
      <w:tr w:rsidR="00E15E99" w14:paraId="43AE2B83" w14:textId="77777777" w:rsidTr="008F063E">
        <w:tc>
          <w:tcPr>
            <w:tcW w:w="2785" w:type="dxa"/>
            <w:vAlign w:val="center"/>
          </w:tcPr>
          <w:p w14:paraId="6E5D9FB5" w14:textId="6041FD31" w:rsidR="00E15E99" w:rsidRPr="00E15E99" w:rsidRDefault="00E15E99" w:rsidP="00FF4FE5">
            <w:pPr>
              <w:rPr>
                <w:sz w:val="24"/>
                <w:szCs w:val="24"/>
              </w:rPr>
            </w:pPr>
            <w:r>
              <w:rPr>
                <w:sz w:val="24"/>
                <w:szCs w:val="24"/>
                <w:u w:val="single"/>
              </w:rPr>
              <w:t>Strategy 5</w:t>
            </w:r>
            <w:r>
              <w:rPr>
                <w:sz w:val="24"/>
                <w:szCs w:val="24"/>
              </w:rPr>
              <w:t>: Human Resources Development (HRD) and Partnerships</w:t>
            </w:r>
          </w:p>
        </w:tc>
        <w:tc>
          <w:tcPr>
            <w:tcW w:w="3510" w:type="dxa"/>
            <w:vAlign w:val="center"/>
          </w:tcPr>
          <w:p w14:paraId="18C4E655" w14:textId="536FF36E" w:rsidR="00E15E99" w:rsidRDefault="008B03B1" w:rsidP="00FF4FE5">
            <w:pPr>
              <w:rPr>
                <w:sz w:val="24"/>
                <w:szCs w:val="24"/>
              </w:rPr>
            </w:pPr>
            <w:r>
              <w:rPr>
                <w:sz w:val="24"/>
                <w:szCs w:val="24"/>
              </w:rPr>
              <w:t>Evaluate the feasibility of conducting a TB Clinical Symposium and statewide meeting (canceled in 2020 due to COVID-19).  Evaluate additional statewide agencies that serve high-risk populations and develop partnerships.</w:t>
            </w:r>
          </w:p>
        </w:tc>
        <w:tc>
          <w:tcPr>
            <w:tcW w:w="3420" w:type="dxa"/>
          </w:tcPr>
          <w:p w14:paraId="54C4FCDB" w14:textId="4A01DF1B" w:rsidR="00E15E99" w:rsidRDefault="00D22CF6" w:rsidP="00FF4FE5">
            <w:pPr>
              <w:rPr>
                <w:sz w:val="24"/>
                <w:szCs w:val="24"/>
              </w:rPr>
            </w:pPr>
            <w:r>
              <w:rPr>
                <w:sz w:val="24"/>
                <w:szCs w:val="24"/>
              </w:rPr>
              <w:t>Due to the COVID-19 pandemic, restrictions on in-person meetings and attendance, and a short planning timeframe</w:t>
            </w:r>
            <w:r w:rsidR="008F063E">
              <w:rPr>
                <w:sz w:val="24"/>
                <w:szCs w:val="24"/>
              </w:rPr>
              <w:t>, a TB Clinical Symposium and statewide meeting was determined to be not feasible.  Work to identify additional partners serving high-risk populations was temporarily postponed due to the COVID-19 pandemic.</w:t>
            </w:r>
          </w:p>
        </w:tc>
        <w:tc>
          <w:tcPr>
            <w:tcW w:w="3235" w:type="dxa"/>
            <w:vAlign w:val="center"/>
          </w:tcPr>
          <w:p w14:paraId="24253D52" w14:textId="432CA372" w:rsidR="00E15E99" w:rsidRDefault="008F063E" w:rsidP="008F063E">
            <w:pPr>
              <w:rPr>
                <w:sz w:val="24"/>
                <w:szCs w:val="24"/>
              </w:rPr>
            </w:pPr>
            <w:r>
              <w:rPr>
                <w:sz w:val="24"/>
                <w:szCs w:val="24"/>
              </w:rPr>
              <w:t>Re-evaluate the feasibility of conducting a TB Clinical Symposium and statewide meeting.  Collaborate with regional TB programs to identify external agencies statewide that serve high-risk populations.</w:t>
            </w:r>
          </w:p>
        </w:tc>
      </w:tr>
    </w:tbl>
    <w:p w14:paraId="72405DBC" w14:textId="76698382" w:rsidR="00DB3CAD" w:rsidRDefault="00DB3CAD" w:rsidP="00054B01">
      <w:pPr>
        <w:spacing w:after="0" w:line="240" w:lineRule="auto"/>
        <w:rPr>
          <w:b/>
          <w:bCs/>
          <w:sz w:val="24"/>
          <w:szCs w:val="24"/>
          <w:u w:val="single"/>
        </w:rPr>
        <w:sectPr w:rsidR="00DB3CAD" w:rsidSect="00DB3CAD">
          <w:pgSz w:w="15840" w:h="12240" w:orient="landscape"/>
          <w:pgMar w:top="1440" w:right="1440" w:bottom="1440" w:left="1440" w:header="720" w:footer="720" w:gutter="0"/>
          <w:cols w:space="720"/>
          <w:docGrid w:linePitch="360"/>
        </w:sectPr>
      </w:pPr>
    </w:p>
    <w:p w14:paraId="6C5E39F5" w14:textId="54AEA1C6" w:rsidR="00A30977" w:rsidRDefault="00A30977" w:rsidP="00054B01">
      <w:pPr>
        <w:spacing w:after="0" w:line="240" w:lineRule="auto"/>
        <w:rPr>
          <w:b/>
          <w:bCs/>
          <w:sz w:val="24"/>
          <w:szCs w:val="24"/>
          <w:u w:val="single"/>
        </w:rPr>
      </w:pPr>
      <w:r>
        <w:rPr>
          <w:b/>
          <w:bCs/>
          <w:sz w:val="24"/>
          <w:szCs w:val="24"/>
          <w:u w:val="single"/>
        </w:rPr>
        <w:t>Program Planning, Evaluation, and Improvement</w:t>
      </w:r>
    </w:p>
    <w:p w14:paraId="28699809" w14:textId="77777777" w:rsidR="00A30977" w:rsidRDefault="00A30977" w:rsidP="00A30977">
      <w:pPr>
        <w:pStyle w:val="ListParagraph"/>
        <w:numPr>
          <w:ilvl w:val="0"/>
          <w:numId w:val="35"/>
        </w:numPr>
        <w:spacing w:after="0" w:line="240" w:lineRule="auto"/>
        <w:rPr>
          <w:sz w:val="24"/>
          <w:szCs w:val="24"/>
        </w:rPr>
      </w:pPr>
      <w:r>
        <w:rPr>
          <w:sz w:val="24"/>
          <w:szCs w:val="24"/>
        </w:rPr>
        <w:t>Results and Conclusions of 2020 Program Evaluation Activities</w:t>
      </w:r>
    </w:p>
    <w:p w14:paraId="6DBDD81F" w14:textId="77777777" w:rsidR="00A30977" w:rsidRDefault="00A30977" w:rsidP="00A30977">
      <w:pPr>
        <w:pStyle w:val="ListParagraph"/>
        <w:numPr>
          <w:ilvl w:val="0"/>
          <w:numId w:val="35"/>
        </w:numPr>
        <w:spacing w:after="0" w:line="240" w:lineRule="auto"/>
        <w:rPr>
          <w:sz w:val="24"/>
          <w:szCs w:val="24"/>
        </w:rPr>
      </w:pPr>
      <w:r>
        <w:rPr>
          <w:sz w:val="24"/>
          <w:szCs w:val="24"/>
        </w:rPr>
        <w:t xml:space="preserve">Remediation Plan </w:t>
      </w:r>
    </w:p>
    <w:p w14:paraId="155DEFF6" w14:textId="77777777" w:rsidR="00A30977" w:rsidRDefault="00A30977" w:rsidP="00A30977">
      <w:pPr>
        <w:pStyle w:val="ListParagraph"/>
        <w:numPr>
          <w:ilvl w:val="0"/>
          <w:numId w:val="35"/>
        </w:numPr>
        <w:spacing w:after="0" w:line="240" w:lineRule="auto"/>
        <w:rPr>
          <w:sz w:val="24"/>
          <w:szCs w:val="24"/>
        </w:rPr>
      </w:pPr>
      <w:r>
        <w:rPr>
          <w:sz w:val="24"/>
          <w:szCs w:val="24"/>
        </w:rPr>
        <w:t>Background for 2021 Program Evaluation Focus Area</w:t>
      </w:r>
    </w:p>
    <w:p w14:paraId="6BB58596" w14:textId="68871013" w:rsidR="00A30977" w:rsidRDefault="00A30977" w:rsidP="00A30977">
      <w:pPr>
        <w:pStyle w:val="ListParagraph"/>
        <w:numPr>
          <w:ilvl w:val="0"/>
          <w:numId w:val="35"/>
        </w:numPr>
        <w:spacing w:after="0" w:line="240" w:lineRule="auto"/>
        <w:rPr>
          <w:sz w:val="24"/>
          <w:szCs w:val="24"/>
        </w:rPr>
      </w:pPr>
      <w:r>
        <w:rPr>
          <w:sz w:val="24"/>
          <w:szCs w:val="24"/>
        </w:rPr>
        <w:t xml:space="preserve">2021 Program Evaluation Plan </w:t>
      </w:r>
    </w:p>
    <w:p w14:paraId="20809BD8" w14:textId="77777777" w:rsidR="0051596C" w:rsidRDefault="0051596C" w:rsidP="0051596C">
      <w:pPr>
        <w:pStyle w:val="ListParagraph"/>
        <w:spacing w:after="0" w:line="240" w:lineRule="auto"/>
        <w:ind w:left="1080"/>
        <w:rPr>
          <w:sz w:val="24"/>
          <w:szCs w:val="24"/>
        </w:rPr>
      </w:pPr>
    </w:p>
    <w:p w14:paraId="4B280B6D" w14:textId="77777777" w:rsidR="0051596C" w:rsidRDefault="0051596C" w:rsidP="0051596C">
      <w:pPr>
        <w:spacing w:after="0" w:line="240" w:lineRule="auto"/>
        <w:rPr>
          <w:sz w:val="24"/>
          <w:szCs w:val="24"/>
          <w:u w:val="single"/>
        </w:rPr>
      </w:pPr>
      <w:r>
        <w:rPr>
          <w:sz w:val="24"/>
          <w:szCs w:val="24"/>
          <w:u w:val="single"/>
        </w:rPr>
        <w:t>Program Evaluation Focal Point</w:t>
      </w:r>
    </w:p>
    <w:p w14:paraId="640876DC" w14:textId="77777777" w:rsidR="0051596C" w:rsidRDefault="0051596C" w:rsidP="0051596C">
      <w:pPr>
        <w:spacing w:after="0" w:line="240" w:lineRule="auto"/>
        <w:rPr>
          <w:sz w:val="24"/>
          <w:szCs w:val="24"/>
        </w:rPr>
      </w:pPr>
      <w:r>
        <w:rPr>
          <w:sz w:val="24"/>
          <w:szCs w:val="24"/>
        </w:rPr>
        <w:t>Ben Katz, MPH</w:t>
      </w:r>
    </w:p>
    <w:p w14:paraId="782F50B8" w14:textId="77777777" w:rsidR="0051596C" w:rsidRDefault="0051596C" w:rsidP="0051596C">
      <w:pPr>
        <w:spacing w:after="0" w:line="240" w:lineRule="auto"/>
        <w:rPr>
          <w:sz w:val="24"/>
          <w:szCs w:val="24"/>
        </w:rPr>
      </w:pPr>
      <w:r>
        <w:rPr>
          <w:sz w:val="24"/>
          <w:szCs w:val="24"/>
        </w:rPr>
        <w:t>Epidemiologist 2</w:t>
      </w:r>
    </w:p>
    <w:p w14:paraId="3BEAB4BB" w14:textId="77777777" w:rsidR="0051596C" w:rsidRDefault="0051596C" w:rsidP="0051596C">
      <w:pPr>
        <w:spacing w:after="0" w:line="240" w:lineRule="auto"/>
        <w:rPr>
          <w:sz w:val="24"/>
          <w:szCs w:val="24"/>
        </w:rPr>
      </w:pPr>
      <w:r>
        <w:rPr>
          <w:sz w:val="24"/>
          <w:szCs w:val="24"/>
        </w:rPr>
        <w:t>710 James Robertson Parkway, 3</w:t>
      </w:r>
      <w:r w:rsidRPr="0051596C">
        <w:rPr>
          <w:sz w:val="24"/>
          <w:szCs w:val="24"/>
          <w:vertAlign w:val="superscript"/>
        </w:rPr>
        <w:t>rd</w:t>
      </w:r>
      <w:r>
        <w:rPr>
          <w:sz w:val="24"/>
          <w:szCs w:val="24"/>
        </w:rPr>
        <w:t xml:space="preserve"> Floor Andrew Johnson Tower, Nashville, TN 37243</w:t>
      </w:r>
    </w:p>
    <w:p w14:paraId="10E5BBAA" w14:textId="77777777" w:rsidR="0051596C" w:rsidRDefault="0051596C" w:rsidP="0051596C">
      <w:pPr>
        <w:spacing w:after="0" w:line="240" w:lineRule="auto"/>
        <w:rPr>
          <w:sz w:val="24"/>
          <w:szCs w:val="24"/>
        </w:rPr>
      </w:pPr>
      <w:r>
        <w:rPr>
          <w:sz w:val="24"/>
          <w:szCs w:val="24"/>
        </w:rPr>
        <w:t>Ph. 615-253-1369</w:t>
      </w:r>
    </w:p>
    <w:p w14:paraId="031EBF6F" w14:textId="77777777" w:rsidR="0051596C" w:rsidRDefault="0051596C" w:rsidP="0051596C">
      <w:pPr>
        <w:spacing w:after="0" w:line="240" w:lineRule="auto"/>
        <w:rPr>
          <w:sz w:val="24"/>
          <w:szCs w:val="24"/>
        </w:rPr>
      </w:pPr>
      <w:r>
        <w:rPr>
          <w:sz w:val="24"/>
          <w:szCs w:val="24"/>
        </w:rPr>
        <w:t>Fax: 615-253-1370</w:t>
      </w:r>
    </w:p>
    <w:p w14:paraId="24153D55" w14:textId="5A354FB3" w:rsidR="0051596C" w:rsidRDefault="001C7966" w:rsidP="0051596C">
      <w:pPr>
        <w:spacing w:after="0" w:line="240" w:lineRule="auto"/>
        <w:rPr>
          <w:sz w:val="24"/>
          <w:szCs w:val="24"/>
        </w:rPr>
      </w:pPr>
      <w:hyperlink r:id="rId14" w:history="1">
        <w:r w:rsidR="0051596C" w:rsidRPr="00F95D67">
          <w:rPr>
            <w:rStyle w:val="Hyperlink"/>
            <w:sz w:val="24"/>
            <w:szCs w:val="24"/>
          </w:rPr>
          <w:t>Ben.Katz@tn.gov</w:t>
        </w:r>
      </w:hyperlink>
    </w:p>
    <w:p w14:paraId="404662E0" w14:textId="77777777" w:rsidR="0051596C" w:rsidRDefault="0051596C" w:rsidP="0051596C">
      <w:pPr>
        <w:spacing w:after="0" w:line="240" w:lineRule="auto"/>
        <w:rPr>
          <w:sz w:val="24"/>
          <w:szCs w:val="24"/>
        </w:rPr>
      </w:pPr>
    </w:p>
    <w:p w14:paraId="57B0B3DA" w14:textId="72702AC7" w:rsidR="0051596C" w:rsidRDefault="0051596C" w:rsidP="0051596C">
      <w:pPr>
        <w:spacing w:after="0" w:line="240" w:lineRule="auto"/>
        <w:rPr>
          <w:b/>
          <w:bCs/>
          <w:sz w:val="24"/>
          <w:szCs w:val="24"/>
          <w:u w:val="single"/>
        </w:rPr>
      </w:pPr>
      <w:r>
        <w:rPr>
          <w:b/>
          <w:bCs/>
          <w:sz w:val="24"/>
          <w:szCs w:val="24"/>
          <w:u w:val="single"/>
        </w:rPr>
        <w:t>Cohort Review</w:t>
      </w:r>
    </w:p>
    <w:p w14:paraId="5425F5EC" w14:textId="77777777" w:rsidR="00DB3CAD" w:rsidRDefault="00DB3CAD" w:rsidP="0051596C">
      <w:pPr>
        <w:spacing w:after="0" w:line="240" w:lineRule="auto"/>
        <w:rPr>
          <w:b/>
          <w:bCs/>
          <w:sz w:val="24"/>
          <w:szCs w:val="24"/>
          <w:u w:val="single"/>
        </w:rPr>
      </w:pPr>
    </w:p>
    <w:tbl>
      <w:tblPr>
        <w:tblStyle w:val="TableGrid"/>
        <w:tblW w:w="0" w:type="auto"/>
        <w:tblLook w:val="04A0" w:firstRow="1" w:lastRow="0" w:firstColumn="1" w:lastColumn="0" w:noHBand="0" w:noVBand="1"/>
      </w:tblPr>
      <w:tblGrid>
        <w:gridCol w:w="4854"/>
        <w:gridCol w:w="4496"/>
      </w:tblGrid>
      <w:tr w:rsidR="0051596C" w14:paraId="0C2C747A" w14:textId="77777777" w:rsidTr="0051596C">
        <w:tc>
          <w:tcPr>
            <w:tcW w:w="6475" w:type="dxa"/>
            <w:shd w:val="clear" w:color="auto" w:fill="D9D9D9" w:themeFill="background1" w:themeFillShade="D9"/>
            <w:vAlign w:val="center"/>
          </w:tcPr>
          <w:p w14:paraId="2833B16C" w14:textId="1B3AAC29" w:rsidR="0051596C" w:rsidRPr="0051596C" w:rsidRDefault="0051596C" w:rsidP="0051596C">
            <w:pPr>
              <w:jc w:val="center"/>
              <w:rPr>
                <w:b/>
                <w:bCs/>
                <w:sz w:val="24"/>
                <w:szCs w:val="24"/>
              </w:rPr>
            </w:pPr>
            <w:r w:rsidRPr="0051596C">
              <w:rPr>
                <w:b/>
                <w:bCs/>
                <w:sz w:val="24"/>
                <w:szCs w:val="24"/>
              </w:rPr>
              <w:t>Element</w:t>
            </w:r>
          </w:p>
        </w:tc>
        <w:tc>
          <w:tcPr>
            <w:tcW w:w="6475" w:type="dxa"/>
            <w:shd w:val="clear" w:color="auto" w:fill="D9D9D9" w:themeFill="background1" w:themeFillShade="D9"/>
            <w:vAlign w:val="center"/>
          </w:tcPr>
          <w:p w14:paraId="622A4F2E" w14:textId="3B755AA5" w:rsidR="0051596C" w:rsidRPr="0051596C" w:rsidRDefault="0051596C" w:rsidP="0051596C">
            <w:pPr>
              <w:jc w:val="center"/>
              <w:rPr>
                <w:b/>
                <w:bCs/>
                <w:sz w:val="24"/>
                <w:szCs w:val="24"/>
              </w:rPr>
            </w:pPr>
            <w:r w:rsidRPr="0051596C">
              <w:rPr>
                <w:b/>
                <w:bCs/>
                <w:sz w:val="24"/>
                <w:szCs w:val="24"/>
              </w:rPr>
              <w:t>Progress</w:t>
            </w:r>
          </w:p>
        </w:tc>
      </w:tr>
      <w:tr w:rsidR="0051596C" w14:paraId="7F98D342" w14:textId="77777777" w:rsidTr="0051596C">
        <w:tc>
          <w:tcPr>
            <w:tcW w:w="6475" w:type="dxa"/>
          </w:tcPr>
          <w:p w14:paraId="207D1ADA" w14:textId="4E1FAB99" w:rsidR="0051596C" w:rsidRPr="0051596C" w:rsidRDefault="0051596C" w:rsidP="0051596C">
            <w:pPr>
              <w:rPr>
                <w:sz w:val="24"/>
                <w:szCs w:val="24"/>
              </w:rPr>
            </w:pPr>
            <w:r>
              <w:rPr>
                <w:sz w:val="24"/>
                <w:szCs w:val="24"/>
              </w:rPr>
              <w:t>Date(s) of cohort review(s)</w:t>
            </w:r>
          </w:p>
        </w:tc>
        <w:tc>
          <w:tcPr>
            <w:tcW w:w="6475" w:type="dxa"/>
          </w:tcPr>
          <w:p w14:paraId="7A7BEF50" w14:textId="7315D3F6" w:rsidR="0051596C" w:rsidRPr="00F03F48" w:rsidRDefault="00CC0043" w:rsidP="00CC0043">
            <w:pPr>
              <w:jc w:val="center"/>
              <w:rPr>
                <w:sz w:val="24"/>
                <w:szCs w:val="24"/>
              </w:rPr>
            </w:pPr>
            <w:r>
              <w:rPr>
                <w:sz w:val="24"/>
                <w:szCs w:val="24"/>
              </w:rPr>
              <w:t>April 14, 2021</w:t>
            </w:r>
          </w:p>
        </w:tc>
      </w:tr>
      <w:tr w:rsidR="0051596C" w14:paraId="01203ECE" w14:textId="77777777" w:rsidTr="0051596C">
        <w:tc>
          <w:tcPr>
            <w:tcW w:w="6475" w:type="dxa"/>
          </w:tcPr>
          <w:p w14:paraId="24ED8D47" w14:textId="7438090B" w:rsidR="0051596C" w:rsidRPr="00F03F48" w:rsidRDefault="00F03F48" w:rsidP="0051596C">
            <w:pPr>
              <w:rPr>
                <w:sz w:val="24"/>
                <w:szCs w:val="24"/>
              </w:rPr>
            </w:pPr>
            <w:r>
              <w:rPr>
                <w:sz w:val="24"/>
                <w:szCs w:val="24"/>
              </w:rPr>
              <w:t>Number of cases discussed (per review/total)</w:t>
            </w:r>
          </w:p>
        </w:tc>
        <w:tc>
          <w:tcPr>
            <w:tcW w:w="6475" w:type="dxa"/>
          </w:tcPr>
          <w:p w14:paraId="4851B1D6" w14:textId="2771822C" w:rsidR="0051596C" w:rsidRPr="00F03F48" w:rsidRDefault="00CC0043" w:rsidP="00CC0043">
            <w:pPr>
              <w:jc w:val="center"/>
              <w:rPr>
                <w:sz w:val="24"/>
                <w:szCs w:val="24"/>
              </w:rPr>
            </w:pPr>
            <w:r>
              <w:rPr>
                <w:sz w:val="24"/>
                <w:szCs w:val="24"/>
              </w:rPr>
              <w:t>8</w:t>
            </w:r>
          </w:p>
        </w:tc>
      </w:tr>
      <w:tr w:rsidR="0051596C" w14:paraId="388FCACE" w14:textId="77777777" w:rsidTr="0051596C">
        <w:tc>
          <w:tcPr>
            <w:tcW w:w="6475" w:type="dxa"/>
          </w:tcPr>
          <w:p w14:paraId="4D161311" w14:textId="198D845E" w:rsidR="0051596C" w:rsidRPr="00F03F48" w:rsidRDefault="00F03F48" w:rsidP="0051596C">
            <w:pPr>
              <w:rPr>
                <w:sz w:val="24"/>
                <w:szCs w:val="24"/>
              </w:rPr>
            </w:pPr>
            <w:r>
              <w:rPr>
                <w:sz w:val="24"/>
                <w:szCs w:val="24"/>
              </w:rPr>
              <w:t>Summary of review process</w:t>
            </w:r>
          </w:p>
        </w:tc>
        <w:tc>
          <w:tcPr>
            <w:tcW w:w="6475" w:type="dxa"/>
          </w:tcPr>
          <w:p w14:paraId="62E64FC9" w14:textId="480FEFF0" w:rsidR="0051596C" w:rsidRPr="00F03F48" w:rsidRDefault="00CC0043" w:rsidP="00CC0043">
            <w:pPr>
              <w:jc w:val="center"/>
              <w:rPr>
                <w:sz w:val="24"/>
                <w:szCs w:val="24"/>
              </w:rPr>
            </w:pPr>
            <w:r>
              <w:rPr>
                <w:sz w:val="24"/>
                <w:szCs w:val="24"/>
              </w:rPr>
              <w:t xml:space="preserve">Due to COVID-19, no cohort reviews were held in 2020.  </w:t>
            </w:r>
          </w:p>
        </w:tc>
      </w:tr>
      <w:tr w:rsidR="0051596C" w14:paraId="77B0DAC9" w14:textId="77777777" w:rsidTr="0051596C">
        <w:tc>
          <w:tcPr>
            <w:tcW w:w="6475" w:type="dxa"/>
          </w:tcPr>
          <w:p w14:paraId="7F64132E" w14:textId="3176FE3B" w:rsidR="0051596C" w:rsidRPr="00F03F48" w:rsidRDefault="00F03F48" w:rsidP="0051596C">
            <w:pPr>
              <w:rPr>
                <w:sz w:val="24"/>
                <w:szCs w:val="24"/>
              </w:rPr>
            </w:pPr>
            <w:r>
              <w:rPr>
                <w:sz w:val="24"/>
                <w:szCs w:val="24"/>
              </w:rPr>
              <w:t>Key issues identified and resolved</w:t>
            </w:r>
          </w:p>
        </w:tc>
        <w:tc>
          <w:tcPr>
            <w:tcW w:w="6475" w:type="dxa"/>
          </w:tcPr>
          <w:p w14:paraId="3D40BD74" w14:textId="77777777" w:rsidR="0051596C" w:rsidRPr="00F03F48" w:rsidRDefault="0051596C" w:rsidP="00CC0043">
            <w:pPr>
              <w:jc w:val="center"/>
              <w:rPr>
                <w:sz w:val="24"/>
                <w:szCs w:val="24"/>
              </w:rPr>
            </w:pPr>
          </w:p>
        </w:tc>
      </w:tr>
      <w:tr w:rsidR="00F03F48" w14:paraId="5EB2BDA2" w14:textId="77777777" w:rsidTr="0051596C">
        <w:tc>
          <w:tcPr>
            <w:tcW w:w="6475" w:type="dxa"/>
          </w:tcPr>
          <w:p w14:paraId="77642337" w14:textId="306CB042" w:rsidR="00F03F48" w:rsidRDefault="00F03F48" w:rsidP="0051596C">
            <w:pPr>
              <w:rPr>
                <w:sz w:val="24"/>
                <w:szCs w:val="24"/>
              </w:rPr>
            </w:pPr>
            <w:r>
              <w:rPr>
                <w:sz w:val="24"/>
                <w:szCs w:val="24"/>
              </w:rPr>
              <w:t>Recommendations</w:t>
            </w:r>
          </w:p>
        </w:tc>
        <w:tc>
          <w:tcPr>
            <w:tcW w:w="6475" w:type="dxa"/>
          </w:tcPr>
          <w:p w14:paraId="57A7E2C0" w14:textId="77777777" w:rsidR="00F03F48" w:rsidRPr="00F03F48" w:rsidRDefault="00F03F48" w:rsidP="00CC0043">
            <w:pPr>
              <w:jc w:val="center"/>
              <w:rPr>
                <w:sz w:val="24"/>
                <w:szCs w:val="24"/>
              </w:rPr>
            </w:pPr>
          </w:p>
        </w:tc>
      </w:tr>
      <w:tr w:rsidR="00F03F48" w14:paraId="41FFDFE5" w14:textId="77777777" w:rsidTr="0051596C">
        <w:tc>
          <w:tcPr>
            <w:tcW w:w="6475" w:type="dxa"/>
          </w:tcPr>
          <w:p w14:paraId="082F1B1A" w14:textId="228F262C" w:rsidR="00F03F48" w:rsidRDefault="00F03F48" w:rsidP="0051596C">
            <w:pPr>
              <w:rPr>
                <w:sz w:val="24"/>
                <w:szCs w:val="24"/>
              </w:rPr>
            </w:pPr>
            <w:r>
              <w:rPr>
                <w:sz w:val="24"/>
                <w:szCs w:val="24"/>
              </w:rPr>
              <w:t>New tools or trainings</w:t>
            </w:r>
          </w:p>
        </w:tc>
        <w:tc>
          <w:tcPr>
            <w:tcW w:w="6475" w:type="dxa"/>
          </w:tcPr>
          <w:p w14:paraId="122F7749" w14:textId="77777777" w:rsidR="00F03F48" w:rsidRPr="00F03F48" w:rsidRDefault="00F03F48" w:rsidP="00CC0043">
            <w:pPr>
              <w:jc w:val="center"/>
              <w:rPr>
                <w:sz w:val="24"/>
                <w:szCs w:val="24"/>
              </w:rPr>
            </w:pPr>
          </w:p>
        </w:tc>
      </w:tr>
    </w:tbl>
    <w:p w14:paraId="39C97ACA" w14:textId="42D3F026" w:rsidR="0051596C" w:rsidRPr="0051596C" w:rsidRDefault="0051596C" w:rsidP="0051596C">
      <w:pPr>
        <w:spacing w:after="0" w:line="240" w:lineRule="auto"/>
        <w:rPr>
          <w:b/>
          <w:bCs/>
          <w:sz w:val="24"/>
          <w:szCs w:val="24"/>
        </w:rPr>
        <w:sectPr w:rsidR="0051596C" w:rsidRPr="0051596C" w:rsidSect="00DB3CAD">
          <w:headerReference w:type="default" r:id="rId15"/>
          <w:pgSz w:w="12240" w:h="15840"/>
          <w:pgMar w:top="1440" w:right="1440" w:bottom="1440" w:left="1440" w:header="720" w:footer="720" w:gutter="0"/>
          <w:cols w:space="720"/>
          <w:docGrid w:linePitch="360"/>
        </w:sectPr>
      </w:pPr>
    </w:p>
    <w:p w14:paraId="71F557D6" w14:textId="15A18FA7" w:rsidR="00A00F63" w:rsidRPr="00BB3854" w:rsidRDefault="00A00F63" w:rsidP="00A00F63">
      <w:pPr>
        <w:spacing w:after="0" w:line="240" w:lineRule="auto"/>
        <w:rPr>
          <w:b/>
          <w:sz w:val="24"/>
          <w:szCs w:val="24"/>
          <w:u w:val="single"/>
        </w:rPr>
      </w:pPr>
      <w:r>
        <w:rPr>
          <w:b/>
          <w:sz w:val="24"/>
          <w:szCs w:val="24"/>
          <w:u w:val="single"/>
        </w:rPr>
        <w:t>HUMAN RESOURCE DEVELOPMENT</w:t>
      </w:r>
    </w:p>
    <w:p w14:paraId="38A2021C" w14:textId="01CFA1CB" w:rsidR="00F6320B" w:rsidRDefault="00F6320B" w:rsidP="00A00F63">
      <w:pPr>
        <w:spacing w:after="0" w:line="240" w:lineRule="auto"/>
        <w:rPr>
          <w:sz w:val="24"/>
          <w:szCs w:val="24"/>
          <w:u w:val="single"/>
        </w:rPr>
      </w:pPr>
    </w:p>
    <w:tbl>
      <w:tblPr>
        <w:tblStyle w:val="TableGrid"/>
        <w:tblW w:w="0" w:type="auto"/>
        <w:tblLook w:val="04A0" w:firstRow="1" w:lastRow="0" w:firstColumn="1" w:lastColumn="0" w:noHBand="0" w:noVBand="1"/>
      </w:tblPr>
      <w:tblGrid>
        <w:gridCol w:w="5035"/>
        <w:gridCol w:w="7915"/>
      </w:tblGrid>
      <w:tr w:rsidR="00D93B08" w14:paraId="2B4B3588" w14:textId="77777777" w:rsidTr="00D93B08">
        <w:tc>
          <w:tcPr>
            <w:tcW w:w="5035" w:type="dxa"/>
            <w:shd w:val="clear" w:color="auto" w:fill="D9D9D9" w:themeFill="background1" w:themeFillShade="D9"/>
          </w:tcPr>
          <w:p w14:paraId="64AE3D8B" w14:textId="60A2F67E" w:rsidR="00D93B08" w:rsidRPr="00D93B08" w:rsidRDefault="00D93B08" w:rsidP="00D93B08">
            <w:pPr>
              <w:jc w:val="center"/>
              <w:rPr>
                <w:b/>
                <w:bCs/>
                <w:sz w:val="24"/>
                <w:szCs w:val="24"/>
              </w:rPr>
            </w:pPr>
            <w:r w:rsidRPr="00D93B08">
              <w:rPr>
                <w:b/>
                <w:bCs/>
                <w:sz w:val="24"/>
                <w:szCs w:val="24"/>
              </w:rPr>
              <w:t>Activity</w:t>
            </w:r>
          </w:p>
        </w:tc>
        <w:tc>
          <w:tcPr>
            <w:tcW w:w="7915" w:type="dxa"/>
            <w:shd w:val="clear" w:color="auto" w:fill="D9D9D9" w:themeFill="background1" w:themeFillShade="D9"/>
          </w:tcPr>
          <w:p w14:paraId="0B7BE6A0" w14:textId="2A5A2EAD" w:rsidR="00D93B08" w:rsidRPr="00D93B08" w:rsidRDefault="00D93B08" w:rsidP="00D93B08">
            <w:pPr>
              <w:jc w:val="center"/>
              <w:rPr>
                <w:b/>
                <w:bCs/>
                <w:sz w:val="24"/>
                <w:szCs w:val="24"/>
              </w:rPr>
            </w:pPr>
            <w:r>
              <w:rPr>
                <w:b/>
                <w:bCs/>
                <w:sz w:val="24"/>
                <w:szCs w:val="24"/>
              </w:rPr>
              <w:t>Narrative</w:t>
            </w:r>
          </w:p>
        </w:tc>
      </w:tr>
      <w:tr w:rsidR="00D93B08" w14:paraId="41FE552F" w14:textId="77777777" w:rsidTr="00B334CA">
        <w:tc>
          <w:tcPr>
            <w:tcW w:w="5035" w:type="dxa"/>
            <w:vAlign w:val="center"/>
          </w:tcPr>
          <w:p w14:paraId="7F517F17" w14:textId="2CF945DA" w:rsidR="00D93B08" w:rsidRPr="00D93B08" w:rsidRDefault="00D93B08" w:rsidP="00B334CA">
            <w:pPr>
              <w:rPr>
                <w:sz w:val="24"/>
                <w:szCs w:val="24"/>
              </w:rPr>
            </w:pPr>
            <w:r>
              <w:rPr>
                <w:sz w:val="24"/>
                <w:szCs w:val="24"/>
              </w:rPr>
              <w:t>Description of use of HRD funds</w:t>
            </w:r>
          </w:p>
        </w:tc>
        <w:tc>
          <w:tcPr>
            <w:tcW w:w="7915" w:type="dxa"/>
          </w:tcPr>
          <w:p w14:paraId="748589A4" w14:textId="5E10B0C9" w:rsidR="00D93B08" w:rsidRPr="00D93B08" w:rsidRDefault="00B334CA" w:rsidP="00A00F63">
            <w:pPr>
              <w:rPr>
                <w:sz w:val="24"/>
                <w:szCs w:val="24"/>
              </w:rPr>
            </w:pPr>
            <w:r>
              <w:rPr>
                <w:sz w:val="24"/>
                <w:szCs w:val="24"/>
              </w:rPr>
              <w:t xml:space="preserve">For budget period 2020, planned uses of HRD funding included: annual statewide conference, travel and lodging for National TB conference, travel and lodging for regional staff to attend the Program Managers course, travel and lodging for the TB ETN/PEN conference, and travel for one regional TB program staff to attend the Comprehensive Clinical Course hosted by the Southeastern National TB Center (SNTC).  </w:t>
            </w:r>
            <w:r w:rsidR="006673C1">
              <w:rPr>
                <w:sz w:val="24"/>
                <w:szCs w:val="24"/>
              </w:rPr>
              <w:t>The Tennessee TB program did not hold a statewide annual conference.  In addition, the National TB Conference was virtual, therefore no HRD funds were used for travel and lodging to this conference.  During 2020, one regional TB clinician attended the SNTC Comprehensive Clinical Course virtually (no funding was needed for travel and lodging).  HRD funds for budget period 2020 were used to purchase registration for the virtual National TB Conference ($1,075).  In addition, funds during this budget period were used for registration</w:t>
            </w:r>
            <w:r w:rsidR="00300B57">
              <w:rPr>
                <w:sz w:val="24"/>
                <w:szCs w:val="24"/>
              </w:rPr>
              <w:t xml:space="preserve"> ($750)</w:t>
            </w:r>
            <w:r w:rsidR="006673C1">
              <w:rPr>
                <w:sz w:val="24"/>
                <w:szCs w:val="24"/>
              </w:rPr>
              <w:t xml:space="preserve"> for the TB program medical director to attend The Union-North America Region (NAR) conference.  At the time of this report, no HRD budget period 2021 has been spent.</w:t>
            </w:r>
          </w:p>
        </w:tc>
      </w:tr>
      <w:tr w:rsidR="00D93B08" w14:paraId="325097AA" w14:textId="77777777" w:rsidTr="00B334CA">
        <w:tc>
          <w:tcPr>
            <w:tcW w:w="5035" w:type="dxa"/>
            <w:vAlign w:val="center"/>
          </w:tcPr>
          <w:p w14:paraId="5516C89C" w14:textId="5479DDF2" w:rsidR="00D93B08" w:rsidRPr="00D93B08" w:rsidRDefault="00D93B08" w:rsidP="00B334CA">
            <w:pPr>
              <w:rPr>
                <w:sz w:val="24"/>
                <w:szCs w:val="24"/>
              </w:rPr>
            </w:pPr>
            <w:r>
              <w:rPr>
                <w:sz w:val="24"/>
                <w:szCs w:val="24"/>
              </w:rPr>
              <w:t>Training courses provide</w:t>
            </w:r>
            <w:r w:rsidR="00A430AF">
              <w:rPr>
                <w:sz w:val="24"/>
                <w:szCs w:val="24"/>
              </w:rPr>
              <w:t>d</w:t>
            </w:r>
          </w:p>
        </w:tc>
        <w:tc>
          <w:tcPr>
            <w:tcW w:w="7915" w:type="dxa"/>
          </w:tcPr>
          <w:p w14:paraId="6E3E0A40" w14:textId="77777777" w:rsidR="008A1DC8" w:rsidRDefault="008A1DC8" w:rsidP="00A00F63">
            <w:pPr>
              <w:rPr>
                <w:sz w:val="24"/>
                <w:szCs w:val="24"/>
              </w:rPr>
            </w:pPr>
            <w:r>
              <w:rPr>
                <w:sz w:val="24"/>
                <w:szCs w:val="24"/>
              </w:rPr>
              <w:t>The Tennessee TB Elimination program held the following trainings:</w:t>
            </w:r>
          </w:p>
          <w:p w14:paraId="611080B8" w14:textId="5D1C1DA8" w:rsidR="00D93B08" w:rsidRDefault="008A1DC8" w:rsidP="00A00F63">
            <w:pPr>
              <w:rPr>
                <w:sz w:val="24"/>
                <w:szCs w:val="24"/>
              </w:rPr>
            </w:pPr>
            <w:r>
              <w:rPr>
                <w:sz w:val="24"/>
                <w:szCs w:val="24"/>
              </w:rPr>
              <w:t>2020:</w:t>
            </w:r>
          </w:p>
          <w:p w14:paraId="1AAA8FDF" w14:textId="0D4394D8" w:rsidR="008A1DC8" w:rsidRPr="008A1DC8" w:rsidRDefault="008A1DC8" w:rsidP="008A1DC8">
            <w:pPr>
              <w:pStyle w:val="ListParagraph"/>
              <w:numPr>
                <w:ilvl w:val="0"/>
                <w:numId w:val="42"/>
              </w:numPr>
              <w:rPr>
                <w:sz w:val="24"/>
                <w:szCs w:val="24"/>
              </w:rPr>
            </w:pPr>
            <w:r>
              <w:rPr>
                <w:sz w:val="24"/>
                <w:szCs w:val="24"/>
              </w:rPr>
              <w:t>NEDSS-based system (NBS) training for new TB staff</w:t>
            </w:r>
          </w:p>
          <w:p w14:paraId="634D0EE6" w14:textId="77777777" w:rsidR="008A1DC8" w:rsidRDefault="008A1DC8" w:rsidP="00A00F63">
            <w:pPr>
              <w:rPr>
                <w:sz w:val="24"/>
                <w:szCs w:val="24"/>
              </w:rPr>
            </w:pPr>
            <w:r>
              <w:rPr>
                <w:sz w:val="24"/>
                <w:szCs w:val="24"/>
              </w:rPr>
              <w:t>2021:</w:t>
            </w:r>
          </w:p>
          <w:p w14:paraId="79DCEB01" w14:textId="77777777" w:rsidR="008A1DC8" w:rsidRDefault="008A1DC8" w:rsidP="008A1DC8">
            <w:pPr>
              <w:pStyle w:val="ListParagraph"/>
              <w:numPr>
                <w:ilvl w:val="0"/>
                <w:numId w:val="42"/>
              </w:numPr>
              <w:rPr>
                <w:sz w:val="24"/>
                <w:szCs w:val="24"/>
              </w:rPr>
            </w:pPr>
            <w:r>
              <w:rPr>
                <w:sz w:val="24"/>
                <w:szCs w:val="24"/>
              </w:rPr>
              <w:t>New ARPE form training for regional TB staff</w:t>
            </w:r>
          </w:p>
          <w:p w14:paraId="76E53EFD" w14:textId="77777777" w:rsidR="008A1DC8" w:rsidRDefault="008A1DC8" w:rsidP="008A1DC8">
            <w:pPr>
              <w:pStyle w:val="ListParagraph"/>
              <w:numPr>
                <w:ilvl w:val="0"/>
                <w:numId w:val="42"/>
              </w:numPr>
              <w:rPr>
                <w:sz w:val="24"/>
                <w:szCs w:val="24"/>
              </w:rPr>
            </w:pPr>
            <w:r>
              <w:rPr>
                <w:sz w:val="24"/>
                <w:szCs w:val="24"/>
              </w:rPr>
              <w:t>New TB case manager training</w:t>
            </w:r>
          </w:p>
          <w:p w14:paraId="661AEF06" w14:textId="07833477" w:rsidR="008A1DC8" w:rsidRPr="008A1DC8" w:rsidRDefault="008A1DC8" w:rsidP="008A1DC8">
            <w:pPr>
              <w:pStyle w:val="ListParagraph"/>
              <w:numPr>
                <w:ilvl w:val="0"/>
                <w:numId w:val="42"/>
              </w:numPr>
              <w:rPr>
                <w:sz w:val="24"/>
                <w:szCs w:val="24"/>
              </w:rPr>
            </w:pPr>
            <w:r>
              <w:rPr>
                <w:sz w:val="24"/>
                <w:szCs w:val="24"/>
              </w:rPr>
              <w:t>ARPE training for Ohio TB program staff</w:t>
            </w:r>
          </w:p>
        </w:tc>
      </w:tr>
      <w:tr w:rsidR="00D93B08" w14:paraId="7A366F44" w14:textId="77777777" w:rsidTr="00B334CA">
        <w:tc>
          <w:tcPr>
            <w:tcW w:w="5035" w:type="dxa"/>
            <w:vAlign w:val="center"/>
          </w:tcPr>
          <w:p w14:paraId="58D73078" w14:textId="27C69B1D" w:rsidR="00D93B08" w:rsidRPr="00D93B08" w:rsidRDefault="00D93B08" w:rsidP="00B334CA">
            <w:pPr>
              <w:rPr>
                <w:sz w:val="24"/>
                <w:szCs w:val="24"/>
              </w:rPr>
            </w:pPr>
            <w:r>
              <w:rPr>
                <w:sz w:val="24"/>
                <w:szCs w:val="24"/>
              </w:rPr>
              <w:t>Training courses attended</w:t>
            </w:r>
          </w:p>
        </w:tc>
        <w:tc>
          <w:tcPr>
            <w:tcW w:w="7915" w:type="dxa"/>
          </w:tcPr>
          <w:p w14:paraId="16A43740" w14:textId="77777777" w:rsidR="00D93B08" w:rsidRDefault="00A430AF" w:rsidP="00A00F63">
            <w:pPr>
              <w:rPr>
                <w:sz w:val="24"/>
                <w:szCs w:val="24"/>
              </w:rPr>
            </w:pPr>
            <w:r>
              <w:rPr>
                <w:sz w:val="24"/>
                <w:szCs w:val="24"/>
              </w:rPr>
              <w:t>2020: 30 training events were attended by 91 state and regional TB staff</w:t>
            </w:r>
          </w:p>
          <w:p w14:paraId="526B5205" w14:textId="2D690F49" w:rsidR="00A430AF" w:rsidRPr="00D93B08" w:rsidRDefault="00A430AF" w:rsidP="00A00F63">
            <w:pPr>
              <w:rPr>
                <w:sz w:val="24"/>
                <w:szCs w:val="24"/>
              </w:rPr>
            </w:pPr>
            <w:r>
              <w:rPr>
                <w:sz w:val="24"/>
                <w:szCs w:val="24"/>
              </w:rPr>
              <w:t xml:space="preserve">2021: </w:t>
            </w:r>
            <w:r w:rsidR="009E631F">
              <w:rPr>
                <w:sz w:val="24"/>
                <w:szCs w:val="24"/>
              </w:rPr>
              <w:t>21 training events were attended by 124 state and regional TB staff</w:t>
            </w:r>
          </w:p>
        </w:tc>
      </w:tr>
      <w:tr w:rsidR="00D93B08" w14:paraId="39C7DD2E" w14:textId="77777777" w:rsidTr="00B334CA">
        <w:tc>
          <w:tcPr>
            <w:tcW w:w="5035" w:type="dxa"/>
            <w:vAlign w:val="center"/>
          </w:tcPr>
          <w:p w14:paraId="155781A9" w14:textId="0F651846" w:rsidR="00D93B08" w:rsidRPr="00D93B08" w:rsidRDefault="00D93B08" w:rsidP="00B334CA">
            <w:pPr>
              <w:rPr>
                <w:sz w:val="24"/>
                <w:szCs w:val="24"/>
              </w:rPr>
            </w:pPr>
            <w:r>
              <w:rPr>
                <w:sz w:val="24"/>
                <w:szCs w:val="24"/>
              </w:rPr>
              <w:t>Educational resources purchased or leased</w:t>
            </w:r>
          </w:p>
        </w:tc>
        <w:tc>
          <w:tcPr>
            <w:tcW w:w="7915" w:type="dxa"/>
          </w:tcPr>
          <w:p w14:paraId="5915F0E8" w14:textId="2874B234" w:rsidR="00D93B08" w:rsidRPr="00D93B08" w:rsidRDefault="009E631F" w:rsidP="00A00F63">
            <w:pPr>
              <w:rPr>
                <w:sz w:val="24"/>
                <w:szCs w:val="24"/>
              </w:rPr>
            </w:pPr>
            <w:r>
              <w:rPr>
                <w:sz w:val="24"/>
                <w:szCs w:val="24"/>
              </w:rPr>
              <w:t>Seventh Edition 2021 “Core Curriculum on Tuberculosis: What the Clinician Should Know” manuals were ordered free of charge and provided to each regional TB program and central office staff; “Radiographic Manifestations of Tuberculosis” 2</w:t>
            </w:r>
            <w:r w:rsidRPr="009E631F">
              <w:rPr>
                <w:sz w:val="24"/>
                <w:szCs w:val="24"/>
                <w:vertAlign w:val="superscript"/>
              </w:rPr>
              <w:t>nd</w:t>
            </w:r>
            <w:r>
              <w:rPr>
                <w:sz w:val="24"/>
                <w:szCs w:val="24"/>
              </w:rPr>
              <w:t xml:space="preserve"> edition from Curry International Center (free of charge) were ordered and sent to each regional TB program.  </w:t>
            </w:r>
          </w:p>
        </w:tc>
      </w:tr>
      <w:tr w:rsidR="00D93B08" w14:paraId="2556E8C5" w14:textId="77777777" w:rsidTr="00B334CA">
        <w:tc>
          <w:tcPr>
            <w:tcW w:w="5035" w:type="dxa"/>
            <w:vAlign w:val="center"/>
          </w:tcPr>
          <w:p w14:paraId="6E5DDCE8" w14:textId="28B4B04C" w:rsidR="00D93B08" w:rsidRDefault="00D93B08" w:rsidP="00B334CA">
            <w:pPr>
              <w:rPr>
                <w:sz w:val="24"/>
                <w:szCs w:val="24"/>
              </w:rPr>
            </w:pPr>
            <w:r>
              <w:rPr>
                <w:sz w:val="24"/>
                <w:szCs w:val="24"/>
              </w:rPr>
              <w:t>Educational materials developed</w:t>
            </w:r>
          </w:p>
        </w:tc>
        <w:tc>
          <w:tcPr>
            <w:tcW w:w="7915" w:type="dxa"/>
          </w:tcPr>
          <w:p w14:paraId="21F0937D" w14:textId="552C33E7" w:rsidR="00D93B08" w:rsidRPr="00CF2E39" w:rsidRDefault="00CF2E39" w:rsidP="00CF2E39">
            <w:pPr>
              <w:pStyle w:val="ListParagraph"/>
              <w:numPr>
                <w:ilvl w:val="0"/>
                <w:numId w:val="37"/>
              </w:numPr>
              <w:ind w:left="346"/>
              <w:rPr>
                <w:sz w:val="24"/>
                <w:szCs w:val="24"/>
              </w:rPr>
            </w:pPr>
            <w:r>
              <w:rPr>
                <w:sz w:val="24"/>
                <w:szCs w:val="24"/>
              </w:rPr>
              <w:t>Tennessee TB Elimination Program emocha</w:t>
            </w:r>
            <w:r>
              <w:rPr>
                <w:rFonts w:cstheme="minorHAnsi"/>
                <w:sz w:val="24"/>
                <w:szCs w:val="24"/>
                <w:vertAlign w:val="superscript"/>
              </w:rPr>
              <w:t>®</w:t>
            </w:r>
            <w:r>
              <w:rPr>
                <w:sz w:val="24"/>
                <w:szCs w:val="24"/>
              </w:rPr>
              <w:t xml:space="preserve"> User Guide </w:t>
            </w:r>
          </w:p>
        </w:tc>
      </w:tr>
      <w:tr w:rsidR="00D93B08" w14:paraId="78B7243D" w14:textId="77777777" w:rsidTr="00B334CA">
        <w:tc>
          <w:tcPr>
            <w:tcW w:w="5035" w:type="dxa"/>
            <w:vAlign w:val="center"/>
          </w:tcPr>
          <w:p w14:paraId="5F21B24E" w14:textId="6F7F0DC3" w:rsidR="00D93B08" w:rsidRDefault="00D93B08" w:rsidP="00B334CA">
            <w:pPr>
              <w:rPr>
                <w:sz w:val="24"/>
                <w:szCs w:val="24"/>
              </w:rPr>
            </w:pPr>
            <w:r>
              <w:rPr>
                <w:sz w:val="24"/>
                <w:szCs w:val="24"/>
              </w:rPr>
              <w:t>Description of collaboration with partners, such as those serving high-risk populations</w:t>
            </w:r>
          </w:p>
        </w:tc>
        <w:tc>
          <w:tcPr>
            <w:tcW w:w="7915" w:type="dxa"/>
          </w:tcPr>
          <w:p w14:paraId="2AC23D51" w14:textId="77777777" w:rsidR="00D93B08" w:rsidRPr="00D93B08" w:rsidRDefault="00D93B08" w:rsidP="00A00F63">
            <w:pPr>
              <w:rPr>
                <w:sz w:val="24"/>
                <w:szCs w:val="24"/>
              </w:rPr>
            </w:pPr>
          </w:p>
        </w:tc>
      </w:tr>
      <w:tr w:rsidR="00D93B08" w14:paraId="1F82EE92" w14:textId="77777777" w:rsidTr="00B334CA">
        <w:tc>
          <w:tcPr>
            <w:tcW w:w="5035" w:type="dxa"/>
            <w:vAlign w:val="center"/>
          </w:tcPr>
          <w:p w14:paraId="68ADDDEE" w14:textId="40E9E170" w:rsidR="00D93B08" w:rsidRDefault="00D93B08" w:rsidP="00B334CA">
            <w:pPr>
              <w:rPr>
                <w:sz w:val="24"/>
                <w:szCs w:val="24"/>
              </w:rPr>
            </w:pPr>
            <w:r>
              <w:rPr>
                <w:sz w:val="24"/>
                <w:szCs w:val="24"/>
              </w:rPr>
              <w:t>Attendance at TB ETN conference and focal point meeting</w:t>
            </w:r>
          </w:p>
        </w:tc>
        <w:tc>
          <w:tcPr>
            <w:tcW w:w="7915" w:type="dxa"/>
          </w:tcPr>
          <w:p w14:paraId="7127D0D2" w14:textId="327C39B0" w:rsidR="00D93B08" w:rsidRPr="00D93B08" w:rsidRDefault="008A1DC8" w:rsidP="00A00F63">
            <w:pPr>
              <w:rPr>
                <w:sz w:val="24"/>
                <w:szCs w:val="24"/>
              </w:rPr>
            </w:pPr>
            <w:r>
              <w:rPr>
                <w:sz w:val="24"/>
                <w:szCs w:val="24"/>
              </w:rPr>
              <w:t>There was no TB ETN conference held during 2020.</w:t>
            </w:r>
          </w:p>
        </w:tc>
      </w:tr>
      <w:tr w:rsidR="00D93B08" w14:paraId="6691888C" w14:textId="77777777" w:rsidTr="00B334CA">
        <w:tc>
          <w:tcPr>
            <w:tcW w:w="5035" w:type="dxa"/>
            <w:vAlign w:val="center"/>
          </w:tcPr>
          <w:p w14:paraId="7BA26642" w14:textId="7AEBE53B" w:rsidR="00D93B08" w:rsidRDefault="00D93B08" w:rsidP="00B334CA">
            <w:pPr>
              <w:rPr>
                <w:sz w:val="24"/>
                <w:szCs w:val="24"/>
              </w:rPr>
            </w:pPr>
            <w:r>
              <w:rPr>
                <w:sz w:val="24"/>
                <w:szCs w:val="24"/>
              </w:rPr>
              <w:t>Salary for training and education personnel</w:t>
            </w:r>
          </w:p>
        </w:tc>
        <w:tc>
          <w:tcPr>
            <w:tcW w:w="7915" w:type="dxa"/>
          </w:tcPr>
          <w:p w14:paraId="2039DAF4" w14:textId="4FCA339D" w:rsidR="00D93B08" w:rsidRPr="00D93B08" w:rsidRDefault="006673C1" w:rsidP="00A00F63">
            <w:pPr>
              <w:rPr>
                <w:sz w:val="24"/>
                <w:szCs w:val="24"/>
              </w:rPr>
            </w:pPr>
            <w:r>
              <w:rPr>
                <w:sz w:val="24"/>
                <w:szCs w:val="24"/>
              </w:rPr>
              <w:t>The salary for the Tennessee TB Elimination Program’s Education and Training focal point is supported by state funding</w:t>
            </w:r>
          </w:p>
        </w:tc>
      </w:tr>
    </w:tbl>
    <w:p w14:paraId="157E9DB9" w14:textId="10648AAF" w:rsidR="00D93B08" w:rsidRDefault="00D93B08" w:rsidP="00A00F63">
      <w:pPr>
        <w:spacing w:after="0" w:line="240" w:lineRule="auto"/>
        <w:rPr>
          <w:sz w:val="24"/>
          <w:szCs w:val="24"/>
          <w:u w:val="single"/>
        </w:rPr>
      </w:pPr>
    </w:p>
    <w:p w14:paraId="7C29133E" w14:textId="4EB21CEB" w:rsidR="00DB3CAD" w:rsidRDefault="00DB3CAD" w:rsidP="00A00F63">
      <w:pPr>
        <w:spacing w:after="0" w:line="240" w:lineRule="auto"/>
        <w:rPr>
          <w:sz w:val="24"/>
          <w:szCs w:val="24"/>
          <w:u w:val="single"/>
        </w:rPr>
      </w:pPr>
      <w:r>
        <w:rPr>
          <w:sz w:val="24"/>
          <w:szCs w:val="24"/>
          <w:u w:val="single"/>
        </w:rPr>
        <w:t>HRD Work Plan</w:t>
      </w:r>
    </w:p>
    <w:p w14:paraId="220C3AAA" w14:textId="2A58FA5F" w:rsidR="00DB3CAD" w:rsidRDefault="00DB3CAD" w:rsidP="00A00F63">
      <w:pPr>
        <w:spacing w:after="0" w:line="240" w:lineRule="auto"/>
        <w:rPr>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DB3CAD" w14:paraId="7A0D4A29" w14:textId="77777777" w:rsidTr="00DB3CAD">
        <w:tc>
          <w:tcPr>
            <w:tcW w:w="12950" w:type="dxa"/>
            <w:gridSpan w:val="5"/>
            <w:shd w:val="clear" w:color="auto" w:fill="D9D9D9" w:themeFill="background1" w:themeFillShade="D9"/>
          </w:tcPr>
          <w:p w14:paraId="3B886166" w14:textId="46A8557B" w:rsidR="00DB3CAD" w:rsidRPr="00DB3CAD" w:rsidRDefault="00DB3CAD" w:rsidP="00A00F63">
            <w:pPr>
              <w:rPr>
                <w:b/>
                <w:bCs/>
                <w:sz w:val="24"/>
                <w:szCs w:val="24"/>
              </w:rPr>
            </w:pPr>
            <w:r>
              <w:rPr>
                <w:b/>
                <w:bCs/>
                <w:sz w:val="24"/>
                <w:szCs w:val="24"/>
              </w:rPr>
              <w:t xml:space="preserve">Strategy </w:t>
            </w:r>
            <w:r w:rsidR="00AA1AA9">
              <w:rPr>
                <w:b/>
                <w:bCs/>
                <w:sz w:val="24"/>
                <w:szCs w:val="24"/>
              </w:rPr>
              <w:t>5</w:t>
            </w:r>
            <w:r>
              <w:rPr>
                <w:b/>
                <w:bCs/>
                <w:sz w:val="24"/>
                <w:szCs w:val="24"/>
              </w:rPr>
              <w:t>: Human Resource Development (HRD)</w:t>
            </w:r>
          </w:p>
        </w:tc>
      </w:tr>
      <w:tr w:rsidR="00DB3CAD" w14:paraId="58CF1905" w14:textId="77777777" w:rsidTr="00DB3CAD">
        <w:tc>
          <w:tcPr>
            <w:tcW w:w="5180" w:type="dxa"/>
            <w:gridSpan w:val="2"/>
            <w:shd w:val="clear" w:color="auto" w:fill="F2F2F2" w:themeFill="background1" w:themeFillShade="F2"/>
            <w:vAlign w:val="center"/>
          </w:tcPr>
          <w:p w14:paraId="2337F462" w14:textId="0109DDE7" w:rsidR="00DB3CAD" w:rsidRPr="00DB3CAD" w:rsidRDefault="00DB3CAD" w:rsidP="00DB3CAD">
            <w:pPr>
              <w:jc w:val="center"/>
              <w:rPr>
                <w:b/>
                <w:bCs/>
                <w:sz w:val="24"/>
                <w:szCs w:val="24"/>
              </w:rPr>
            </w:pPr>
            <w:r>
              <w:rPr>
                <w:b/>
                <w:bCs/>
                <w:sz w:val="24"/>
                <w:szCs w:val="24"/>
              </w:rPr>
              <w:t>Related Outcomes</w:t>
            </w:r>
          </w:p>
        </w:tc>
        <w:tc>
          <w:tcPr>
            <w:tcW w:w="7770" w:type="dxa"/>
            <w:gridSpan w:val="3"/>
            <w:shd w:val="clear" w:color="auto" w:fill="F2F2F2" w:themeFill="background1" w:themeFillShade="F2"/>
            <w:vAlign w:val="center"/>
          </w:tcPr>
          <w:p w14:paraId="6B3E8707" w14:textId="3D108057" w:rsidR="00DB3CAD" w:rsidRPr="00DB3CAD" w:rsidRDefault="00DB3CAD" w:rsidP="00DB3CAD">
            <w:pPr>
              <w:jc w:val="center"/>
              <w:rPr>
                <w:b/>
                <w:bCs/>
                <w:sz w:val="24"/>
                <w:szCs w:val="24"/>
              </w:rPr>
            </w:pPr>
            <w:r>
              <w:rPr>
                <w:b/>
                <w:bCs/>
                <w:sz w:val="24"/>
                <w:szCs w:val="24"/>
              </w:rPr>
              <w:t>Measures of Success</w:t>
            </w:r>
          </w:p>
        </w:tc>
      </w:tr>
      <w:tr w:rsidR="00DB3CAD" w14:paraId="51F34C86" w14:textId="77777777" w:rsidTr="00DB3CAD">
        <w:tc>
          <w:tcPr>
            <w:tcW w:w="5180" w:type="dxa"/>
            <w:gridSpan w:val="2"/>
          </w:tcPr>
          <w:p w14:paraId="3A243CFB" w14:textId="1D437C50" w:rsidR="00DB3CAD" w:rsidRPr="00DB3CAD" w:rsidRDefault="00DB3CAD" w:rsidP="00A00F63">
            <w:pPr>
              <w:rPr>
                <w:sz w:val="24"/>
                <w:szCs w:val="24"/>
              </w:rPr>
            </w:pPr>
            <w:r>
              <w:rPr>
                <w:sz w:val="24"/>
                <w:szCs w:val="24"/>
                <w:u w:val="single"/>
              </w:rPr>
              <w:t>Increase</w:t>
            </w:r>
            <w:r>
              <w:rPr>
                <w:sz w:val="24"/>
                <w:szCs w:val="24"/>
              </w:rPr>
              <w:t xml:space="preserve"> in: (1) availability/accessibility of competency-based education; (2) awareness and use of HRD resources; (3) awareness of TB among patients, providers, and community; (4) capacity to diagnose/treat high-risk populations with TB infection (TBI)</w:t>
            </w:r>
          </w:p>
        </w:tc>
        <w:tc>
          <w:tcPr>
            <w:tcW w:w="7770" w:type="dxa"/>
            <w:gridSpan w:val="3"/>
            <w:vAlign w:val="center"/>
          </w:tcPr>
          <w:p w14:paraId="2CCBA89A" w14:textId="77777777" w:rsidR="00DB3CAD" w:rsidRDefault="00DB3CAD" w:rsidP="00DB3CAD">
            <w:pPr>
              <w:pStyle w:val="ListParagraph"/>
              <w:numPr>
                <w:ilvl w:val="0"/>
                <w:numId w:val="43"/>
              </w:numPr>
              <w:ind w:left="376"/>
              <w:rPr>
                <w:sz w:val="24"/>
                <w:szCs w:val="24"/>
              </w:rPr>
            </w:pPr>
            <w:r>
              <w:rPr>
                <w:sz w:val="24"/>
                <w:szCs w:val="24"/>
              </w:rPr>
              <w:t>Number of training sessions held</w:t>
            </w:r>
          </w:p>
          <w:p w14:paraId="1C21A63E" w14:textId="76635F88" w:rsidR="00DB3CAD" w:rsidRPr="00DB3CAD" w:rsidRDefault="00DB3CAD" w:rsidP="00DB3CAD">
            <w:pPr>
              <w:pStyle w:val="ListParagraph"/>
              <w:numPr>
                <w:ilvl w:val="0"/>
                <w:numId w:val="43"/>
              </w:numPr>
              <w:ind w:left="376"/>
              <w:rPr>
                <w:sz w:val="24"/>
                <w:szCs w:val="24"/>
              </w:rPr>
            </w:pPr>
            <w:r>
              <w:rPr>
                <w:sz w:val="24"/>
                <w:szCs w:val="24"/>
              </w:rPr>
              <w:t>Number of trainings attended</w:t>
            </w:r>
          </w:p>
        </w:tc>
      </w:tr>
      <w:tr w:rsidR="00DB3CAD" w14:paraId="33E6B554" w14:textId="77777777" w:rsidTr="006E0132">
        <w:tc>
          <w:tcPr>
            <w:tcW w:w="2590" w:type="dxa"/>
            <w:shd w:val="clear" w:color="auto" w:fill="F2F2F2" w:themeFill="background1" w:themeFillShade="F2"/>
            <w:vAlign w:val="center"/>
          </w:tcPr>
          <w:p w14:paraId="7DCB8CC3" w14:textId="32EAC7E8" w:rsidR="00DB3CAD" w:rsidRPr="006E0132" w:rsidRDefault="006E0132" w:rsidP="006E0132">
            <w:pPr>
              <w:jc w:val="center"/>
              <w:rPr>
                <w:b/>
                <w:bCs/>
                <w:sz w:val="24"/>
                <w:szCs w:val="24"/>
              </w:rPr>
            </w:pPr>
            <w:r>
              <w:rPr>
                <w:b/>
                <w:bCs/>
                <w:sz w:val="24"/>
                <w:szCs w:val="24"/>
              </w:rPr>
              <w:t>Objectives</w:t>
            </w:r>
          </w:p>
        </w:tc>
        <w:tc>
          <w:tcPr>
            <w:tcW w:w="2590" w:type="dxa"/>
            <w:shd w:val="clear" w:color="auto" w:fill="F2F2F2" w:themeFill="background1" w:themeFillShade="F2"/>
            <w:vAlign w:val="center"/>
          </w:tcPr>
          <w:p w14:paraId="04E41E1D" w14:textId="7E56FE30" w:rsidR="00DB3CAD" w:rsidRPr="006E0132" w:rsidRDefault="006E0132" w:rsidP="006E0132">
            <w:pPr>
              <w:jc w:val="center"/>
              <w:rPr>
                <w:b/>
                <w:bCs/>
                <w:sz w:val="24"/>
                <w:szCs w:val="24"/>
              </w:rPr>
            </w:pPr>
            <w:r>
              <w:rPr>
                <w:b/>
                <w:bCs/>
                <w:sz w:val="24"/>
                <w:szCs w:val="24"/>
              </w:rPr>
              <w:t>Activities</w:t>
            </w:r>
          </w:p>
        </w:tc>
        <w:tc>
          <w:tcPr>
            <w:tcW w:w="2590" w:type="dxa"/>
            <w:shd w:val="clear" w:color="auto" w:fill="F2F2F2" w:themeFill="background1" w:themeFillShade="F2"/>
            <w:vAlign w:val="center"/>
          </w:tcPr>
          <w:p w14:paraId="3E63E905" w14:textId="4E46A7CD" w:rsidR="00DB3CAD" w:rsidRPr="006E0132" w:rsidRDefault="006E0132" w:rsidP="006E0132">
            <w:pPr>
              <w:jc w:val="center"/>
              <w:rPr>
                <w:b/>
                <w:bCs/>
                <w:sz w:val="24"/>
                <w:szCs w:val="24"/>
              </w:rPr>
            </w:pPr>
            <w:r>
              <w:rPr>
                <w:b/>
                <w:bCs/>
                <w:sz w:val="24"/>
                <w:szCs w:val="24"/>
              </w:rPr>
              <w:t>Timeline</w:t>
            </w:r>
          </w:p>
        </w:tc>
        <w:tc>
          <w:tcPr>
            <w:tcW w:w="2590" w:type="dxa"/>
            <w:shd w:val="clear" w:color="auto" w:fill="F2F2F2" w:themeFill="background1" w:themeFillShade="F2"/>
            <w:vAlign w:val="center"/>
          </w:tcPr>
          <w:p w14:paraId="19EF3E49" w14:textId="39D789B0" w:rsidR="00DB3CAD" w:rsidRPr="006E0132" w:rsidRDefault="006E0132" w:rsidP="006E0132">
            <w:pPr>
              <w:jc w:val="center"/>
              <w:rPr>
                <w:b/>
                <w:bCs/>
                <w:sz w:val="24"/>
                <w:szCs w:val="24"/>
              </w:rPr>
            </w:pPr>
            <w:r>
              <w:rPr>
                <w:b/>
                <w:bCs/>
                <w:sz w:val="24"/>
                <w:szCs w:val="24"/>
              </w:rPr>
              <w:t>Successes</w:t>
            </w:r>
          </w:p>
        </w:tc>
        <w:tc>
          <w:tcPr>
            <w:tcW w:w="2590" w:type="dxa"/>
            <w:shd w:val="clear" w:color="auto" w:fill="F2F2F2" w:themeFill="background1" w:themeFillShade="F2"/>
            <w:vAlign w:val="center"/>
          </w:tcPr>
          <w:p w14:paraId="0A35255A" w14:textId="380213B2" w:rsidR="00DB3CAD" w:rsidRPr="006E0132" w:rsidRDefault="006E0132" w:rsidP="006E0132">
            <w:pPr>
              <w:jc w:val="center"/>
              <w:rPr>
                <w:b/>
                <w:bCs/>
                <w:sz w:val="24"/>
                <w:szCs w:val="24"/>
              </w:rPr>
            </w:pPr>
            <w:r>
              <w:rPr>
                <w:b/>
                <w:bCs/>
                <w:sz w:val="24"/>
                <w:szCs w:val="24"/>
              </w:rPr>
              <w:t>Barriers</w:t>
            </w:r>
          </w:p>
        </w:tc>
      </w:tr>
      <w:tr w:rsidR="00DB3CAD" w14:paraId="40F66F17" w14:textId="77777777" w:rsidTr="006E0132">
        <w:tc>
          <w:tcPr>
            <w:tcW w:w="2590" w:type="dxa"/>
            <w:vAlign w:val="center"/>
          </w:tcPr>
          <w:p w14:paraId="34C723DE" w14:textId="6897B4E0" w:rsidR="00DB3CAD" w:rsidRDefault="006E0132" w:rsidP="006E0132">
            <w:pPr>
              <w:rPr>
                <w:sz w:val="24"/>
                <w:szCs w:val="24"/>
              </w:rPr>
            </w:pPr>
            <w:r>
              <w:rPr>
                <w:sz w:val="24"/>
                <w:szCs w:val="24"/>
              </w:rPr>
              <w:t>Designate a staff member to serve as TB education and training focal point</w:t>
            </w:r>
          </w:p>
        </w:tc>
        <w:tc>
          <w:tcPr>
            <w:tcW w:w="2590" w:type="dxa"/>
          </w:tcPr>
          <w:p w14:paraId="56B7D902" w14:textId="2A5AD571" w:rsidR="00DB3CAD" w:rsidRPr="006E0132" w:rsidRDefault="006E0132" w:rsidP="00A00F63">
            <w:pPr>
              <w:rPr>
                <w:sz w:val="24"/>
                <w:szCs w:val="24"/>
              </w:rPr>
            </w:pPr>
            <w:r>
              <w:rPr>
                <w:sz w:val="24"/>
                <w:szCs w:val="24"/>
              </w:rPr>
              <w:t>Identify staff member to serve as TB education and training focal point.  Include education and training activities in staff’s individual performance plan (IPP)</w:t>
            </w:r>
            <w:r w:rsidR="00D70204">
              <w:rPr>
                <w:sz w:val="24"/>
                <w:szCs w:val="24"/>
              </w:rPr>
              <w:t xml:space="preserve"> with focused action steps</w:t>
            </w:r>
            <w:r>
              <w:rPr>
                <w:sz w:val="24"/>
                <w:szCs w:val="24"/>
              </w:rPr>
              <w:t xml:space="preserve"> </w:t>
            </w:r>
            <w:r w:rsidRPr="006E0132">
              <w:rPr>
                <w:b/>
                <w:bCs/>
                <w:sz w:val="24"/>
                <w:szCs w:val="24"/>
              </w:rPr>
              <w:t>(new)</w:t>
            </w:r>
          </w:p>
        </w:tc>
        <w:tc>
          <w:tcPr>
            <w:tcW w:w="2590" w:type="dxa"/>
            <w:vAlign w:val="center"/>
          </w:tcPr>
          <w:p w14:paraId="660D0800" w14:textId="2724E8BC" w:rsidR="00DB3CAD" w:rsidRDefault="006E0132" w:rsidP="006E0132">
            <w:pPr>
              <w:jc w:val="center"/>
              <w:rPr>
                <w:sz w:val="24"/>
                <w:szCs w:val="24"/>
              </w:rPr>
            </w:pPr>
            <w:r>
              <w:rPr>
                <w:sz w:val="24"/>
                <w:szCs w:val="24"/>
              </w:rPr>
              <w:t>Annually</w:t>
            </w:r>
          </w:p>
        </w:tc>
        <w:tc>
          <w:tcPr>
            <w:tcW w:w="2590" w:type="dxa"/>
          </w:tcPr>
          <w:p w14:paraId="1CF8E5E2" w14:textId="1FE2428E" w:rsidR="00DB3CAD" w:rsidRDefault="006E0132" w:rsidP="00A00F63">
            <w:pPr>
              <w:rPr>
                <w:sz w:val="24"/>
                <w:szCs w:val="24"/>
              </w:rPr>
            </w:pPr>
            <w:r>
              <w:rPr>
                <w:sz w:val="24"/>
                <w:szCs w:val="24"/>
              </w:rPr>
              <w:t>Trudy Stein-Hart, epidemiologist, has served in the role of TB education and training focal point for the TB program for several years.  A work outcome statement has been added to Trudy Stein-Hart’s IPP stating, “Serve as the Education and Training Network (ETN) focal point as required by the Centers for Disease Control and Prevention (CDC) Division of TB Elimination (DTBE) Cooperative Agreement.</w:t>
            </w:r>
          </w:p>
        </w:tc>
        <w:tc>
          <w:tcPr>
            <w:tcW w:w="2590" w:type="dxa"/>
          </w:tcPr>
          <w:p w14:paraId="1397C893" w14:textId="2066CB1F" w:rsidR="00DB3CAD" w:rsidRDefault="006E0132" w:rsidP="00A00F63">
            <w:pPr>
              <w:rPr>
                <w:sz w:val="24"/>
                <w:szCs w:val="24"/>
              </w:rPr>
            </w:pPr>
            <w:r>
              <w:rPr>
                <w:sz w:val="24"/>
                <w:szCs w:val="24"/>
              </w:rPr>
              <w:t xml:space="preserve">Due to COVID-19 and several training and education opportunities that were planned by the TB program and would have involved extensive work for the education and training focal point were cancelled. </w:t>
            </w:r>
          </w:p>
        </w:tc>
      </w:tr>
      <w:tr w:rsidR="00DF44C0" w14:paraId="410240B8" w14:textId="77777777" w:rsidTr="00AA598C">
        <w:tc>
          <w:tcPr>
            <w:tcW w:w="2590" w:type="dxa"/>
            <w:vAlign w:val="center"/>
          </w:tcPr>
          <w:p w14:paraId="354B6E9A" w14:textId="1B891F4B" w:rsidR="00DF44C0" w:rsidRDefault="00DF44C0" w:rsidP="006E0132">
            <w:pPr>
              <w:rPr>
                <w:sz w:val="24"/>
                <w:szCs w:val="24"/>
              </w:rPr>
            </w:pPr>
            <w:r>
              <w:rPr>
                <w:sz w:val="24"/>
                <w:szCs w:val="24"/>
              </w:rPr>
              <w:t>Register focal point as a member of TB Education and Training Network (TB ETN)</w:t>
            </w:r>
          </w:p>
        </w:tc>
        <w:tc>
          <w:tcPr>
            <w:tcW w:w="2590" w:type="dxa"/>
            <w:vAlign w:val="center"/>
          </w:tcPr>
          <w:p w14:paraId="29DED9D2" w14:textId="4224D2FF" w:rsidR="00DF44C0" w:rsidRDefault="00AA598C" w:rsidP="00AA598C">
            <w:pPr>
              <w:rPr>
                <w:sz w:val="24"/>
                <w:szCs w:val="24"/>
              </w:rPr>
            </w:pPr>
            <w:r>
              <w:rPr>
                <w:sz w:val="24"/>
                <w:szCs w:val="24"/>
              </w:rPr>
              <w:t>TB ETN membership form completed and returned to CDC</w:t>
            </w:r>
          </w:p>
        </w:tc>
        <w:tc>
          <w:tcPr>
            <w:tcW w:w="2590" w:type="dxa"/>
            <w:vAlign w:val="center"/>
          </w:tcPr>
          <w:p w14:paraId="655718E4" w14:textId="7883458F" w:rsidR="00DF44C0" w:rsidRDefault="00AA598C" w:rsidP="006E0132">
            <w:pPr>
              <w:jc w:val="center"/>
              <w:rPr>
                <w:sz w:val="24"/>
                <w:szCs w:val="24"/>
              </w:rPr>
            </w:pPr>
            <w:r>
              <w:rPr>
                <w:sz w:val="24"/>
                <w:szCs w:val="24"/>
              </w:rPr>
              <w:t>Annually</w:t>
            </w:r>
          </w:p>
        </w:tc>
        <w:tc>
          <w:tcPr>
            <w:tcW w:w="2590" w:type="dxa"/>
            <w:vAlign w:val="center"/>
          </w:tcPr>
          <w:p w14:paraId="5962C73B" w14:textId="27EDAFA4" w:rsidR="00DF44C0" w:rsidRDefault="00AA598C" w:rsidP="00AA598C">
            <w:pPr>
              <w:rPr>
                <w:sz w:val="24"/>
                <w:szCs w:val="24"/>
              </w:rPr>
            </w:pPr>
            <w:r>
              <w:rPr>
                <w:sz w:val="24"/>
                <w:szCs w:val="24"/>
              </w:rPr>
              <w:t>Trudy Stein-Hart is currently a member of TB ETN</w:t>
            </w:r>
          </w:p>
        </w:tc>
        <w:tc>
          <w:tcPr>
            <w:tcW w:w="2590" w:type="dxa"/>
            <w:vAlign w:val="center"/>
          </w:tcPr>
          <w:p w14:paraId="3D820B8F" w14:textId="4E1EF09E" w:rsidR="00DF44C0" w:rsidRDefault="00AA598C" w:rsidP="00AA598C">
            <w:pPr>
              <w:rPr>
                <w:sz w:val="24"/>
                <w:szCs w:val="24"/>
              </w:rPr>
            </w:pPr>
            <w:r>
              <w:rPr>
                <w:sz w:val="24"/>
                <w:szCs w:val="24"/>
              </w:rPr>
              <w:t>None identified</w:t>
            </w:r>
          </w:p>
        </w:tc>
      </w:tr>
      <w:tr w:rsidR="005C19B7" w14:paraId="4368D972" w14:textId="77777777" w:rsidTr="00AA598C">
        <w:tc>
          <w:tcPr>
            <w:tcW w:w="2590" w:type="dxa"/>
            <w:vAlign w:val="center"/>
          </w:tcPr>
          <w:p w14:paraId="1CC36AE5" w14:textId="77392351" w:rsidR="005C19B7" w:rsidRDefault="005C19B7" w:rsidP="006E0132">
            <w:pPr>
              <w:rPr>
                <w:sz w:val="24"/>
                <w:szCs w:val="24"/>
              </w:rPr>
            </w:pPr>
            <w:r>
              <w:rPr>
                <w:sz w:val="24"/>
                <w:szCs w:val="24"/>
              </w:rPr>
              <w:t>Identify Centers of Excellence (CoE) training opportunities and disseminate to state, region, and local TB staff</w:t>
            </w:r>
          </w:p>
        </w:tc>
        <w:tc>
          <w:tcPr>
            <w:tcW w:w="2590" w:type="dxa"/>
            <w:vAlign w:val="center"/>
          </w:tcPr>
          <w:p w14:paraId="6B748254" w14:textId="77777777" w:rsidR="005C19B7" w:rsidRDefault="005C19B7" w:rsidP="005C19B7">
            <w:pPr>
              <w:pStyle w:val="ListParagraph"/>
              <w:numPr>
                <w:ilvl w:val="0"/>
                <w:numId w:val="44"/>
              </w:numPr>
              <w:ind w:left="361"/>
              <w:rPr>
                <w:sz w:val="24"/>
                <w:szCs w:val="24"/>
              </w:rPr>
            </w:pPr>
            <w:r>
              <w:rPr>
                <w:sz w:val="24"/>
                <w:szCs w:val="24"/>
              </w:rPr>
              <w:t>Sign-up for CoE newsletter and training announcements</w:t>
            </w:r>
          </w:p>
          <w:p w14:paraId="0FE8992D" w14:textId="44B0185D" w:rsidR="005C19B7" w:rsidRPr="005C19B7" w:rsidRDefault="005C19B7" w:rsidP="005C19B7">
            <w:pPr>
              <w:pStyle w:val="ListParagraph"/>
              <w:numPr>
                <w:ilvl w:val="0"/>
                <w:numId w:val="44"/>
              </w:numPr>
              <w:ind w:left="361"/>
              <w:rPr>
                <w:sz w:val="24"/>
                <w:szCs w:val="24"/>
              </w:rPr>
            </w:pPr>
            <w:r>
              <w:rPr>
                <w:sz w:val="24"/>
                <w:szCs w:val="24"/>
              </w:rPr>
              <w:t xml:space="preserve">Monitor CoE website for calendar of education and training opportunities </w:t>
            </w:r>
            <w:r>
              <w:rPr>
                <w:b/>
                <w:bCs/>
                <w:sz w:val="24"/>
                <w:szCs w:val="24"/>
              </w:rPr>
              <w:t>(new)</w:t>
            </w:r>
          </w:p>
        </w:tc>
        <w:tc>
          <w:tcPr>
            <w:tcW w:w="2590" w:type="dxa"/>
            <w:vAlign w:val="center"/>
          </w:tcPr>
          <w:p w14:paraId="69491FD9" w14:textId="7FD37FC0" w:rsidR="005C19B7" w:rsidRDefault="00D53B12" w:rsidP="006E0132">
            <w:pPr>
              <w:jc w:val="center"/>
              <w:rPr>
                <w:sz w:val="24"/>
                <w:szCs w:val="24"/>
              </w:rPr>
            </w:pPr>
            <w:r>
              <w:rPr>
                <w:sz w:val="24"/>
                <w:szCs w:val="24"/>
              </w:rPr>
              <w:t>Monthly</w:t>
            </w:r>
          </w:p>
        </w:tc>
        <w:tc>
          <w:tcPr>
            <w:tcW w:w="2590" w:type="dxa"/>
            <w:vAlign w:val="center"/>
          </w:tcPr>
          <w:p w14:paraId="2C5406B2" w14:textId="77777777" w:rsidR="005C19B7" w:rsidRDefault="00D53B12" w:rsidP="00D53B12">
            <w:pPr>
              <w:pStyle w:val="ListParagraph"/>
              <w:numPr>
                <w:ilvl w:val="0"/>
                <w:numId w:val="45"/>
              </w:numPr>
              <w:ind w:left="301"/>
              <w:rPr>
                <w:sz w:val="24"/>
                <w:szCs w:val="24"/>
              </w:rPr>
            </w:pPr>
            <w:r w:rsidRPr="00D53B12">
              <w:rPr>
                <w:sz w:val="24"/>
                <w:szCs w:val="24"/>
              </w:rPr>
              <w:t>Both the TB program manager and TB education and training focal point receive the Southeastern National TB Center (regional CoE for Tennessee) newsletter and training announcements</w:t>
            </w:r>
          </w:p>
          <w:p w14:paraId="3557B321" w14:textId="605B5767" w:rsidR="00D53B12" w:rsidRPr="00D53B12" w:rsidRDefault="00D53B12" w:rsidP="00D53B12">
            <w:pPr>
              <w:pStyle w:val="ListParagraph"/>
              <w:numPr>
                <w:ilvl w:val="0"/>
                <w:numId w:val="45"/>
              </w:numPr>
              <w:ind w:left="301"/>
              <w:rPr>
                <w:sz w:val="24"/>
                <w:szCs w:val="24"/>
              </w:rPr>
            </w:pPr>
            <w:r>
              <w:rPr>
                <w:sz w:val="24"/>
                <w:szCs w:val="24"/>
              </w:rPr>
              <w:t>In 2020, seven (7) CoE trainings were attended by 21 state and regional TB staff.  Between January 1 – June 30, 2021, six (6) CoE trainings were attended by 15 state and regional TB staff</w:t>
            </w:r>
          </w:p>
        </w:tc>
        <w:tc>
          <w:tcPr>
            <w:tcW w:w="2590" w:type="dxa"/>
            <w:vAlign w:val="center"/>
          </w:tcPr>
          <w:p w14:paraId="007FD707" w14:textId="77777777" w:rsidR="005C19B7" w:rsidRDefault="005C19B7" w:rsidP="00AA598C">
            <w:pPr>
              <w:rPr>
                <w:sz w:val="24"/>
                <w:szCs w:val="24"/>
              </w:rPr>
            </w:pPr>
          </w:p>
        </w:tc>
      </w:tr>
      <w:tr w:rsidR="00D53B12" w14:paraId="0F670298" w14:textId="77777777" w:rsidTr="00AA598C">
        <w:tc>
          <w:tcPr>
            <w:tcW w:w="2590" w:type="dxa"/>
            <w:vAlign w:val="center"/>
          </w:tcPr>
          <w:p w14:paraId="7462089F" w14:textId="48E8F6AA" w:rsidR="00D53B12" w:rsidRDefault="00D53B12" w:rsidP="006E0132">
            <w:pPr>
              <w:rPr>
                <w:sz w:val="24"/>
                <w:szCs w:val="24"/>
              </w:rPr>
            </w:pPr>
            <w:r>
              <w:rPr>
                <w:sz w:val="24"/>
                <w:szCs w:val="24"/>
              </w:rPr>
              <w:t xml:space="preserve">Establish </w:t>
            </w:r>
            <w:r w:rsidR="009C692A">
              <w:rPr>
                <w:sz w:val="24"/>
                <w:szCs w:val="24"/>
              </w:rPr>
              <w:t>partnerships with organizations that serve high-risk populations</w:t>
            </w:r>
          </w:p>
        </w:tc>
        <w:tc>
          <w:tcPr>
            <w:tcW w:w="2590" w:type="dxa"/>
            <w:vAlign w:val="center"/>
          </w:tcPr>
          <w:p w14:paraId="6FF1B3DF" w14:textId="3BDAAA92" w:rsidR="00D53B12" w:rsidRPr="00D53B12" w:rsidRDefault="00A82F47" w:rsidP="00D53B12">
            <w:pPr>
              <w:rPr>
                <w:sz w:val="24"/>
                <w:szCs w:val="24"/>
              </w:rPr>
            </w:pPr>
            <w:r>
              <w:rPr>
                <w:sz w:val="24"/>
                <w:szCs w:val="24"/>
              </w:rPr>
              <w:t>Ensure implementation of Community Partnerships to End TB (CPETB) initiative</w:t>
            </w:r>
          </w:p>
        </w:tc>
        <w:tc>
          <w:tcPr>
            <w:tcW w:w="2590" w:type="dxa"/>
            <w:vAlign w:val="center"/>
          </w:tcPr>
          <w:p w14:paraId="268E5272" w14:textId="0F0AB21B" w:rsidR="00D53B12" w:rsidRPr="00A82F47" w:rsidRDefault="00A82F47" w:rsidP="006E0132">
            <w:pPr>
              <w:jc w:val="center"/>
              <w:rPr>
                <w:b/>
                <w:bCs/>
                <w:sz w:val="24"/>
                <w:szCs w:val="24"/>
              </w:rPr>
            </w:pPr>
            <w:r>
              <w:rPr>
                <w:sz w:val="24"/>
                <w:szCs w:val="24"/>
              </w:rPr>
              <w:t xml:space="preserve">December 31, 2022 </w:t>
            </w:r>
            <w:r>
              <w:rPr>
                <w:b/>
                <w:bCs/>
                <w:sz w:val="24"/>
                <w:szCs w:val="24"/>
              </w:rPr>
              <w:t>(new)</w:t>
            </w:r>
          </w:p>
        </w:tc>
        <w:tc>
          <w:tcPr>
            <w:tcW w:w="2590" w:type="dxa"/>
            <w:vAlign w:val="center"/>
          </w:tcPr>
          <w:p w14:paraId="62CDE58E" w14:textId="77777777" w:rsidR="00D53B12" w:rsidRDefault="00A82F47" w:rsidP="00D53B12">
            <w:pPr>
              <w:rPr>
                <w:sz w:val="24"/>
                <w:szCs w:val="24"/>
              </w:rPr>
            </w:pPr>
            <w:r>
              <w:rPr>
                <w:sz w:val="24"/>
                <w:szCs w:val="24"/>
              </w:rPr>
              <w:t>June 10, 2021: survey sent to all regional TB program managers to assess feasibility of resuming CPETB initiative</w:t>
            </w:r>
          </w:p>
          <w:p w14:paraId="3CFDB090" w14:textId="6A1698AD" w:rsidR="00A82F47" w:rsidRPr="00D53B12" w:rsidRDefault="00A82F47" w:rsidP="00D53B12">
            <w:pPr>
              <w:rPr>
                <w:sz w:val="24"/>
                <w:szCs w:val="24"/>
              </w:rPr>
            </w:pPr>
            <w:r>
              <w:rPr>
                <w:sz w:val="24"/>
                <w:szCs w:val="24"/>
              </w:rPr>
              <w:t>June 17, 2021: statewide TB call held to discuss results of survey and reintroduce initiative; most TB programs indicated initiative implementation was feasible beginning in 2022</w:t>
            </w:r>
          </w:p>
        </w:tc>
        <w:tc>
          <w:tcPr>
            <w:tcW w:w="2590" w:type="dxa"/>
            <w:vAlign w:val="center"/>
          </w:tcPr>
          <w:p w14:paraId="6B24484D" w14:textId="77777777" w:rsidR="00D53B12" w:rsidRDefault="00A82F47" w:rsidP="00AA598C">
            <w:pPr>
              <w:rPr>
                <w:sz w:val="24"/>
                <w:szCs w:val="24"/>
              </w:rPr>
            </w:pPr>
            <w:r>
              <w:rPr>
                <w:sz w:val="24"/>
                <w:szCs w:val="24"/>
              </w:rPr>
              <w:t>Barriers identified from the 6/10/21 survey of regional case managers include:</w:t>
            </w:r>
          </w:p>
          <w:p w14:paraId="1FA722A2" w14:textId="7AC7888E" w:rsidR="00A82F47" w:rsidRDefault="00A82F47" w:rsidP="00A82F47">
            <w:pPr>
              <w:pStyle w:val="ListParagraph"/>
              <w:numPr>
                <w:ilvl w:val="0"/>
                <w:numId w:val="46"/>
              </w:numPr>
              <w:ind w:left="331"/>
              <w:rPr>
                <w:sz w:val="24"/>
                <w:szCs w:val="24"/>
              </w:rPr>
            </w:pPr>
            <w:r>
              <w:rPr>
                <w:sz w:val="24"/>
                <w:szCs w:val="24"/>
              </w:rPr>
              <w:t>regional TB program staffing and ability to effectively implement initiative</w:t>
            </w:r>
          </w:p>
          <w:p w14:paraId="29327263" w14:textId="77777777" w:rsidR="00A82F47" w:rsidRDefault="00A82F47" w:rsidP="00A82F47">
            <w:pPr>
              <w:pStyle w:val="ListParagraph"/>
              <w:numPr>
                <w:ilvl w:val="0"/>
                <w:numId w:val="46"/>
              </w:numPr>
              <w:ind w:left="331"/>
              <w:rPr>
                <w:sz w:val="24"/>
                <w:szCs w:val="24"/>
              </w:rPr>
            </w:pPr>
            <w:r>
              <w:rPr>
                <w:sz w:val="24"/>
                <w:szCs w:val="24"/>
              </w:rPr>
              <w:t>COVID-19 uncertainty</w:t>
            </w:r>
          </w:p>
          <w:p w14:paraId="2AA51F84" w14:textId="38710D29" w:rsidR="00A82F47" w:rsidRDefault="00A82F47" w:rsidP="00A82F47">
            <w:pPr>
              <w:pStyle w:val="ListParagraph"/>
              <w:numPr>
                <w:ilvl w:val="0"/>
                <w:numId w:val="46"/>
              </w:numPr>
              <w:ind w:left="331"/>
              <w:rPr>
                <w:sz w:val="24"/>
                <w:szCs w:val="24"/>
              </w:rPr>
            </w:pPr>
            <w:r>
              <w:rPr>
                <w:sz w:val="24"/>
                <w:szCs w:val="24"/>
              </w:rPr>
              <w:t>scheduling</w:t>
            </w:r>
          </w:p>
          <w:p w14:paraId="6B6B5349" w14:textId="3B1A103F" w:rsidR="00A82F47" w:rsidRPr="00A82F47" w:rsidRDefault="00A82F47" w:rsidP="00A82F47">
            <w:pPr>
              <w:pStyle w:val="ListParagraph"/>
              <w:numPr>
                <w:ilvl w:val="0"/>
                <w:numId w:val="46"/>
              </w:numPr>
              <w:ind w:left="331"/>
              <w:rPr>
                <w:sz w:val="24"/>
                <w:szCs w:val="24"/>
              </w:rPr>
            </w:pPr>
            <w:r>
              <w:rPr>
                <w:sz w:val="24"/>
                <w:szCs w:val="24"/>
              </w:rPr>
              <w:t>cooperation from community partners</w:t>
            </w:r>
          </w:p>
        </w:tc>
      </w:tr>
      <w:tr w:rsidR="009C692A" w14:paraId="42D9A07A" w14:textId="77777777" w:rsidTr="00AA598C">
        <w:tc>
          <w:tcPr>
            <w:tcW w:w="2590" w:type="dxa"/>
            <w:vAlign w:val="center"/>
          </w:tcPr>
          <w:p w14:paraId="57EB486A" w14:textId="59DFF96D" w:rsidR="009C692A" w:rsidRDefault="009C692A" w:rsidP="006E0132">
            <w:pPr>
              <w:rPr>
                <w:sz w:val="24"/>
                <w:szCs w:val="24"/>
              </w:rPr>
            </w:pPr>
            <w:r>
              <w:rPr>
                <w:sz w:val="24"/>
                <w:szCs w:val="24"/>
              </w:rPr>
              <w:t>Hold bi-monthly statewide conference calls with 100% regional attendance</w:t>
            </w:r>
          </w:p>
        </w:tc>
        <w:tc>
          <w:tcPr>
            <w:tcW w:w="2590" w:type="dxa"/>
            <w:vAlign w:val="center"/>
          </w:tcPr>
          <w:p w14:paraId="44BA261E" w14:textId="77777777" w:rsidR="009C692A" w:rsidRDefault="00F1777E" w:rsidP="00F1777E">
            <w:pPr>
              <w:pStyle w:val="ListParagraph"/>
              <w:numPr>
                <w:ilvl w:val="0"/>
                <w:numId w:val="47"/>
              </w:numPr>
              <w:ind w:left="361"/>
              <w:rPr>
                <w:sz w:val="24"/>
                <w:szCs w:val="24"/>
              </w:rPr>
            </w:pPr>
            <w:r>
              <w:rPr>
                <w:sz w:val="24"/>
                <w:szCs w:val="24"/>
              </w:rPr>
              <w:t>Provide conference call calendar</w:t>
            </w:r>
          </w:p>
          <w:p w14:paraId="7D91A202" w14:textId="77777777" w:rsidR="00F1777E" w:rsidRDefault="00F1777E" w:rsidP="00F1777E">
            <w:pPr>
              <w:pStyle w:val="ListParagraph"/>
              <w:numPr>
                <w:ilvl w:val="0"/>
                <w:numId w:val="47"/>
              </w:numPr>
              <w:ind w:left="361"/>
              <w:rPr>
                <w:sz w:val="24"/>
                <w:szCs w:val="24"/>
              </w:rPr>
            </w:pPr>
            <w:r>
              <w:rPr>
                <w:sz w:val="24"/>
                <w:szCs w:val="24"/>
              </w:rPr>
              <w:t>Create and send calendar invites</w:t>
            </w:r>
          </w:p>
          <w:p w14:paraId="7846023D" w14:textId="0709DCCC" w:rsidR="00F1777E" w:rsidRPr="00F1777E" w:rsidRDefault="00F1777E" w:rsidP="00F1777E">
            <w:pPr>
              <w:pStyle w:val="ListParagraph"/>
              <w:numPr>
                <w:ilvl w:val="0"/>
                <w:numId w:val="47"/>
              </w:numPr>
              <w:ind w:left="361"/>
              <w:rPr>
                <w:sz w:val="24"/>
                <w:szCs w:val="24"/>
              </w:rPr>
            </w:pPr>
            <w:r>
              <w:rPr>
                <w:sz w:val="24"/>
                <w:szCs w:val="24"/>
              </w:rPr>
              <w:t>Develop agenda and materials for each call</w:t>
            </w:r>
          </w:p>
        </w:tc>
        <w:tc>
          <w:tcPr>
            <w:tcW w:w="2590" w:type="dxa"/>
            <w:vAlign w:val="center"/>
          </w:tcPr>
          <w:p w14:paraId="30D0E867" w14:textId="50390810" w:rsidR="009C692A" w:rsidRDefault="00F1777E" w:rsidP="006E0132">
            <w:pPr>
              <w:jc w:val="center"/>
              <w:rPr>
                <w:sz w:val="24"/>
                <w:szCs w:val="24"/>
              </w:rPr>
            </w:pPr>
            <w:r>
              <w:rPr>
                <w:sz w:val="24"/>
                <w:szCs w:val="24"/>
              </w:rPr>
              <w:t>Bi-monthly</w:t>
            </w:r>
          </w:p>
        </w:tc>
        <w:tc>
          <w:tcPr>
            <w:tcW w:w="2590" w:type="dxa"/>
            <w:vAlign w:val="center"/>
          </w:tcPr>
          <w:p w14:paraId="59709633" w14:textId="7A30BB54" w:rsidR="009C692A" w:rsidRPr="00D53B12" w:rsidRDefault="00F1777E" w:rsidP="00D53B12">
            <w:pPr>
              <w:rPr>
                <w:sz w:val="24"/>
                <w:szCs w:val="24"/>
              </w:rPr>
            </w:pPr>
            <w:r>
              <w:rPr>
                <w:sz w:val="24"/>
                <w:szCs w:val="24"/>
              </w:rPr>
              <w:t>The conference call held in June 2021 was the first statewide call since the beginning of COVID-19 that all had 100% regional attendance</w:t>
            </w:r>
          </w:p>
        </w:tc>
        <w:tc>
          <w:tcPr>
            <w:tcW w:w="2590" w:type="dxa"/>
            <w:vAlign w:val="center"/>
          </w:tcPr>
          <w:p w14:paraId="4F3F1A1D" w14:textId="00BE2ED4" w:rsidR="009C692A" w:rsidRDefault="00420614" w:rsidP="00AA598C">
            <w:pPr>
              <w:rPr>
                <w:sz w:val="24"/>
                <w:szCs w:val="24"/>
              </w:rPr>
            </w:pPr>
            <w:r>
              <w:rPr>
                <w:sz w:val="24"/>
                <w:szCs w:val="24"/>
              </w:rPr>
              <w:t>Statewide conference calls were temporarily suspended for the majority of 2020 due to COVID-19; the conference call scheduled resumed in 2021</w:t>
            </w:r>
          </w:p>
        </w:tc>
      </w:tr>
      <w:tr w:rsidR="009C692A" w14:paraId="600E6268" w14:textId="77777777" w:rsidTr="00AA598C">
        <w:tc>
          <w:tcPr>
            <w:tcW w:w="2590" w:type="dxa"/>
            <w:vAlign w:val="center"/>
          </w:tcPr>
          <w:p w14:paraId="66D03DF7" w14:textId="7AF6E0CD" w:rsidR="009C692A" w:rsidRDefault="009C692A" w:rsidP="006E0132">
            <w:pPr>
              <w:rPr>
                <w:sz w:val="24"/>
                <w:szCs w:val="24"/>
              </w:rPr>
            </w:pPr>
            <w:r>
              <w:rPr>
                <w:sz w:val="24"/>
                <w:szCs w:val="24"/>
              </w:rPr>
              <w:t>Plan and present a clinical symposium</w:t>
            </w:r>
          </w:p>
        </w:tc>
        <w:tc>
          <w:tcPr>
            <w:tcW w:w="2590" w:type="dxa"/>
            <w:vAlign w:val="center"/>
          </w:tcPr>
          <w:p w14:paraId="3341AB6F" w14:textId="77777777" w:rsidR="009C692A" w:rsidRDefault="00420614" w:rsidP="00420614">
            <w:pPr>
              <w:pStyle w:val="ListParagraph"/>
              <w:numPr>
                <w:ilvl w:val="0"/>
                <w:numId w:val="48"/>
              </w:numPr>
              <w:ind w:left="361"/>
              <w:rPr>
                <w:sz w:val="24"/>
                <w:szCs w:val="24"/>
              </w:rPr>
            </w:pPr>
            <w:r w:rsidRPr="00420614">
              <w:rPr>
                <w:sz w:val="24"/>
                <w:szCs w:val="24"/>
              </w:rPr>
              <w:t>Convene a symposium planning committee to develop agenda/content</w:t>
            </w:r>
          </w:p>
          <w:p w14:paraId="15F6207C" w14:textId="77777777" w:rsidR="00420614" w:rsidRDefault="00420614" w:rsidP="00420614">
            <w:pPr>
              <w:pStyle w:val="ListParagraph"/>
              <w:numPr>
                <w:ilvl w:val="0"/>
                <w:numId w:val="48"/>
              </w:numPr>
              <w:ind w:left="361"/>
              <w:rPr>
                <w:sz w:val="24"/>
                <w:szCs w:val="24"/>
              </w:rPr>
            </w:pPr>
            <w:r>
              <w:rPr>
                <w:sz w:val="24"/>
                <w:szCs w:val="24"/>
              </w:rPr>
              <w:t>Identify date(s) and location for the symposium</w:t>
            </w:r>
          </w:p>
          <w:p w14:paraId="5DE612DB" w14:textId="6E4A7614" w:rsidR="00420614" w:rsidRPr="00420614" w:rsidRDefault="00420614" w:rsidP="00420614">
            <w:pPr>
              <w:pStyle w:val="ListParagraph"/>
              <w:numPr>
                <w:ilvl w:val="0"/>
                <w:numId w:val="48"/>
              </w:numPr>
              <w:ind w:left="361"/>
              <w:rPr>
                <w:sz w:val="24"/>
                <w:szCs w:val="24"/>
              </w:rPr>
            </w:pPr>
            <w:r>
              <w:rPr>
                <w:sz w:val="24"/>
                <w:szCs w:val="24"/>
              </w:rPr>
              <w:t>Identify presenters</w:t>
            </w:r>
          </w:p>
        </w:tc>
        <w:tc>
          <w:tcPr>
            <w:tcW w:w="2590" w:type="dxa"/>
            <w:vAlign w:val="center"/>
          </w:tcPr>
          <w:p w14:paraId="5E6E4B80" w14:textId="69512A89" w:rsidR="009C692A" w:rsidRDefault="00420614" w:rsidP="006E0132">
            <w:pPr>
              <w:jc w:val="center"/>
              <w:rPr>
                <w:sz w:val="24"/>
                <w:szCs w:val="24"/>
              </w:rPr>
            </w:pPr>
            <w:r>
              <w:rPr>
                <w:sz w:val="24"/>
                <w:szCs w:val="24"/>
              </w:rPr>
              <w:t>Bi-annually</w:t>
            </w:r>
          </w:p>
        </w:tc>
        <w:tc>
          <w:tcPr>
            <w:tcW w:w="2590" w:type="dxa"/>
            <w:vAlign w:val="center"/>
          </w:tcPr>
          <w:p w14:paraId="48535593" w14:textId="77777777" w:rsidR="009C692A" w:rsidRPr="00D53B12" w:rsidRDefault="009C692A" w:rsidP="00D53B12">
            <w:pPr>
              <w:rPr>
                <w:sz w:val="24"/>
                <w:szCs w:val="24"/>
              </w:rPr>
            </w:pPr>
          </w:p>
        </w:tc>
        <w:tc>
          <w:tcPr>
            <w:tcW w:w="2590" w:type="dxa"/>
            <w:vAlign w:val="center"/>
          </w:tcPr>
          <w:p w14:paraId="4006CDB5" w14:textId="721E6EBE" w:rsidR="009C692A" w:rsidRDefault="00420614" w:rsidP="00AA598C">
            <w:pPr>
              <w:rPr>
                <w:sz w:val="24"/>
                <w:szCs w:val="24"/>
              </w:rPr>
            </w:pPr>
            <w:r>
              <w:rPr>
                <w:sz w:val="24"/>
                <w:szCs w:val="24"/>
              </w:rPr>
              <w:t xml:space="preserve">HRD funds were allocated in 2020 and again in 2021 to conduct a clinical symposium but due to COVID-19, the symposium was postponed </w:t>
            </w:r>
          </w:p>
        </w:tc>
      </w:tr>
      <w:tr w:rsidR="009C692A" w14:paraId="78754076" w14:textId="77777777" w:rsidTr="00AA598C">
        <w:tc>
          <w:tcPr>
            <w:tcW w:w="2590" w:type="dxa"/>
            <w:vAlign w:val="center"/>
          </w:tcPr>
          <w:p w14:paraId="5DEE63E7" w14:textId="22C64038" w:rsidR="009C692A" w:rsidRDefault="009C692A" w:rsidP="006E0132">
            <w:pPr>
              <w:rPr>
                <w:sz w:val="24"/>
                <w:szCs w:val="24"/>
              </w:rPr>
            </w:pPr>
            <w:r>
              <w:rPr>
                <w:sz w:val="24"/>
                <w:szCs w:val="24"/>
              </w:rPr>
              <w:t>Provide quarterly new case manager training</w:t>
            </w:r>
          </w:p>
        </w:tc>
        <w:tc>
          <w:tcPr>
            <w:tcW w:w="2590" w:type="dxa"/>
            <w:vAlign w:val="center"/>
          </w:tcPr>
          <w:p w14:paraId="1D7B8C48" w14:textId="77777777" w:rsidR="009C692A" w:rsidRPr="00D53B12" w:rsidRDefault="009C692A" w:rsidP="00D53B12">
            <w:pPr>
              <w:rPr>
                <w:sz w:val="24"/>
                <w:szCs w:val="24"/>
              </w:rPr>
            </w:pPr>
          </w:p>
        </w:tc>
        <w:tc>
          <w:tcPr>
            <w:tcW w:w="2590" w:type="dxa"/>
            <w:vAlign w:val="center"/>
          </w:tcPr>
          <w:p w14:paraId="27C16732" w14:textId="77777777" w:rsidR="009C692A" w:rsidRDefault="009C692A" w:rsidP="006E0132">
            <w:pPr>
              <w:jc w:val="center"/>
              <w:rPr>
                <w:sz w:val="24"/>
                <w:szCs w:val="24"/>
              </w:rPr>
            </w:pPr>
          </w:p>
        </w:tc>
        <w:tc>
          <w:tcPr>
            <w:tcW w:w="2590" w:type="dxa"/>
            <w:vAlign w:val="center"/>
          </w:tcPr>
          <w:p w14:paraId="437868A4" w14:textId="77777777" w:rsidR="009C692A" w:rsidRDefault="00761AFE" w:rsidP="00D53B12">
            <w:pPr>
              <w:rPr>
                <w:sz w:val="24"/>
                <w:szCs w:val="24"/>
              </w:rPr>
            </w:pPr>
            <w:r>
              <w:rPr>
                <w:sz w:val="24"/>
                <w:szCs w:val="24"/>
              </w:rPr>
              <w:t>2020: no new case manager trainings were held due to the lack of need/demand</w:t>
            </w:r>
          </w:p>
          <w:p w14:paraId="41A0B61E" w14:textId="3EC459D0" w:rsidR="00761AFE" w:rsidRPr="00D53B12" w:rsidRDefault="00761AFE" w:rsidP="00D53B12">
            <w:pPr>
              <w:rPr>
                <w:sz w:val="24"/>
                <w:szCs w:val="24"/>
              </w:rPr>
            </w:pPr>
            <w:r>
              <w:rPr>
                <w:sz w:val="24"/>
                <w:szCs w:val="24"/>
              </w:rPr>
              <w:t>Jan – June 2021: one (1) case manager training was held for one (1) new regional case manager</w:t>
            </w:r>
          </w:p>
        </w:tc>
        <w:tc>
          <w:tcPr>
            <w:tcW w:w="2590" w:type="dxa"/>
            <w:vAlign w:val="center"/>
          </w:tcPr>
          <w:p w14:paraId="4D776547" w14:textId="77777777" w:rsidR="009C692A" w:rsidRDefault="009C692A" w:rsidP="00AA598C">
            <w:pPr>
              <w:rPr>
                <w:sz w:val="24"/>
                <w:szCs w:val="24"/>
              </w:rPr>
            </w:pPr>
          </w:p>
        </w:tc>
      </w:tr>
    </w:tbl>
    <w:p w14:paraId="3289D8C4" w14:textId="77777777" w:rsidR="00DB3CAD" w:rsidRDefault="00DB3CAD" w:rsidP="00A00F63">
      <w:pPr>
        <w:spacing w:after="0" w:line="240" w:lineRule="auto"/>
        <w:rPr>
          <w:sz w:val="24"/>
          <w:szCs w:val="24"/>
        </w:rPr>
      </w:pPr>
    </w:p>
    <w:p w14:paraId="719D7A7D" w14:textId="77777777" w:rsidR="00DB3CAD" w:rsidRDefault="00DB3CAD" w:rsidP="00DB3CAD">
      <w:pPr>
        <w:spacing w:after="0" w:line="240" w:lineRule="auto"/>
        <w:rPr>
          <w:sz w:val="24"/>
          <w:szCs w:val="24"/>
          <w:u w:val="single"/>
        </w:rPr>
      </w:pPr>
      <w:r>
        <w:rPr>
          <w:sz w:val="24"/>
          <w:szCs w:val="24"/>
          <w:u w:val="single"/>
        </w:rPr>
        <w:t>Education and Training Focal Point</w:t>
      </w:r>
    </w:p>
    <w:p w14:paraId="4171121C" w14:textId="77777777" w:rsidR="00DB3CAD" w:rsidRDefault="00DB3CAD" w:rsidP="00DB3CAD">
      <w:pPr>
        <w:spacing w:after="0" w:line="240" w:lineRule="auto"/>
        <w:rPr>
          <w:sz w:val="24"/>
          <w:szCs w:val="24"/>
        </w:rPr>
      </w:pPr>
      <w:r>
        <w:rPr>
          <w:sz w:val="24"/>
          <w:szCs w:val="24"/>
        </w:rPr>
        <w:t>Trudy Stein-Hart, Epidemiologist 2</w:t>
      </w:r>
    </w:p>
    <w:p w14:paraId="29D08A06" w14:textId="77777777" w:rsidR="00DB3CAD" w:rsidRDefault="00DB3CAD" w:rsidP="00DB3CAD">
      <w:pPr>
        <w:spacing w:after="0" w:line="240" w:lineRule="auto"/>
        <w:rPr>
          <w:sz w:val="24"/>
          <w:szCs w:val="24"/>
        </w:rPr>
      </w:pPr>
      <w:r>
        <w:rPr>
          <w:sz w:val="24"/>
          <w:szCs w:val="24"/>
        </w:rPr>
        <w:t>710 James Robertson Parkway, 3</w:t>
      </w:r>
      <w:r w:rsidRPr="0051596C">
        <w:rPr>
          <w:sz w:val="24"/>
          <w:szCs w:val="24"/>
          <w:vertAlign w:val="superscript"/>
        </w:rPr>
        <w:t>rd</w:t>
      </w:r>
      <w:r>
        <w:rPr>
          <w:sz w:val="24"/>
          <w:szCs w:val="24"/>
        </w:rPr>
        <w:t xml:space="preserve"> Floor Andrew Johnson Tower, Nashville, TN 37243</w:t>
      </w:r>
    </w:p>
    <w:p w14:paraId="404BD774" w14:textId="77777777" w:rsidR="00DB3CAD" w:rsidRDefault="00DB3CAD" w:rsidP="00DB3CAD">
      <w:pPr>
        <w:spacing w:after="0" w:line="240" w:lineRule="auto"/>
        <w:rPr>
          <w:sz w:val="24"/>
          <w:szCs w:val="24"/>
        </w:rPr>
      </w:pPr>
      <w:r>
        <w:rPr>
          <w:sz w:val="24"/>
          <w:szCs w:val="24"/>
        </w:rPr>
        <w:t>Ph. 615-532-8505</w:t>
      </w:r>
    </w:p>
    <w:p w14:paraId="38955DB9" w14:textId="77777777" w:rsidR="00DB3CAD" w:rsidRDefault="00DB3CAD" w:rsidP="00DB3CAD">
      <w:pPr>
        <w:spacing w:after="0" w:line="240" w:lineRule="auto"/>
        <w:rPr>
          <w:sz w:val="24"/>
          <w:szCs w:val="24"/>
        </w:rPr>
      </w:pPr>
      <w:r>
        <w:rPr>
          <w:sz w:val="24"/>
          <w:szCs w:val="24"/>
        </w:rPr>
        <w:t>Fax: 615-253-1370</w:t>
      </w:r>
    </w:p>
    <w:p w14:paraId="55396137" w14:textId="77777777" w:rsidR="00DB3CAD" w:rsidRDefault="001C7966" w:rsidP="00DB3CAD">
      <w:pPr>
        <w:spacing w:after="0" w:line="240" w:lineRule="auto"/>
        <w:rPr>
          <w:sz w:val="24"/>
          <w:szCs w:val="24"/>
        </w:rPr>
      </w:pPr>
      <w:hyperlink r:id="rId16" w:history="1">
        <w:r w:rsidR="00DB3CAD" w:rsidRPr="001B2656">
          <w:rPr>
            <w:rStyle w:val="Hyperlink"/>
            <w:sz w:val="24"/>
            <w:szCs w:val="24"/>
          </w:rPr>
          <w:t>Trudy.Stein-Hart@tn.gov</w:t>
        </w:r>
      </w:hyperlink>
      <w:r w:rsidR="00DB3CAD">
        <w:rPr>
          <w:sz w:val="24"/>
          <w:szCs w:val="24"/>
        </w:rPr>
        <w:t xml:space="preserve"> </w:t>
      </w:r>
    </w:p>
    <w:p w14:paraId="1553611C" w14:textId="77777777" w:rsidR="00DB3CAD" w:rsidRPr="0056720D" w:rsidRDefault="00DB3CAD" w:rsidP="00DB3CAD">
      <w:pPr>
        <w:spacing w:after="0" w:line="240" w:lineRule="auto"/>
        <w:rPr>
          <w:sz w:val="24"/>
          <w:szCs w:val="24"/>
        </w:rPr>
        <w:sectPr w:rsidR="00DB3CAD" w:rsidRPr="0056720D" w:rsidSect="0056720D">
          <w:headerReference w:type="default" r:id="rId17"/>
          <w:pgSz w:w="15840" w:h="12240" w:orient="landscape"/>
          <w:pgMar w:top="1440" w:right="1440" w:bottom="1440" w:left="1440" w:header="720" w:footer="720" w:gutter="0"/>
          <w:cols w:space="720"/>
          <w:docGrid w:linePitch="360"/>
        </w:sectPr>
      </w:pPr>
    </w:p>
    <w:p w14:paraId="73F80FF3" w14:textId="71F4EFFD" w:rsidR="00970D36" w:rsidRPr="00970D36" w:rsidRDefault="00837870" w:rsidP="00A00F63">
      <w:pPr>
        <w:spacing w:after="0" w:line="240" w:lineRule="auto"/>
        <w:rPr>
          <w:sz w:val="24"/>
          <w:szCs w:val="24"/>
        </w:rPr>
      </w:pPr>
      <w:r>
        <w:rPr>
          <w:b/>
          <w:sz w:val="24"/>
          <w:szCs w:val="24"/>
          <w:u w:val="single"/>
        </w:rPr>
        <w:t>PUBLIC HEALTH LABORATORY STRENGTHENING</w:t>
      </w:r>
    </w:p>
    <w:sectPr w:rsidR="00970D36" w:rsidRPr="00970D36" w:rsidSect="00AF1F47">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75177" w14:textId="77777777" w:rsidR="005B5B75" w:rsidRDefault="005B5B75" w:rsidP="00281225">
      <w:pPr>
        <w:spacing w:after="0" w:line="240" w:lineRule="auto"/>
      </w:pPr>
      <w:r>
        <w:separator/>
      </w:r>
    </w:p>
  </w:endnote>
  <w:endnote w:type="continuationSeparator" w:id="0">
    <w:p w14:paraId="62E8A9E3" w14:textId="77777777" w:rsidR="005B5B75" w:rsidRDefault="005B5B75" w:rsidP="0028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181589"/>
      <w:docPartObj>
        <w:docPartGallery w:val="Page Numbers (Bottom of Page)"/>
        <w:docPartUnique/>
      </w:docPartObj>
    </w:sdtPr>
    <w:sdtEndPr>
      <w:rPr>
        <w:noProof/>
      </w:rPr>
    </w:sdtEndPr>
    <w:sdtContent>
      <w:p w14:paraId="6CA661A3" w14:textId="084B063F" w:rsidR="00FF4FE5" w:rsidRDefault="00FF4F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F4D345" w14:textId="1FE9EFEF" w:rsidR="00FF4FE5" w:rsidRPr="00A46CA5" w:rsidRDefault="00FF4FE5" w:rsidP="00A46C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B5AA0" w14:textId="77777777" w:rsidR="005B5B75" w:rsidRDefault="005B5B75" w:rsidP="00281225">
      <w:pPr>
        <w:spacing w:after="0" w:line="240" w:lineRule="auto"/>
      </w:pPr>
      <w:r>
        <w:separator/>
      </w:r>
    </w:p>
  </w:footnote>
  <w:footnote w:type="continuationSeparator" w:id="0">
    <w:p w14:paraId="509651F8" w14:textId="77777777" w:rsidR="005B5B75" w:rsidRDefault="005B5B75" w:rsidP="00281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1E35" w14:textId="6514775F" w:rsidR="00FF4FE5" w:rsidRDefault="00FF4FE5" w:rsidP="00025479">
    <w:pPr>
      <w:pStyle w:val="Header"/>
    </w:pPr>
    <w:bookmarkStart w:id="1" w:name="_Hlk75842369"/>
    <w:bookmarkStart w:id="2" w:name="_Hlk75842370"/>
    <w:r>
      <w:t>Tennessee</w:t>
    </w:r>
    <w:r>
      <w:tab/>
    </w:r>
    <w:r>
      <w:tab/>
      <w:t>Annual Performance Report</w:t>
    </w:r>
  </w:p>
  <w:p w14:paraId="5D3474F1" w14:textId="4D615F72" w:rsidR="00FF4FE5" w:rsidRDefault="00FF4FE5" w:rsidP="00025479">
    <w:pPr>
      <w:pStyle w:val="Header"/>
    </w:pPr>
    <w:r>
      <w:t>CDC-RFA-PS20-2001</w:t>
    </w:r>
    <w:r>
      <w:tab/>
    </w:r>
    <w:r>
      <w:tab/>
      <w:t>January 1 – December 31, 2020</w:t>
    </w:r>
  </w:p>
  <w:p w14:paraId="1BEF5E63" w14:textId="624BCF90" w:rsidR="00FF4FE5" w:rsidRPr="00025479" w:rsidRDefault="00FF4FE5" w:rsidP="00025479">
    <w:pPr>
      <w:pStyle w:val="Header"/>
    </w:pPr>
    <w:r>
      <w:tab/>
    </w:r>
    <w:r>
      <w:tab/>
      <w:t xml:space="preserve">January 1 – June 30, 2021 </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8AD9" w14:textId="448694E4" w:rsidR="00FF4FE5" w:rsidRDefault="00FF4FE5" w:rsidP="00400658">
    <w:pPr>
      <w:pStyle w:val="Header"/>
    </w:pPr>
    <w:bookmarkStart w:id="6" w:name="_Hlk75756001"/>
    <w:bookmarkStart w:id="7" w:name="_Hlk75756002"/>
    <w:r>
      <w:t>Tennessee</w:t>
    </w:r>
    <w:r>
      <w:tab/>
    </w:r>
    <w:r>
      <w:tab/>
    </w:r>
    <w:r>
      <w:tab/>
      <w:t xml:space="preserve">      Annual Performance Report</w:t>
    </w:r>
    <w:r>
      <w:tab/>
    </w:r>
  </w:p>
  <w:p w14:paraId="5A2587DD" w14:textId="7CCBB95C" w:rsidR="00FF4FE5" w:rsidRDefault="00FF4FE5" w:rsidP="00400658">
    <w:pPr>
      <w:pStyle w:val="Header"/>
    </w:pPr>
    <w:r>
      <w:t>CDC-RFA-PS20-2001</w:t>
    </w:r>
    <w:r w:rsidRPr="00400658">
      <w:t xml:space="preserve"> </w:t>
    </w:r>
    <w:r>
      <w:tab/>
    </w:r>
    <w:r>
      <w:tab/>
    </w:r>
    <w:r>
      <w:tab/>
      <w:t>January 1 – December 31, 2020</w:t>
    </w:r>
  </w:p>
  <w:p w14:paraId="2E92FEB3" w14:textId="7CD7CB51" w:rsidR="00FF4FE5" w:rsidRPr="00400658" w:rsidRDefault="00FF4FE5" w:rsidP="00400658">
    <w:pPr>
      <w:pStyle w:val="Header"/>
    </w:pPr>
    <w:r>
      <w:tab/>
    </w:r>
    <w:r>
      <w:tab/>
    </w:r>
    <w:r>
      <w:tab/>
      <w:t xml:space="preserve">          January 1 – June 30, 2021</w:t>
    </w:r>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329B" w14:textId="33574AB6" w:rsidR="00FF4FE5" w:rsidRDefault="00FF4FE5" w:rsidP="00400658">
    <w:pPr>
      <w:pStyle w:val="Header"/>
    </w:pPr>
    <w:r>
      <w:t>Tennessee</w:t>
    </w:r>
    <w:r>
      <w:tab/>
    </w:r>
    <w:r>
      <w:tab/>
      <w:t xml:space="preserve">      Annual Performance Report</w:t>
    </w:r>
  </w:p>
  <w:p w14:paraId="0AA211F2" w14:textId="36D9FA2A" w:rsidR="00FF4FE5" w:rsidRDefault="00FF4FE5" w:rsidP="00400658">
    <w:pPr>
      <w:pStyle w:val="Header"/>
    </w:pPr>
    <w:r>
      <w:t>CDC-RFA-PS20-2001</w:t>
    </w:r>
    <w:r w:rsidRPr="00400658">
      <w:t xml:space="preserve"> </w:t>
    </w:r>
    <w:r>
      <w:tab/>
    </w:r>
    <w:r>
      <w:tab/>
      <w:t>January 1 – December 31, 2020</w:t>
    </w:r>
  </w:p>
  <w:p w14:paraId="069715C8" w14:textId="635EF320" w:rsidR="00FF4FE5" w:rsidRPr="00400658" w:rsidRDefault="00FF4FE5" w:rsidP="00400658">
    <w:pPr>
      <w:pStyle w:val="Header"/>
    </w:pPr>
    <w:r>
      <w:tab/>
    </w:r>
    <w:r>
      <w:tab/>
      <w:t xml:space="preserve">          January 1 – June 30,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38C1" w14:textId="77777777" w:rsidR="00FF4FE5" w:rsidRDefault="00FF4FE5" w:rsidP="00BE180C">
    <w:pPr>
      <w:pStyle w:val="Header"/>
    </w:pPr>
    <w:r>
      <w:t>Tennessee</w:t>
    </w:r>
    <w:r>
      <w:tab/>
    </w:r>
    <w:r>
      <w:tab/>
    </w:r>
    <w:r>
      <w:tab/>
      <w:t>Annual Performance Report</w:t>
    </w:r>
  </w:p>
  <w:p w14:paraId="21AB05D4" w14:textId="77777777" w:rsidR="00FF4FE5" w:rsidRDefault="00FF4FE5" w:rsidP="00BE180C">
    <w:pPr>
      <w:pStyle w:val="Header"/>
    </w:pPr>
    <w:r>
      <w:t>CDC-RFA-PS20-2001</w:t>
    </w:r>
    <w:r>
      <w:tab/>
    </w:r>
    <w:r>
      <w:tab/>
    </w:r>
    <w:r>
      <w:tab/>
      <w:t>January 1 – December 31, 2020</w:t>
    </w:r>
  </w:p>
  <w:p w14:paraId="390B54F5" w14:textId="77777777" w:rsidR="00FF4FE5" w:rsidRPr="00BE180C" w:rsidRDefault="00FF4FE5" w:rsidP="00BE180C">
    <w:pPr>
      <w:pStyle w:val="Header"/>
    </w:pPr>
    <w:r>
      <w:tab/>
    </w:r>
    <w:r>
      <w:tab/>
    </w:r>
    <w:r>
      <w:tab/>
      <w:t>January 1 – June 30,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1FD25" w14:textId="77777777" w:rsidR="00FF4FE5" w:rsidRDefault="00FF4FE5" w:rsidP="00A00F63">
    <w:pPr>
      <w:pStyle w:val="Header"/>
    </w:pPr>
    <w:r>
      <w:t>Tennessee</w:t>
    </w:r>
    <w:r>
      <w:tab/>
    </w:r>
    <w:r>
      <w:tab/>
    </w:r>
    <w:r>
      <w:tab/>
      <w:t xml:space="preserve">      Annual Performance Report</w:t>
    </w:r>
    <w:r>
      <w:tab/>
    </w:r>
  </w:p>
  <w:p w14:paraId="2A59254C" w14:textId="77777777" w:rsidR="00FF4FE5" w:rsidRDefault="00FF4FE5" w:rsidP="00A00F63">
    <w:pPr>
      <w:pStyle w:val="Header"/>
    </w:pPr>
    <w:r>
      <w:t>CDC-RFA-PS20-2001</w:t>
    </w:r>
    <w:r w:rsidRPr="00400658">
      <w:t xml:space="preserve"> </w:t>
    </w:r>
    <w:r>
      <w:tab/>
    </w:r>
    <w:r>
      <w:tab/>
    </w:r>
    <w:r>
      <w:tab/>
      <w:t>January 1 – December 31, 2020</w:t>
    </w:r>
  </w:p>
  <w:p w14:paraId="38F89892" w14:textId="77777777" w:rsidR="00FF4FE5" w:rsidRPr="00400658" w:rsidRDefault="00FF4FE5" w:rsidP="00A00F63">
    <w:pPr>
      <w:pStyle w:val="Header"/>
    </w:pPr>
    <w:r>
      <w:tab/>
    </w:r>
    <w:r>
      <w:tab/>
    </w:r>
    <w:r>
      <w:tab/>
      <w:t xml:space="preserve">          January 1 – June 30, 2021</w:t>
    </w:r>
  </w:p>
  <w:p w14:paraId="53F44BD7" w14:textId="10E0E6C6" w:rsidR="00FF4FE5" w:rsidRPr="00A00F63" w:rsidRDefault="00FF4FE5" w:rsidP="00A0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8C6"/>
    <w:multiLevelType w:val="hybridMultilevel"/>
    <w:tmpl w:val="6F8E1674"/>
    <w:lvl w:ilvl="0" w:tplc="F66E89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24813"/>
    <w:multiLevelType w:val="hybridMultilevel"/>
    <w:tmpl w:val="99EC9BD2"/>
    <w:lvl w:ilvl="0" w:tplc="5B4E4D9E">
      <w:start w:val="1"/>
      <w:numFmt w:val="bullet"/>
      <w:lvlText w:val="•"/>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33296"/>
    <w:multiLevelType w:val="hybridMultilevel"/>
    <w:tmpl w:val="CE1C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4C03"/>
    <w:multiLevelType w:val="hybridMultilevel"/>
    <w:tmpl w:val="9BB8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E7341"/>
    <w:multiLevelType w:val="hybridMultilevel"/>
    <w:tmpl w:val="68B2017E"/>
    <w:lvl w:ilvl="0" w:tplc="2DE874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3067E4"/>
    <w:multiLevelType w:val="hybridMultilevel"/>
    <w:tmpl w:val="1212AEAE"/>
    <w:lvl w:ilvl="0" w:tplc="B0ECD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11C8F"/>
    <w:multiLevelType w:val="hybridMultilevel"/>
    <w:tmpl w:val="5D26F9A0"/>
    <w:lvl w:ilvl="0" w:tplc="74B858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090756"/>
    <w:multiLevelType w:val="hybridMultilevel"/>
    <w:tmpl w:val="F04C3CDA"/>
    <w:lvl w:ilvl="0" w:tplc="D61A4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356ED"/>
    <w:multiLevelType w:val="hybridMultilevel"/>
    <w:tmpl w:val="3B00EAEC"/>
    <w:lvl w:ilvl="0" w:tplc="E10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734D5"/>
    <w:multiLevelType w:val="hybridMultilevel"/>
    <w:tmpl w:val="18062324"/>
    <w:lvl w:ilvl="0" w:tplc="44422A88">
      <w:start w:val="1"/>
      <w:numFmt w:val="upperRoman"/>
      <w:lvlText w:val="%1."/>
      <w:lvlJc w:val="left"/>
      <w:pPr>
        <w:ind w:left="720" w:hanging="72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2374B2"/>
    <w:multiLevelType w:val="hybridMultilevel"/>
    <w:tmpl w:val="7622959E"/>
    <w:lvl w:ilvl="0" w:tplc="54B8A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D6457"/>
    <w:multiLevelType w:val="hybridMultilevel"/>
    <w:tmpl w:val="3C8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D7CA9"/>
    <w:multiLevelType w:val="hybridMultilevel"/>
    <w:tmpl w:val="21A66062"/>
    <w:lvl w:ilvl="0" w:tplc="022A4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1E6D86"/>
    <w:multiLevelType w:val="hybridMultilevel"/>
    <w:tmpl w:val="5E56674A"/>
    <w:lvl w:ilvl="0" w:tplc="6944D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F48B9"/>
    <w:multiLevelType w:val="hybridMultilevel"/>
    <w:tmpl w:val="5FDAA418"/>
    <w:lvl w:ilvl="0" w:tplc="5B4E4D9E">
      <w:start w:val="1"/>
      <w:numFmt w:val="bullet"/>
      <w:lvlText w:val="•"/>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51EF"/>
    <w:multiLevelType w:val="hybridMultilevel"/>
    <w:tmpl w:val="D38A0226"/>
    <w:lvl w:ilvl="0" w:tplc="0B5C3D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F53B83"/>
    <w:multiLevelType w:val="hybridMultilevel"/>
    <w:tmpl w:val="EBBAF04E"/>
    <w:lvl w:ilvl="0" w:tplc="A072A5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3E29A2"/>
    <w:multiLevelType w:val="hybridMultilevel"/>
    <w:tmpl w:val="AC502656"/>
    <w:lvl w:ilvl="0" w:tplc="C5D4D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C4BE1"/>
    <w:multiLevelType w:val="hybridMultilevel"/>
    <w:tmpl w:val="4FEA413E"/>
    <w:lvl w:ilvl="0" w:tplc="97342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240102"/>
    <w:multiLevelType w:val="hybridMultilevel"/>
    <w:tmpl w:val="147EABF2"/>
    <w:lvl w:ilvl="0" w:tplc="1526C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41285"/>
    <w:multiLevelType w:val="hybridMultilevel"/>
    <w:tmpl w:val="C5C4780E"/>
    <w:lvl w:ilvl="0" w:tplc="D68C4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B42BB"/>
    <w:multiLevelType w:val="hybridMultilevel"/>
    <w:tmpl w:val="2D12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65F01"/>
    <w:multiLevelType w:val="hybridMultilevel"/>
    <w:tmpl w:val="A70887F0"/>
    <w:lvl w:ilvl="0" w:tplc="C08A2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4A6D89"/>
    <w:multiLevelType w:val="hybridMultilevel"/>
    <w:tmpl w:val="2EE22292"/>
    <w:lvl w:ilvl="0" w:tplc="5FBE64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3E0617"/>
    <w:multiLevelType w:val="hybridMultilevel"/>
    <w:tmpl w:val="A8F67AF0"/>
    <w:lvl w:ilvl="0" w:tplc="6CC65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D14FE8"/>
    <w:multiLevelType w:val="hybridMultilevel"/>
    <w:tmpl w:val="F8C08376"/>
    <w:lvl w:ilvl="0" w:tplc="F822D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9784B"/>
    <w:multiLevelType w:val="hybridMultilevel"/>
    <w:tmpl w:val="4B7EB746"/>
    <w:lvl w:ilvl="0" w:tplc="0DEA13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734E64"/>
    <w:multiLevelType w:val="hybridMultilevel"/>
    <w:tmpl w:val="169A5832"/>
    <w:lvl w:ilvl="0" w:tplc="E86E6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3223B"/>
    <w:multiLevelType w:val="hybridMultilevel"/>
    <w:tmpl w:val="5668581E"/>
    <w:lvl w:ilvl="0" w:tplc="C61EE0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A0245A"/>
    <w:multiLevelType w:val="hybridMultilevel"/>
    <w:tmpl w:val="79FC53CA"/>
    <w:lvl w:ilvl="0" w:tplc="5B4E4D9E">
      <w:start w:val="1"/>
      <w:numFmt w:val="bullet"/>
      <w:lvlText w:val="•"/>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35EAB"/>
    <w:multiLevelType w:val="hybridMultilevel"/>
    <w:tmpl w:val="49CED172"/>
    <w:lvl w:ilvl="0" w:tplc="265609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81089E"/>
    <w:multiLevelType w:val="hybridMultilevel"/>
    <w:tmpl w:val="F57AFB62"/>
    <w:lvl w:ilvl="0" w:tplc="108E7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F220A"/>
    <w:multiLevelType w:val="hybridMultilevel"/>
    <w:tmpl w:val="BC221BE2"/>
    <w:lvl w:ilvl="0" w:tplc="F12CE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F4175"/>
    <w:multiLevelType w:val="hybridMultilevel"/>
    <w:tmpl w:val="4030EEE2"/>
    <w:lvl w:ilvl="0" w:tplc="E03A8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B7F22"/>
    <w:multiLevelType w:val="hybridMultilevel"/>
    <w:tmpl w:val="EFC4C87A"/>
    <w:lvl w:ilvl="0" w:tplc="E9506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4768F"/>
    <w:multiLevelType w:val="hybridMultilevel"/>
    <w:tmpl w:val="43602B84"/>
    <w:lvl w:ilvl="0" w:tplc="D00A8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B4ED1"/>
    <w:multiLevelType w:val="hybridMultilevel"/>
    <w:tmpl w:val="D872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3716A"/>
    <w:multiLevelType w:val="hybridMultilevel"/>
    <w:tmpl w:val="F2DC7F7E"/>
    <w:lvl w:ilvl="0" w:tplc="B40A9A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324837"/>
    <w:multiLevelType w:val="hybridMultilevel"/>
    <w:tmpl w:val="FD8A1ED6"/>
    <w:lvl w:ilvl="0" w:tplc="289A1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D7A52"/>
    <w:multiLevelType w:val="hybridMultilevel"/>
    <w:tmpl w:val="379CA54E"/>
    <w:lvl w:ilvl="0" w:tplc="45BCCF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6312FD"/>
    <w:multiLevelType w:val="hybridMultilevel"/>
    <w:tmpl w:val="D218A15E"/>
    <w:lvl w:ilvl="0" w:tplc="44362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B310A2"/>
    <w:multiLevelType w:val="hybridMultilevel"/>
    <w:tmpl w:val="35569480"/>
    <w:lvl w:ilvl="0" w:tplc="46EC2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8872D6"/>
    <w:multiLevelType w:val="hybridMultilevel"/>
    <w:tmpl w:val="767E2C7E"/>
    <w:lvl w:ilvl="0" w:tplc="4412FA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7108E0"/>
    <w:multiLevelType w:val="hybridMultilevel"/>
    <w:tmpl w:val="D3E46DE8"/>
    <w:lvl w:ilvl="0" w:tplc="DB3C4B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906144"/>
    <w:multiLevelType w:val="hybridMultilevel"/>
    <w:tmpl w:val="E76246FA"/>
    <w:lvl w:ilvl="0" w:tplc="31169A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670721"/>
    <w:multiLevelType w:val="hybridMultilevel"/>
    <w:tmpl w:val="5638FBDE"/>
    <w:lvl w:ilvl="0" w:tplc="FB267A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1704F6"/>
    <w:multiLevelType w:val="hybridMultilevel"/>
    <w:tmpl w:val="6B1EFB3C"/>
    <w:lvl w:ilvl="0" w:tplc="B70A9B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6109FE"/>
    <w:multiLevelType w:val="hybridMultilevel"/>
    <w:tmpl w:val="2B9C8626"/>
    <w:lvl w:ilvl="0" w:tplc="AECEA2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6"/>
  </w:num>
  <w:num w:numId="3">
    <w:abstractNumId w:val="37"/>
  </w:num>
  <w:num w:numId="4">
    <w:abstractNumId w:val="28"/>
  </w:num>
  <w:num w:numId="5">
    <w:abstractNumId w:val="4"/>
  </w:num>
  <w:num w:numId="6">
    <w:abstractNumId w:val="44"/>
  </w:num>
  <w:num w:numId="7">
    <w:abstractNumId w:val="0"/>
  </w:num>
  <w:num w:numId="8">
    <w:abstractNumId w:val="15"/>
  </w:num>
  <w:num w:numId="9">
    <w:abstractNumId w:val="24"/>
  </w:num>
  <w:num w:numId="10">
    <w:abstractNumId w:val="6"/>
  </w:num>
  <w:num w:numId="11">
    <w:abstractNumId w:val="23"/>
  </w:num>
  <w:num w:numId="12">
    <w:abstractNumId w:val="30"/>
  </w:num>
  <w:num w:numId="13">
    <w:abstractNumId w:val="43"/>
  </w:num>
  <w:num w:numId="14">
    <w:abstractNumId w:val="16"/>
  </w:num>
  <w:num w:numId="15">
    <w:abstractNumId w:val="12"/>
  </w:num>
  <w:num w:numId="16">
    <w:abstractNumId w:val="9"/>
  </w:num>
  <w:num w:numId="17">
    <w:abstractNumId w:val="45"/>
  </w:num>
  <w:num w:numId="18">
    <w:abstractNumId w:val="46"/>
  </w:num>
  <w:num w:numId="19">
    <w:abstractNumId w:val="39"/>
  </w:num>
  <w:num w:numId="20">
    <w:abstractNumId w:val="47"/>
  </w:num>
  <w:num w:numId="21">
    <w:abstractNumId w:val="18"/>
  </w:num>
  <w:num w:numId="22">
    <w:abstractNumId w:val="2"/>
  </w:num>
  <w:num w:numId="23">
    <w:abstractNumId w:val="3"/>
  </w:num>
  <w:num w:numId="24">
    <w:abstractNumId w:val="36"/>
  </w:num>
  <w:num w:numId="25">
    <w:abstractNumId w:val="31"/>
  </w:num>
  <w:num w:numId="26">
    <w:abstractNumId w:val="5"/>
  </w:num>
  <w:num w:numId="27">
    <w:abstractNumId w:val="20"/>
  </w:num>
  <w:num w:numId="28">
    <w:abstractNumId w:val="13"/>
  </w:num>
  <w:num w:numId="29">
    <w:abstractNumId w:val="42"/>
  </w:num>
  <w:num w:numId="30">
    <w:abstractNumId w:val="14"/>
  </w:num>
  <w:num w:numId="31">
    <w:abstractNumId w:val="29"/>
  </w:num>
  <w:num w:numId="32">
    <w:abstractNumId w:val="1"/>
  </w:num>
  <w:num w:numId="33">
    <w:abstractNumId w:val="35"/>
  </w:num>
  <w:num w:numId="34">
    <w:abstractNumId w:val="10"/>
  </w:num>
  <w:num w:numId="35">
    <w:abstractNumId w:val="7"/>
  </w:num>
  <w:num w:numId="36">
    <w:abstractNumId w:val="22"/>
  </w:num>
  <w:num w:numId="37">
    <w:abstractNumId w:val="32"/>
  </w:num>
  <w:num w:numId="38">
    <w:abstractNumId w:val="40"/>
  </w:num>
  <w:num w:numId="39">
    <w:abstractNumId w:val="27"/>
  </w:num>
  <w:num w:numId="40">
    <w:abstractNumId w:val="38"/>
  </w:num>
  <w:num w:numId="41">
    <w:abstractNumId w:val="33"/>
  </w:num>
  <w:num w:numId="42">
    <w:abstractNumId w:val="11"/>
  </w:num>
  <w:num w:numId="43">
    <w:abstractNumId w:val="34"/>
  </w:num>
  <w:num w:numId="44">
    <w:abstractNumId w:val="8"/>
  </w:num>
  <w:num w:numId="45">
    <w:abstractNumId w:val="19"/>
  </w:num>
  <w:num w:numId="46">
    <w:abstractNumId w:val="17"/>
  </w:num>
  <w:num w:numId="47">
    <w:abstractNumId w:val="41"/>
  </w:num>
  <w:num w:numId="4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25"/>
    <w:rsid w:val="0000550A"/>
    <w:rsid w:val="00006DDF"/>
    <w:rsid w:val="00010477"/>
    <w:rsid w:val="00010FEF"/>
    <w:rsid w:val="00013402"/>
    <w:rsid w:val="00016D7B"/>
    <w:rsid w:val="000202C9"/>
    <w:rsid w:val="00020470"/>
    <w:rsid w:val="0002172A"/>
    <w:rsid w:val="000221C1"/>
    <w:rsid w:val="000227C8"/>
    <w:rsid w:val="00022DC6"/>
    <w:rsid w:val="00025479"/>
    <w:rsid w:val="00031E4E"/>
    <w:rsid w:val="00036873"/>
    <w:rsid w:val="000411D2"/>
    <w:rsid w:val="00045E32"/>
    <w:rsid w:val="00047A41"/>
    <w:rsid w:val="00054B01"/>
    <w:rsid w:val="000552F2"/>
    <w:rsid w:val="000560B9"/>
    <w:rsid w:val="00056B1C"/>
    <w:rsid w:val="0006080E"/>
    <w:rsid w:val="00062E23"/>
    <w:rsid w:val="00066D83"/>
    <w:rsid w:val="00067849"/>
    <w:rsid w:val="00073FFB"/>
    <w:rsid w:val="000765D4"/>
    <w:rsid w:val="0007666F"/>
    <w:rsid w:val="00080B50"/>
    <w:rsid w:val="0008255F"/>
    <w:rsid w:val="00082F95"/>
    <w:rsid w:val="000857DF"/>
    <w:rsid w:val="00085C20"/>
    <w:rsid w:val="00087C73"/>
    <w:rsid w:val="00091AB2"/>
    <w:rsid w:val="00094D78"/>
    <w:rsid w:val="00097657"/>
    <w:rsid w:val="000A1F43"/>
    <w:rsid w:val="000A37EA"/>
    <w:rsid w:val="000A7A3E"/>
    <w:rsid w:val="000B066E"/>
    <w:rsid w:val="000B628F"/>
    <w:rsid w:val="000B696D"/>
    <w:rsid w:val="000B69C0"/>
    <w:rsid w:val="000C00C3"/>
    <w:rsid w:val="000C040F"/>
    <w:rsid w:val="000C2317"/>
    <w:rsid w:val="000D030C"/>
    <w:rsid w:val="000D177A"/>
    <w:rsid w:val="000D7CA8"/>
    <w:rsid w:val="000E3E6A"/>
    <w:rsid w:val="000E523B"/>
    <w:rsid w:val="000E6FFF"/>
    <w:rsid w:val="000E77FA"/>
    <w:rsid w:val="000F67B8"/>
    <w:rsid w:val="00100B40"/>
    <w:rsid w:val="00103B24"/>
    <w:rsid w:val="0011040E"/>
    <w:rsid w:val="00110927"/>
    <w:rsid w:val="0011134E"/>
    <w:rsid w:val="00117229"/>
    <w:rsid w:val="00117B41"/>
    <w:rsid w:val="00117D60"/>
    <w:rsid w:val="00120B7C"/>
    <w:rsid w:val="00122303"/>
    <w:rsid w:val="00131116"/>
    <w:rsid w:val="001326E9"/>
    <w:rsid w:val="00133627"/>
    <w:rsid w:val="00134678"/>
    <w:rsid w:val="00137DD9"/>
    <w:rsid w:val="00141AC3"/>
    <w:rsid w:val="001423F0"/>
    <w:rsid w:val="00143836"/>
    <w:rsid w:val="00147177"/>
    <w:rsid w:val="00164602"/>
    <w:rsid w:val="00171659"/>
    <w:rsid w:val="001738D8"/>
    <w:rsid w:val="001738E9"/>
    <w:rsid w:val="0017610B"/>
    <w:rsid w:val="00181007"/>
    <w:rsid w:val="00184391"/>
    <w:rsid w:val="0018597E"/>
    <w:rsid w:val="00185ED3"/>
    <w:rsid w:val="00187B29"/>
    <w:rsid w:val="00192515"/>
    <w:rsid w:val="00192AF3"/>
    <w:rsid w:val="00193915"/>
    <w:rsid w:val="00196719"/>
    <w:rsid w:val="0019748F"/>
    <w:rsid w:val="001A3957"/>
    <w:rsid w:val="001B043D"/>
    <w:rsid w:val="001B0545"/>
    <w:rsid w:val="001B228B"/>
    <w:rsid w:val="001B4A82"/>
    <w:rsid w:val="001B4CEC"/>
    <w:rsid w:val="001B51AC"/>
    <w:rsid w:val="001B5244"/>
    <w:rsid w:val="001B7005"/>
    <w:rsid w:val="001C340A"/>
    <w:rsid w:val="001C53DC"/>
    <w:rsid w:val="001C661C"/>
    <w:rsid w:val="001C7966"/>
    <w:rsid w:val="001D0C36"/>
    <w:rsid w:val="001D3E77"/>
    <w:rsid w:val="001D3F10"/>
    <w:rsid w:val="001E5C9E"/>
    <w:rsid w:val="001E677D"/>
    <w:rsid w:val="001F0465"/>
    <w:rsid w:val="001F0E1D"/>
    <w:rsid w:val="00202912"/>
    <w:rsid w:val="002039EF"/>
    <w:rsid w:val="002069E2"/>
    <w:rsid w:val="002123CD"/>
    <w:rsid w:val="0021319E"/>
    <w:rsid w:val="002135D8"/>
    <w:rsid w:val="002135FE"/>
    <w:rsid w:val="0021381A"/>
    <w:rsid w:val="002146F4"/>
    <w:rsid w:val="00215D78"/>
    <w:rsid w:val="0021666E"/>
    <w:rsid w:val="002168AA"/>
    <w:rsid w:val="002213D6"/>
    <w:rsid w:val="0022300F"/>
    <w:rsid w:val="00223C1F"/>
    <w:rsid w:val="00230139"/>
    <w:rsid w:val="00230377"/>
    <w:rsid w:val="002310B9"/>
    <w:rsid w:val="00233C7C"/>
    <w:rsid w:val="0023437E"/>
    <w:rsid w:val="0023661B"/>
    <w:rsid w:val="00241226"/>
    <w:rsid w:val="00241BBD"/>
    <w:rsid w:val="002423E6"/>
    <w:rsid w:val="0025070C"/>
    <w:rsid w:val="002543E6"/>
    <w:rsid w:val="00255CEB"/>
    <w:rsid w:val="0026041F"/>
    <w:rsid w:val="002613CF"/>
    <w:rsid w:val="00262FDE"/>
    <w:rsid w:val="00266B0D"/>
    <w:rsid w:val="00267739"/>
    <w:rsid w:val="00272B75"/>
    <w:rsid w:val="00275D53"/>
    <w:rsid w:val="002809C9"/>
    <w:rsid w:val="00280FE8"/>
    <w:rsid w:val="00281225"/>
    <w:rsid w:val="0028377E"/>
    <w:rsid w:val="00283FFE"/>
    <w:rsid w:val="00284815"/>
    <w:rsid w:val="002851E0"/>
    <w:rsid w:val="0028745B"/>
    <w:rsid w:val="00287DD4"/>
    <w:rsid w:val="002968C5"/>
    <w:rsid w:val="002A0F20"/>
    <w:rsid w:val="002A4836"/>
    <w:rsid w:val="002A4B4E"/>
    <w:rsid w:val="002B060E"/>
    <w:rsid w:val="002B4B87"/>
    <w:rsid w:val="002C66F3"/>
    <w:rsid w:val="002D07AE"/>
    <w:rsid w:val="002D5A08"/>
    <w:rsid w:val="002D5CB0"/>
    <w:rsid w:val="002D7D53"/>
    <w:rsid w:val="002E06F0"/>
    <w:rsid w:val="002E1B25"/>
    <w:rsid w:val="002E25CE"/>
    <w:rsid w:val="002E617F"/>
    <w:rsid w:val="002E6705"/>
    <w:rsid w:val="002F01B5"/>
    <w:rsid w:val="002F1383"/>
    <w:rsid w:val="002F2449"/>
    <w:rsid w:val="002F2F72"/>
    <w:rsid w:val="002F3672"/>
    <w:rsid w:val="00300255"/>
    <w:rsid w:val="00300B57"/>
    <w:rsid w:val="00300B8C"/>
    <w:rsid w:val="00302A70"/>
    <w:rsid w:val="00305FD5"/>
    <w:rsid w:val="0030736C"/>
    <w:rsid w:val="003073DC"/>
    <w:rsid w:val="00307499"/>
    <w:rsid w:val="00310116"/>
    <w:rsid w:val="003117C7"/>
    <w:rsid w:val="00313392"/>
    <w:rsid w:val="00313800"/>
    <w:rsid w:val="00314B51"/>
    <w:rsid w:val="0031625F"/>
    <w:rsid w:val="003168ED"/>
    <w:rsid w:val="00316C07"/>
    <w:rsid w:val="00320304"/>
    <w:rsid w:val="00330D6A"/>
    <w:rsid w:val="00331DAD"/>
    <w:rsid w:val="00335905"/>
    <w:rsid w:val="003379E3"/>
    <w:rsid w:val="00337ADD"/>
    <w:rsid w:val="0034000E"/>
    <w:rsid w:val="00340109"/>
    <w:rsid w:val="00345F18"/>
    <w:rsid w:val="00346079"/>
    <w:rsid w:val="00347A11"/>
    <w:rsid w:val="00347AD1"/>
    <w:rsid w:val="00352793"/>
    <w:rsid w:val="00352BC9"/>
    <w:rsid w:val="00357087"/>
    <w:rsid w:val="00361A27"/>
    <w:rsid w:val="00362444"/>
    <w:rsid w:val="00363B54"/>
    <w:rsid w:val="00364510"/>
    <w:rsid w:val="00364F63"/>
    <w:rsid w:val="003768AF"/>
    <w:rsid w:val="00376AF3"/>
    <w:rsid w:val="00383D5D"/>
    <w:rsid w:val="00384EFB"/>
    <w:rsid w:val="0038682D"/>
    <w:rsid w:val="00387F18"/>
    <w:rsid w:val="00397E55"/>
    <w:rsid w:val="003A3A57"/>
    <w:rsid w:val="003A3F63"/>
    <w:rsid w:val="003B0135"/>
    <w:rsid w:val="003B01AB"/>
    <w:rsid w:val="003B22B3"/>
    <w:rsid w:val="003B772E"/>
    <w:rsid w:val="003C08D3"/>
    <w:rsid w:val="003C16E2"/>
    <w:rsid w:val="003D2FE7"/>
    <w:rsid w:val="003D4680"/>
    <w:rsid w:val="003E0F5A"/>
    <w:rsid w:val="003E7152"/>
    <w:rsid w:val="003F0A4B"/>
    <w:rsid w:val="003F26F4"/>
    <w:rsid w:val="003F2F7C"/>
    <w:rsid w:val="003F5767"/>
    <w:rsid w:val="00400658"/>
    <w:rsid w:val="0040076C"/>
    <w:rsid w:val="0040092F"/>
    <w:rsid w:val="00400C56"/>
    <w:rsid w:val="00400CD2"/>
    <w:rsid w:val="00410C52"/>
    <w:rsid w:val="00411C70"/>
    <w:rsid w:val="00412F71"/>
    <w:rsid w:val="00416C62"/>
    <w:rsid w:val="004204B6"/>
    <w:rsid w:val="00420614"/>
    <w:rsid w:val="0042736D"/>
    <w:rsid w:val="00430F4B"/>
    <w:rsid w:val="00432AA6"/>
    <w:rsid w:val="00436362"/>
    <w:rsid w:val="00440354"/>
    <w:rsid w:val="004422E0"/>
    <w:rsid w:val="0044325D"/>
    <w:rsid w:val="00450AD0"/>
    <w:rsid w:val="004518BD"/>
    <w:rsid w:val="00452076"/>
    <w:rsid w:val="00452837"/>
    <w:rsid w:val="004611CA"/>
    <w:rsid w:val="00461BA7"/>
    <w:rsid w:val="00465306"/>
    <w:rsid w:val="004714E0"/>
    <w:rsid w:val="00474EE0"/>
    <w:rsid w:val="0047514C"/>
    <w:rsid w:val="00475411"/>
    <w:rsid w:val="00475972"/>
    <w:rsid w:val="004809D4"/>
    <w:rsid w:val="004811D3"/>
    <w:rsid w:val="00482331"/>
    <w:rsid w:val="0048318A"/>
    <w:rsid w:val="00483C6F"/>
    <w:rsid w:val="004864FA"/>
    <w:rsid w:val="00486618"/>
    <w:rsid w:val="00491FB4"/>
    <w:rsid w:val="004933FE"/>
    <w:rsid w:val="00495776"/>
    <w:rsid w:val="004973E7"/>
    <w:rsid w:val="004975A0"/>
    <w:rsid w:val="004A45FA"/>
    <w:rsid w:val="004A531F"/>
    <w:rsid w:val="004A640B"/>
    <w:rsid w:val="004B4758"/>
    <w:rsid w:val="004B6DC2"/>
    <w:rsid w:val="004D3E0A"/>
    <w:rsid w:val="004D5332"/>
    <w:rsid w:val="004D675F"/>
    <w:rsid w:val="004D7DB1"/>
    <w:rsid w:val="004E4FDC"/>
    <w:rsid w:val="004E6F6E"/>
    <w:rsid w:val="004F05BF"/>
    <w:rsid w:val="004F3C3B"/>
    <w:rsid w:val="004F49E9"/>
    <w:rsid w:val="005021DE"/>
    <w:rsid w:val="00510BC7"/>
    <w:rsid w:val="005132FB"/>
    <w:rsid w:val="0051596C"/>
    <w:rsid w:val="00517D39"/>
    <w:rsid w:val="00521140"/>
    <w:rsid w:val="005324A3"/>
    <w:rsid w:val="00536BC1"/>
    <w:rsid w:val="00542553"/>
    <w:rsid w:val="0054317C"/>
    <w:rsid w:val="005443D5"/>
    <w:rsid w:val="005450B3"/>
    <w:rsid w:val="00545876"/>
    <w:rsid w:val="0056291E"/>
    <w:rsid w:val="00564AE5"/>
    <w:rsid w:val="00565D37"/>
    <w:rsid w:val="00567000"/>
    <w:rsid w:val="0056720D"/>
    <w:rsid w:val="00567218"/>
    <w:rsid w:val="0057096D"/>
    <w:rsid w:val="00576431"/>
    <w:rsid w:val="0057690A"/>
    <w:rsid w:val="00582F6E"/>
    <w:rsid w:val="00583377"/>
    <w:rsid w:val="0058545F"/>
    <w:rsid w:val="0058608F"/>
    <w:rsid w:val="005874A6"/>
    <w:rsid w:val="00587797"/>
    <w:rsid w:val="005941DE"/>
    <w:rsid w:val="005A0265"/>
    <w:rsid w:val="005A785E"/>
    <w:rsid w:val="005B0F9F"/>
    <w:rsid w:val="005B1D05"/>
    <w:rsid w:val="005B4988"/>
    <w:rsid w:val="005B5B75"/>
    <w:rsid w:val="005C19B7"/>
    <w:rsid w:val="005D0367"/>
    <w:rsid w:val="005D32EA"/>
    <w:rsid w:val="005E0126"/>
    <w:rsid w:val="005E18F4"/>
    <w:rsid w:val="005E1CD6"/>
    <w:rsid w:val="005E2F1D"/>
    <w:rsid w:val="005E3E56"/>
    <w:rsid w:val="005E4196"/>
    <w:rsid w:val="005E4738"/>
    <w:rsid w:val="005E56F3"/>
    <w:rsid w:val="005F6F3F"/>
    <w:rsid w:val="005F7706"/>
    <w:rsid w:val="006013F5"/>
    <w:rsid w:val="006023A6"/>
    <w:rsid w:val="00607535"/>
    <w:rsid w:val="00607DAF"/>
    <w:rsid w:val="00613626"/>
    <w:rsid w:val="006137F4"/>
    <w:rsid w:val="006158F9"/>
    <w:rsid w:val="006164C8"/>
    <w:rsid w:val="00621A32"/>
    <w:rsid w:val="00625437"/>
    <w:rsid w:val="00626835"/>
    <w:rsid w:val="006311FB"/>
    <w:rsid w:val="0063136A"/>
    <w:rsid w:val="00637752"/>
    <w:rsid w:val="00641FC7"/>
    <w:rsid w:val="00642758"/>
    <w:rsid w:val="00644CCA"/>
    <w:rsid w:val="00644FC7"/>
    <w:rsid w:val="0064541B"/>
    <w:rsid w:val="00647D22"/>
    <w:rsid w:val="00657A8F"/>
    <w:rsid w:val="0066176E"/>
    <w:rsid w:val="00664DDD"/>
    <w:rsid w:val="00666DE2"/>
    <w:rsid w:val="006673C1"/>
    <w:rsid w:val="00672101"/>
    <w:rsid w:val="006728FA"/>
    <w:rsid w:val="0067397C"/>
    <w:rsid w:val="00674612"/>
    <w:rsid w:val="006753DE"/>
    <w:rsid w:val="006800F6"/>
    <w:rsid w:val="0068031F"/>
    <w:rsid w:val="006808E7"/>
    <w:rsid w:val="00683557"/>
    <w:rsid w:val="006A1DDB"/>
    <w:rsid w:val="006A54AF"/>
    <w:rsid w:val="006A60B9"/>
    <w:rsid w:val="006A7286"/>
    <w:rsid w:val="006B03DA"/>
    <w:rsid w:val="006C3ECC"/>
    <w:rsid w:val="006C42C5"/>
    <w:rsid w:val="006C7D45"/>
    <w:rsid w:val="006D0AD5"/>
    <w:rsid w:val="006D2CC1"/>
    <w:rsid w:val="006D39F4"/>
    <w:rsid w:val="006E0132"/>
    <w:rsid w:val="006E1B0A"/>
    <w:rsid w:val="006E3466"/>
    <w:rsid w:val="006E4F18"/>
    <w:rsid w:val="006F3048"/>
    <w:rsid w:val="006F5427"/>
    <w:rsid w:val="006F5ACD"/>
    <w:rsid w:val="006F6709"/>
    <w:rsid w:val="006F67FD"/>
    <w:rsid w:val="006F78D7"/>
    <w:rsid w:val="00700433"/>
    <w:rsid w:val="00700D7C"/>
    <w:rsid w:val="00702D51"/>
    <w:rsid w:val="00703B74"/>
    <w:rsid w:val="00711051"/>
    <w:rsid w:val="0072059F"/>
    <w:rsid w:val="00721C0C"/>
    <w:rsid w:val="00721C47"/>
    <w:rsid w:val="00724B66"/>
    <w:rsid w:val="00727275"/>
    <w:rsid w:val="007319E6"/>
    <w:rsid w:val="007334E2"/>
    <w:rsid w:val="007353F9"/>
    <w:rsid w:val="00735B4F"/>
    <w:rsid w:val="00735C08"/>
    <w:rsid w:val="007431FF"/>
    <w:rsid w:val="0074340E"/>
    <w:rsid w:val="0074423F"/>
    <w:rsid w:val="00747622"/>
    <w:rsid w:val="00752C5A"/>
    <w:rsid w:val="00753791"/>
    <w:rsid w:val="00754AAC"/>
    <w:rsid w:val="007559D0"/>
    <w:rsid w:val="0075722B"/>
    <w:rsid w:val="0076132E"/>
    <w:rsid w:val="00761AFE"/>
    <w:rsid w:val="00762B80"/>
    <w:rsid w:val="007657C0"/>
    <w:rsid w:val="007660E2"/>
    <w:rsid w:val="00770563"/>
    <w:rsid w:val="00770D5C"/>
    <w:rsid w:val="00771413"/>
    <w:rsid w:val="007715E3"/>
    <w:rsid w:val="00772B80"/>
    <w:rsid w:val="00772FB3"/>
    <w:rsid w:val="00773541"/>
    <w:rsid w:val="007750F9"/>
    <w:rsid w:val="00775D1B"/>
    <w:rsid w:val="007765B4"/>
    <w:rsid w:val="00780541"/>
    <w:rsid w:val="00781902"/>
    <w:rsid w:val="007858B9"/>
    <w:rsid w:val="00791B6F"/>
    <w:rsid w:val="007949D6"/>
    <w:rsid w:val="00795CCC"/>
    <w:rsid w:val="007968C8"/>
    <w:rsid w:val="007A3B80"/>
    <w:rsid w:val="007A4107"/>
    <w:rsid w:val="007B0ECD"/>
    <w:rsid w:val="007B4725"/>
    <w:rsid w:val="007B6282"/>
    <w:rsid w:val="007B67BC"/>
    <w:rsid w:val="007B6FB4"/>
    <w:rsid w:val="007C19FF"/>
    <w:rsid w:val="007C496A"/>
    <w:rsid w:val="007C558F"/>
    <w:rsid w:val="007C5B5F"/>
    <w:rsid w:val="007C708A"/>
    <w:rsid w:val="007D0C6F"/>
    <w:rsid w:val="007D6957"/>
    <w:rsid w:val="007E3A70"/>
    <w:rsid w:val="007E482A"/>
    <w:rsid w:val="007E69BF"/>
    <w:rsid w:val="007E7C4D"/>
    <w:rsid w:val="007F11E3"/>
    <w:rsid w:val="008002D9"/>
    <w:rsid w:val="00802EDC"/>
    <w:rsid w:val="00806D7D"/>
    <w:rsid w:val="00807A95"/>
    <w:rsid w:val="0081498C"/>
    <w:rsid w:val="0082564A"/>
    <w:rsid w:val="00827193"/>
    <w:rsid w:val="00827F45"/>
    <w:rsid w:val="00830AF1"/>
    <w:rsid w:val="008327CA"/>
    <w:rsid w:val="00837870"/>
    <w:rsid w:val="00837C3F"/>
    <w:rsid w:val="008400D0"/>
    <w:rsid w:val="00841B2F"/>
    <w:rsid w:val="00843869"/>
    <w:rsid w:val="008506B8"/>
    <w:rsid w:val="008603B9"/>
    <w:rsid w:val="008604AB"/>
    <w:rsid w:val="00873E75"/>
    <w:rsid w:val="00875122"/>
    <w:rsid w:val="00876190"/>
    <w:rsid w:val="00876482"/>
    <w:rsid w:val="00880880"/>
    <w:rsid w:val="008818FB"/>
    <w:rsid w:val="00881C03"/>
    <w:rsid w:val="00881CD2"/>
    <w:rsid w:val="0088430B"/>
    <w:rsid w:val="00885CA1"/>
    <w:rsid w:val="00885E4B"/>
    <w:rsid w:val="00894537"/>
    <w:rsid w:val="008946BD"/>
    <w:rsid w:val="00895DA0"/>
    <w:rsid w:val="008A1DC8"/>
    <w:rsid w:val="008A5C6E"/>
    <w:rsid w:val="008A7B7A"/>
    <w:rsid w:val="008B03B1"/>
    <w:rsid w:val="008B6136"/>
    <w:rsid w:val="008C1A7C"/>
    <w:rsid w:val="008C2306"/>
    <w:rsid w:val="008C251B"/>
    <w:rsid w:val="008C7B41"/>
    <w:rsid w:val="008D0F8B"/>
    <w:rsid w:val="008D21DD"/>
    <w:rsid w:val="008D3EA2"/>
    <w:rsid w:val="008D4195"/>
    <w:rsid w:val="008D634A"/>
    <w:rsid w:val="008D6602"/>
    <w:rsid w:val="008E23E6"/>
    <w:rsid w:val="008E52B2"/>
    <w:rsid w:val="008E5E6F"/>
    <w:rsid w:val="008F063E"/>
    <w:rsid w:val="008F2A61"/>
    <w:rsid w:val="008F340A"/>
    <w:rsid w:val="008F54CB"/>
    <w:rsid w:val="008F615E"/>
    <w:rsid w:val="00903C31"/>
    <w:rsid w:val="00906A10"/>
    <w:rsid w:val="0091155D"/>
    <w:rsid w:val="00913E67"/>
    <w:rsid w:val="00914505"/>
    <w:rsid w:val="009145E7"/>
    <w:rsid w:val="0092234D"/>
    <w:rsid w:val="009309EA"/>
    <w:rsid w:val="00932EFB"/>
    <w:rsid w:val="009351CE"/>
    <w:rsid w:val="0093653D"/>
    <w:rsid w:val="00936DF1"/>
    <w:rsid w:val="009372F0"/>
    <w:rsid w:val="00940871"/>
    <w:rsid w:val="0094149A"/>
    <w:rsid w:val="00954027"/>
    <w:rsid w:val="00955EBB"/>
    <w:rsid w:val="00956CF1"/>
    <w:rsid w:val="00957193"/>
    <w:rsid w:val="00962ACD"/>
    <w:rsid w:val="0096354A"/>
    <w:rsid w:val="00964C03"/>
    <w:rsid w:val="00970D36"/>
    <w:rsid w:val="00974642"/>
    <w:rsid w:val="00975E18"/>
    <w:rsid w:val="00980DBD"/>
    <w:rsid w:val="00984572"/>
    <w:rsid w:val="00993736"/>
    <w:rsid w:val="00993778"/>
    <w:rsid w:val="009A50B6"/>
    <w:rsid w:val="009A51D7"/>
    <w:rsid w:val="009A55C9"/>
    <w:rsid w:val="009B2CE6"/>
    <w:rsid w:val="009B7156"/>
    <w:rsid w:val="009C1FD5"/>
    <w:rsid w:val="009C35CF"/>
    <w:rsid w:val="009C5070"/>
    <w:rsid w:val="009C526A"/>
    <w:rsid w:val="009C692A"/>
    <w:rsid w:val="009C744A"/>
    <w:rsid w:val="009D06E0"/>
    <w:rsid w:val="009D2758"/>
    <w:rsid w:val="009D481D"/>
    <w:rsid w:val="009D7A52"/>
    <w:rsid w:val="009D7D59"/>
    <w:rsid w:val="009E4638"/>
    <w:rsid w:val="009E4B87"/>
    <w:rsid w:val="009E631F"/>
    <w:rsid w:val="009F4B9B"/>
    <w:rsid w:val="00A00701"/>
    <w:rsid w:val="00A00BB3"/>
    <w:rsid w:val="00A00F63"/>
    <w:rsid w:val="00A03ABE"/>
    <w:rsid w:val="00A07602"/>
    <w:rsid w:val="00A1037C"/>
    <w:rsid w:val="00A118F6"/>
    <w:rsid w:val="00A129C0"/>
    <w:rsid w:val="00A151AA"/>
    <w:rsid w:val="00A15F88"/>
    <w:rsid w:val="00A1717E"/>
    <w:rsid w:val="00A219D6"/>
    <w:rsid w:val="00A22951"/>
    <w:rsid w:val="00A30977"/>
    <w:rsid w:val="00A359D1"/>
    <w:rsid w:val="00A35F06"/>
    <w:rsid w:val="00A36608"/>
    <w:rsid w:val="00A4066A"/>
    <w:rsid w:val="00A423E3"/>
    <w:rsid w:val="00A430AF"/>
    <w:rsid w:val="00A441E5"/>
    <w:rsid w:val="00A46CA5"/>
    <w:rsid w:val="00A52F5F"/>
    <w:rsid w:val="00A52FFF"/>
    <w:rsid w:val="00A543B8"/>
    <w:rsid w:val="00A54727"/>
    <w:rsid w:val="00A57AD8"/>
    <w:rsid w:val="00A62859"/>
    <w:rsid w:val="00A62908"/>
    <w:rsid w:val="00A62C69"/>
    <w:rsid w:val="00A70DF9"/>
    <w:rsid w:val="00A75228"/>
    <w:rsid w:val="00A76CFC"/>
    <w:rsid w:val="00A7732D"/>
    <w:rsid w:val="00A81972"/>
    <w:rsid w:val="00A82F47"/>
    <w:rsid w:val="00A87F87"/>
    <w:rsid w:val="00A87FBA"/>
    <w:rsid w:val="00A92681"/>
    <w:rsid w:val="00A92AC3"/>
    <w:rsid w:val="00A94530"/>
    <w:rsid w:val="00AA0527"/>
    <w:rsid w:val="00AA0A99"/>
    <w:rsid w:val="00AA15DC"/>
    <w:rsid w:val="00AA1AA9"/>
    <w:rsid w:val="00AA26BE"/>
    <w:rsid w:val="00AA598C"/>
    <w:rsid w:val="00AA66C6"/>
    <w:rsid w:val="00AA7786"/>
    <w:rsid w:val="00AB0219"/>
    <w:rsid w:val="00AB028B"/>
    <w:rsid w:val="00AB0BFE"/>
    <w:rsid w:val="00AB1362"/>
    <w:rsid w:val="00AB208B"/>
    <w:rsid w:val="00AB2B6F"/>
    <w:rsid w:val="00AB30B3"/>
    <w:rsid w:val="00AB596B"/>
    <w:rsid w:val="00AB5A34"/>
    <w:rsid w:val="00AB6868"/>
    <w:rsid w:val="00AC285C"/>
    <w:rsid w:val="00AC313C"/>
    <w:rsid w:val="00AC37D0"/>
    <w:rsid w:val="00AC3B72"/>
    <w:rsid w:val="00AD76E9"/>
    <w:rsid w:val="00AE2BC8"/>
    <w:rsid w:val="00AE3059"/>
    <w:rsid w:val="00AE3BB1"/>
    <w:rsid w:val="00AE4F2A"/>
    <w:rsid w:val="00AE5B6A"/>
    <w:rsid w:val="00AE6B24"/>
    <w:rsid w:val="00AE721D"/>
    <w:rsid w:val="00AF1F47"/>
    <w:rsid w:val="00AF5BA0"/>
    <w:rsid w:val="00AF61FB"/>
    <w:rsid w:val="00AF642D"/>
    <w:rsid w:val="00AF65A4"/>
    <w:rsid w:val="00AF706D"/>
    <w:rsid w:val="00B0285F"/>
    <w:rsid w:val="00B0539F"/>
    <w:rsid w:val="00B054C9"/>
    <w:rsid w:val="00B1624E"/>
    <w:rsid w:val="00B16702"/>
    <w:rsid w:val="00B2213F"/>
    <w:rsid w:val="00B232CB"/>
    <w:rsid w:val="00B2364D"/>
    <w:rsid w:val="00B23A67"/>
    <w:rsid w:val="00B24B0C"/>
    <w:rsid w:val="00B307C9"/>
    <w:rsid w:val="00B31EAE"/>
    <w:rsid w:val="00B328A2"/>
    <w:rsid w:val="00B334CA"/>
    <w:rsid w:val="00B33B78"/>
    <w:rsid w:val="00B40F07"/>
    <w:rsid w:val="00B517F4"/>
    <w:rsid w:val="00B518D5"/>
    <w:rsid w:val="00B56C98"/>
    <w:rsid w:val="00B57FB5"/>
    <w:rsid w:val="00B6022D"/>
    <w:rsid w:val="00B6422C"/>
    <w:rsid w:val="00B64BF7"/>
    <w:rsid w:val="00B64E2E"/>
    <w:rsid w:val="00B727F4"/>
    <w:rsid w:val="00B76D93"/>
    <w:rsid w:val="00B80B3D"/>
    <w:rsid w:val="00B8293C"/>
    <w:rsid w:val="00B82E05"/>
    <w:rsid w:val="00B84CE0"/>
    <w:rsid w:val="00B874B8"/>
    <w:rsid w:val="00B90B15"/>
    <w:rsid w:val="00B91BD2"/>
    <w:rsid w:val="00B94782"/>
    <w:rsid w:val="00BA2226"/>
    <w:rsid w:val="00BA6183"/>
    <w:rsid w:val="00BB2417"/>
    <w:rsid w:val="00BB3854"/>
    <w:rsid w:val="00BC06F2"/>
    <w:rsid w:val="00BC12DF"/>
    <w:rsid w:val="00BC30EF"/>
    <w:rsid w:val="00BC49B8"/>
    <w:rsid w:val="00BC6DB2"/>
    <w:rsid w:val="00BC6FEC"/>
    <w:rsid w:val="00BC723A"/>
    <w:rsid w:val="00BD1E59"/>
    <w:rsid w:val="00BD4B13"/>
    <w:rsid w:val="00BE0526"/>
    <w:rsid w:val="00BE180C"/>
    <w:rsid w:val="00BE7EAF"/>
    <w:rsid w:val="00BF119A"/>
    <w:rsid w:val="00BF11C0"/>
    <w:rsid w:val="00BF3B1C"/>
    <w:rsid w:val="00BF6423"/>
    <w:rsid w:val="00BF65A9"/>
    <w:rsid w:val="00BF6648"/>
    <w:rsid w:val="00BF69A0"/>
    <w:rsid w:val="00C02A0F"/>
    <w:rsid w:val="00C0473F"/>
    <w:rsid w:val="00C17026"/>
    <w:rsid w:val="00C20861"/>
    <w:rsid w:val="00C21B6F"/>
    <w:rsid w:val="00C23604"/>
    <w:rsid w:val="00C23AF5"/>
    <w:rsid w:val="00C312D0"/>
    <w:rsid w:val="00C31891"/>
    <w:rsid w:val="00C32697"/>
    <w:rsid w:val="00C32D4F"/>
    <w:rsid w:val="00C3658C"/>
    <w:rsid w:val="00C37D2E"/>
    <w:rsid w:val="00C4068C"/>
    <w:rsid w:val="00C418F5"/>
    <w:rsid w:val="00C41AFA"/>
    <w:rsid w:val="00C41EB1"/>
    <w:rsid w:val="00C47246"/>
    <w:rsid w:val="00C56F98"/>
    <w:rsid w:val="00C60C36"/>
    <w:rsid w:val="00C63477"/>
    <w:rsid w:val="00C640E2"/>
    <w:rsid w:val="00C64DE8"/>
    <w:rsid w:val="00C64E85"/>
    <w:rsid w:val="00C65325"/>
    <w:rsid w:val="00C66159"/>
    <w:rsid w:val="00C668C8"/>
    <w:rsid w:val="00C66914"/>
    <w:rsid w:val="00C6702C"/>
    <w:rsid w:val="00C718E6"/>
    <w:rsid w:val="00C71CCD"/>
    <w:rsid w:val="00C73067"/>
    <w:rsid w:val="00C75E0A"/>
    <w:rsid w:val="00C83A12"/>
    <w:rsid w:val="00C85EDD"/>
    <w:rsid w:val="00C86044"/>
    <w:rsid w:val="00C9522F"/>
    <w:rsid w:val="00C958CA"/>
    <w:rsid w:val="00C965F8"/>
    <w:rsid w:val="00C97A5E"/>
    <w:rsid w:val="00CA3525"/>
    <w:rsid w:val="00CA5841"/>
    <w:rsid w:val="00CA6C3A"/>
    <w:rsid w:val="00CA71A3"/>
    <w:rsid w:val="00CB0D26"/>
    <w:rsid w:val="00CB1164"/>
    <w:rsid w:val="00CB5727"/>
    <w:rsid w:val="00CB5D71"/>
    <w:rsid w:val="00CB75A4"/>
    <w:rsid w:val="00CC0043"/>
    <w:rsid w:val="00CC32B0"/>
    <w:rsid w:val="00CE1CA0"/>
    <w:rsid w:val="00CE567D"/>
    <w:rsid w:val="00CF2E39"/>
    <w:rsid w:val="00CF59B6"/>
    <w:rsid w:val="00D003C5"/>
    <w:rsid w:val="00D01023"/>
    <w:rsid w:val="00D104F8"/>
    <w:rsid w:val="00D1200A"/>
    <w:rsid w:val="00D15B09"/>
    <w:rsid w:val="00D15EAD"/>
    <w:rsid w:val="00D16186"/>
    <w:rsid w:val="00D22CF6"/>
    <w:rsid w:val="00D2367F"/>
    <w:rsid w:val="00D2541C"/>
    <w:rsid w:val="00D254BB"/>
    <w:rsid w:val="00D27114"/>
    <w:rsid w:val="00D274B0"/>
    <w:rsid w:val="00D3172D"/>
    <w:rsid w:val="00D3413F"/>
    <w:rsid w:val="00D41C24"/>
    <w:rsid w:val="00D43D1B"/>
    <w:rsid w:val="00D46B4D"/>
    <w:rsid w:val="00D51B62"/>
    <w:rsid w:val="00D53B12"/>
    <w:rsid w:val="00D545D5"/>
    <w:rsid w:val="00D614B3"/>
    <w:rsid w:val="00D6219D"/>
    <w:rsid w:val="00D629AB"/>
    <w:rsid w:val="00D63964"/>
    <w:rsid w:val="00D64B0C"/>
    <w:rsid w:val="00D6513C"/>
    <w:rsid w:val="00D70204"/>
    <w:rsid w:val="00D70BC7"/>
    <w:rsid w:val="00D70CCD"/>
    <w:rsid w:val="00D71A14"/>
    <w:rsid w:val="00D72599"/>
    <w:rsid w:val="00D729ED"/>
    <w:rsid w:val="00D768E3"/>
    <w:rsid w:val="00D830C0"/>
    <w:rsid w:val="00D83DE7"/>
    <w:rsid w:val="00D85D87"/>
    <w:rsid w:val="00D878CC"/>
    <w:rsid w:val="00D90065"/>
    <w:rsid w:val="00D90DFA"/>
    <w:rsid w:val="00D93594"/>
    <w:rsid w:val="00D93B08"/>
    <w:rsid w:val="00DA1CB8"/>
    <w:rsid w:val="00DA2FDF"/>
    <w:rsid w:val="00DA33EB"/>
    <w:rsid w:val="00DA3CB8"/>
    <w:rsid w:val="00DA489D"/>
    <w:rsid w:val="00DA7FAD"/>
    <w:rsid w:val="00DB0DBD"/>
    <w:rsid w:val="00DB3CAD"/>
    <w:rsid w:val="00DB574D"/>
    <w:rsid w:val="00DB5ED6"/>
    <w:rsid w:val="00DC1597"/>
    <w:rsid w:val="00DC2843"/>
    <w:rsid w:val="00DC2877"/>
    <w:rsid w:val="00DC5080"/>
    <w:rsid w:val="00DD109C"/>
    <w:rsid w:val="00DD1F15"/>
    <w:rsid w:val="00DD6139"/>
    <w:rsid w:val="00DE752E"/>
    <w:rsid w:val="00DF1052"/>
    <w:rsid w:val="00DF44C0"/>
    <w:rsid w:val="00DF4C05"/>
    <w:rsid w:val="00DF6037"/>
    <w:rsid w:val="00E01304"/>
    <w:rsid w:val="00E01C6D"/>
    <w:rsid w:val="00E02545"/>
    <w:rsid w:val="00E0314B"/>
    <w:rsid w:val="00E04603"/>
    <w:rsid w:val="00E047F5"/>
    <w:rsid w:val="00E06D47"/>
    <w:rsid w:val="00E125D8"/>
    <w:rsid w:val="00E1492F"/>
    <w:rsid w:val="00E1550C"/>
    <w:rsid w:val="00E15E99"/>
    <w:rsid w:val="00E250DA"/>
    <w:rsid w:val="00E27933"/>
    <w:rsid w:val="00E3394A"/>
    <w:rsid w:val="00E36918"/>
    <w:rsid w:val="00E37F7A"/>
    <w:rsid w:val="00E42012"/>
    <w:rsid w:val="00E432E9"/>
    <w:rsid w:val="00E52011"/>
    <w:rsid w:val="00E52081"/>
    <w:rsid w:val="00E53172"/>
    <w:rsid w:val="00E65F6F"/>
    <w:rsid w:val="00E848F4"/>
    <w:rsid w:val="00E861A4"/>
    <w:rsid w:val="00E86EDF"/>
    <w:rsid w:val="00E874C9"/>
    <w:rsid w:val="00E95BF4"/>
    <w:rsid w:val="00EA3D4B"/>
    <w:rsid w:val="00EB179A"/>
    <w:rsid w:val="00EB1F08"/>
    <w:rsid w:val="00EB2CF0"/>
    <w:rsid w:val="00EB2D55"/>
    <w:rsid w:val="00EB5A70"/>
    <w:rsid w:val="00EC1BF6"/>
    <w:rsid w:val="00EC3CF5"/>
    <w:rsid w:val="00EC572D"/>
    <w:rsid w:val="00EC7FA3"/>
    <w:rsid w:val="00ED151C"/>
    <w:rsid w:val="00ED17EC"/>
    <w:rsid w:val="00ED4355"/>
    <w:rsid w:val="00EF306F"/>
    <w:rsid w:val="00F00754"/>
    <w:rsid w:val="00F03F48"/>
    <w:rsid w:val="00F1777E"/>
    <w:rsid w:val="00F2012D"/>
    <w:rsid w:val="00F207C0"/>
    <w:rsid w:val="00F22CE4"/>
    <w:rsid w:val="00F31E6E"/>
    <w:rsid w:val="00F53B9F"/>
    <w:rsid w:val="00F57A8F"/>
    <w:rsid w:val="00F61CCB"/>
    <w:rsid w:val="00F61D94"/>
    <w:rsid w:val="00F62ABC"/>
    <w:rsid w:val="00F62DE7"/>
    <w:rsid w:val="00F6320B"/>
    <w:rsid w:val="00F65BEE"/>
    <w:rsid w:val="00F7561E"/>
    <w:rsid w:val="00F83175"/>
    <w:rsid w:val="00F87198"/>
    <w:rsid w:val="00F95199"/>
    <w:rsid w:val="00FA1A94"/>
    <w:rsid w:val="00FA3971"/>
    <w:rsid w:val="00FA485B"/>
    <w:rsid w:val="00FA5198"/>
    <w:rsid w:val="00FA678E"/>
    <w:rsid w:val="00FA6E39"/>
    <w:rsid w:val="00FB05A5"/>
    <w:rsid w:val="00FB4DA6"/>
    <w:rsid w:val="00FB5701"/>
    <w:rsid w:val="00FC2D40"/>
    <w:rsid w:val="00FC2DB0"/>
    <w:rsid w:val="00FC3D6E"/>
    <w:rsid w:val="00FC6149"/>
    <w:rsid w:val="00FC6F2C"/>
    <w:rsid w:val="00FC7DD4"/>
    <w:rsid w:val="00FD1A1E"/>
    <w:rsid w:val="00FE0B77"/>
    <w:rsid w:val="00FE3432"/>
    <w:rsid w:val="00FE5594"/>
    <w:rsid w:val="00FE55B0"/>
    <w:rsid w:val="00FE7A63"/>
    <w:rsid w:val="00FE7B81"/>
    <w:rsid w:val="00FF4BE7"/>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0BE21"/>
  <w15:docId w15:val="{71D7E4DE-AE37-462B-9ABC-828AC4F1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225"/>
  </w:style>
  <w:style w:type="paragraph" w:styleId="Footer">
    <w:name w:val="footer"/>
    <w:basedOn w:val="Normal"/>
    <w:link w:val="FooterChar"/>
    <w:uiPriority w:val="99"/>
    <w:unhideWhenUsed/>
    <w:rsid w:val="00281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225"/>
  </w:style>
  <w:style w:type="paragraph" w:styleId="BalloonText">
    <w:name w:val="Balloon Text"/>
    <w:basedOn w:val="Normal"/>
    <w:link w:val="BalloonTextChar"/>
    <w:uiPriority w:val="99"/>
    <w:semiHidden/>
    <w:unhideWhenUsed/>
    <w:rsid w:val="00281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25"/>
    <w:rPr>
      <w:rFonts w:ascii="Tahoma" w:hAnsi="Tahoma" w:cs="Tahoma"/>
      <w:sz w:val="16"/>
      <w:szCs w:val="16"/>
    </w:rPr>
  </w:style>
  <w:style w:type="table" w:styleId="TableGrid">
    <w:name w:val="Table Grid"/>
    <w:basedOn w:val="TableNormal"/>
    <w:uiPriority w:val="59"/>
    <w:rsid w:val="0028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026"/>
    <w:pPr>
      <w:ind w:left="720"/>
      <w:contextualSpacing/>
    </w:pPr>
  </w:style>
  <w:style w:type="character" w:styleId="Hyperlink">
    <w:name w:val="Hyperlink"/>
    <w:basedOn w:val="DefaultParagraphFont"/>
    <w:uiPriority w:val="99"/>
    <w:unhideWhenUsed/>
    <w:rsid w:val="000C040F"/>
    <w:rPr>
      <w:color w:val="0000FF" w:themeColor="hyperlink"/>
      <w:u w:val="single"/>
    </w:rPr>
  </w:style>
  <w:style w:type="paragraph" w:styleId="BodyTextIndent">
    <w:name w:val="Body Text Indent"/>
    <w:basedOn w:val="Normal"/>
    <w:link w:val="BodyTextIndentChar"/>
    <w:uiPriority w:val="99"/>
    <w:rsid w:val="00E02545"/>
    <w:pPr>
      <w:spacing w:after="0" w:line="480" w:lineRule="auto"/>
      <w:ind w:left="3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uiPriority w:val="99"/>
    <w:rsid w:val="00E02545"/>
    <w:rPr>
      <w:rFonts w:ascii="Arial" w:eastAsia="Times New Roman" w:hAnsi="Arial" w:cs="Times New Roman"/>
      <w:sz w:val="24"/>
      <w:szCs w:val="20"/>
    </w:rPr>
  </w:style>
  <w:style w:type="paragraph" w:styleId="CommentText">
    <w:name w:val="annotation text"/>
    <w:basedOn w:val="Normal"/>
    <w:link w:val="CommentTextChar"/>
    <w:uiPriority w:val="99"/>
    <w:semiHidden/>
    <w:unhideWhenUsed/>
    <w:rsid w:val="006A7286"/>
    <w:pPr>
      <w:spacing w:line="240" w:lineRule="auto"/>
    </w:pPr>
    <w:rPr>
      <w:sz w:val="20"/>
      <w:szCs w:val="20"/>
    </w:rPr>
  </w:style>
  <w:style w:type="character" w:customStyle="1" w:styleId="CommentTextChar">
    <w:name w:val="Comment Text Char"/>
    <w:basedOn w:val="DefaultParagraphFont"/>
    <w:link w:val="CommentText"/>
    <w:uiPriority w:val="99"/>
    <w:semiHidden/>
    <w:rsid w:val="006A7286"/>
    <w:rPr>
      <w:sz w:val="20"/>
      <w:szCs w:val="20"/>
    </w:rPr>
  </w:style>
  <w:style w:type="paragraph" w:styleId="CommentSubject">
    <w:name w:val="annotation subject"/>
    <w:basedOn w:val="CommentText"/>
    <w:next w:val="CommentText"/>
    <w:link w:val="CommentSubjectChar"/>
    <w:uiPriority w:val="99"/>
    <w:semiHidden/>
    <w:rsid w:val="006A7286"/>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6A7286"/>
    <w:rPr>
      <w:rFonts w:ascii="Calibri" w:eastAsia="Calibri" w:hAnsi="Calibri" w:cs="Times New Roman"/>
      <w:b/>
      <w:bCs/>
      <w:sz w:val="20"/>
      <w:szCs w:val="20"/>
    </w:rPr>
  </w:style>
  <w:style w:type="paragraph" w:styleId="NoSpacing">
    <w:name w:val="No Spacing"/>
    <w:uiPriority w:val="1"/>
    <w:qFormat/>
    <w:rsid w:val="004B6DC2"/>
    <w:pPr>
      <w:spacing w:after="0" w:line="240" w:lineRule="auto"/>
    </w:pPr>
  </w:style>
  <w:style w:type="character" w:styleId="LineNumber">
    <w:name w:val="line number"/>
    <w:basedOn w:val="DefaultParagraphFont"/>
    <w:uiPriority w:val="99"/>
    <w:semiHidden/>
    <w:unhideWhenUsed/>
    <w:rsid w:val="00F61D94"/>
  </w:style>
  <w:style w:type="character" w:styleId="UnresolvedMention">
    <w:name w:val="Unresolved Mention"/>
    <w:basedOn w:val="DefaultParagraphFont"/>
    <w:uiPriority w:val="99"/>
    <w:semiHidden/>
    <w:unhideWhenUsed/>
    <w:rsid w:val="00F61D94"/>
    <w:rPr>
      <w:color w:val="605E5C"/>
      <w:shd w:val="clear" w:color="auto" w:fill="E1DFDD"/>
    </w:rPr>
  </w:style>
  <w:style w:type="character" w:styleId="FollowedHyperlink">
    <w:name w:val="FollowedHyperlink"/>
    <w:basedOn w:val="DefaultParagraphFont"/>
    <w:uiPriority w:val="99"/>
    <w:semiHidden/>
    <w:unhideWhenUsed/>
    <w:rsid w:val="00F61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tb/programs/evaluation/indicators/default.htm"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tb/programs/evaluation/indicators/default.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Trudy.Stein-Hart@tn.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tb/programs/evaluation/indicators/default.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en.Katz@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1883-1404-45B4-A5EE-5A9CEA5B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4591</Words>
  <Characters>26173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30703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Cummins</dc:creator>
  <cp:lastModifiedBy>Jennifer</cp:lastModifiedBy>
  <cp:revision>2</cp:revision>
  <cp:lastPrinted>2021-07-07T19:14:00Z</cp:lastPrinted>
  <dcterms:created xsi:type="dcterms:W3CDTF">2021-07-15T20:39:00Z</dcterms:created>
  <dcterms:modified xsi:type="dcterms:W3CDTF">2021-07-15T20:39:00Z</dcterms:modified>
</cp:coreProperties>
</file>