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E479" w14:textId="502827A3" w:rsidR="00BB3854" w:rsidRPr="00BB3854" w:rsidRDefault="00BB3854" w:rsidP="00281225">
      <w:pPr>
        <w:spacing w:after="0" w:line="360" w:lineRule="auto"/>
        <w:rPr>
          <w:b/>
          <w:sz w:val="24"/>
          <w:szCs w:val="24"/>
          <w:u w:val="single"/>
        </w:rPr>
      </w:pPr>
      <w:bookmarkStart w:id="0" w:name="_Hlk75756020"/>
      <w:r>
        <w:rPr>
          <w:b/>
          <w:sz w:val="24"/>
          <w:szCs w:val="24"/>
          <w:u w:val="single"/>
        </w:rPr>
        <w:t>PREVENTION AND CONTROL</w:t>
      </w:r>
    </w:p>
    <w:bookmarkEnd w:id="0"/>
    <w:p w14:paraId="409CEA79" w14:textId="09BDA574" w:rsidR="007C5B5F" w:rsidRPr="00D70CCD" w:rsidRDefault="00AC3B72" w:rsidP="00C31891">
      <w:pPr>
        <w:spacing w:after="0" w:line="240" w:lineRule="auto"/>
        <w:rPr>
          <w:b/>
          <w:sz w:val="24"/>
          <w:szCs w:val="24"/>
          <w:u w:val="single"/>
        </w:rPr>
      </w:pPr>
      <w:r w:rsidRPr="00D70CCD">
        <w:rPr>
          <w:b/>
          <w:sz w:val="24"/>
          <w:szCs w:val="24"/>
          <w:u w:val="single"/>
        </w:rPr>
        <w:t>NTIP Summary Report</w:t>
      </w:r>
      <w:r w:rsidR="001D0C36" w:rsidRPr="00D70CCD">
        <w:rPr>
          <w:b/>
          <w:sz w:val="24"/>
          <w:szCs w:val="24"/>
          <w:u w:val="single"/>
        </w:rPr>
        <w:t xml:space="preserve"> </w:t>
      </w:r>
    </w:p>
    <w:p w14:paraId="4B811826" w14:textId="6365E618" w:rsidR="00C31891" w:rsidRDefault="00C31891" w:rsidP="00C31891">
      <w:pPr>
        <w:spacing w:after="0" w:line="240" w:lineRule="auto"/>
        <w:rPr>
          <w:bCs/>
          <w:sz w:val="24"/>
          <w:szCs w:val="24"/>
        </w:rPr>
      </w:pPr>
      <w:r>
        <w:rPr>
          <w:bCs/>
          <w:i/>
          <w:iCs/>
          <w:sz w:val="24"/>
          <w:szCs w:val="24"/>
          <w:u w:val="single"/>
        </w:rPr>
        <w:t>Source</w:t>
      </w:r>
      <w:r>
        <w:rPr>
          <w:bCs/>
          <w:sz w:val="24"/>
          <w:szCs w:val="24"/>
        </w:rPr>
        <w:t>:</w:t>
      </w:r>
      <w:r>
        <w:rPr>
          <w:bCs/>
          <w:sz w:val="24"/>
          <w:szCs w:val="24"/>
        </w:rPr>
        <w:tab/>
        <w:t xml:space="preserve"> 2020 data (</w:t>
      </w:r>
      <w:r w:rsidR="0085314D">
        <w:rPr>
          <w:bCs/>
          <w:sz w:val="24"/>
          <w:szCs w:val="24"/>
        </w:rPr>
        <w:t>NTIP data updated 7/</w:t>
      </w:r>
      <w:r w:rsidR="00796454">
        <w:rPr>
          <w:bCs/>
          <w:sz w:val="24"/>
          <w:szCs w:val="24"/>
        </w:rPr>
        <w:t>28</w:t>
      </w:r>
      <w:r w:rsidR="0085314D">
        <w:rPr>
          <w:bCs/>
          <w:sz w:val="24"/>
          <w:szCs w:val="24"/>
        </w:rPr>
        <w:t>/21</w:t>
      </w:r>
      <w:r>
        <w:rPr>
          <w:bCs/>
          <w:sz w:val="24"/>
          <w:szCs w:val="24"/>
        </w:rPr>
        <w:t>)</w:t>
      </w:r>
    </w:p>
    <w:p w14:paraId="5A2B4BB2" w14:textId="3624D3A0" w:rsidR="00C37D2E" w:rsidRPr="00C31891" w:rsidRDefault="00C37D2E" w:rsidP="00C31891">
      <w:pPr>
        <w:spacing w:after="0" w:line="240" w:lineRule="auto"/>
        <w:rPr>
          <w:bCs/>
          <w:sz w:val="24"/>
          <w:szCs w:val="24"/>
        </w:rPr>
      </w:pPr>
      <w:r>
        <w:rPr>
          <w:bCs/>
          <w:sz w:val="24"/>
          <w:szCs w:val="24"/>
        </w:rPr>
        <w:tab/>
        <w:t xml:space="preserve"> 2021 Q1 </w:t>
      </w:r>
      <w:r w:rsidR="00013402">
        <w:rPr>
          <w:bCs/>
          <w:sz w:val="24"/>
          <w:szCs w:val="24"/>
        </w:rPr>
        <w:t xml:space="preserve">and Q2 </w:t>
      </w:r>
      <w:r>
        <w:rPr>
          <w:bCs/>
          <w:sz w:val="24"/>
          <w:szCs w:val="24"/>
        </w:rPr>
        <w:t xml:space="preserve">data </w:t>
      </w:r>
      <w:r w:rsidR="00400658">
        <w:rPr>
          <w:bCs/>
          <w:sz w:val="24"/>
          <w:szCs w:val="24"/>
        </w:rPr>
        <w:t xml:space="preserve">(accessed </w:t>
      </w:r>
      <w:r w:rsidR="00013402">
        <w:rPr>
          <w:bCs/>
          <w:sz w:val="24"/>
          <w:szCs w:val="24"/>
        </w:rPr>
        <w:t>7/</w:t>
      </w:r>
      <w:r w:rsidR="00796454">
        <w:rPr>
          <w:bCs/>
          <w:sz w:val="24"/>
          <w:szCs w:val="24"/>
        </w:rPr>
        <w:t>28</w:t>
      </w:r>
      <w:r w:rsidR="00013402">
        <w:rPr>
          <w:bCs/>
          <w:sz w:val="24"/>
          <w:szCs w:val="24"/>
        </w:rPr>
        <w:t>/21</w:t>
      </w:r>
      <w:r w:rsidR="00400658">
        <w:rPr>
          <w:bCs/>
          <w:sz w:val="24"/>
          <w:szCs w:val="24"/>
        </w:rPr>
        <w:t>)</w:t>
      </w:r>
    </w:p>
    <w:p w14:paraId="390B9617" w14:textId="77777777" w:rsidR="00C75E0A" w:rsidRDefault="00C75E0A" w:rsidP="00C31891">
      <w:pPr>
        <w:spacing w:after="0" w:line="240" w:lineRule="auto"/>
        <w:rPr>
          <w:sz w:val="24"/>
          <w:szCs w:val="24"/>
          <w:u w:val="single"/>
        </w:rPr>
      </w:pPr>
    </w:p>
    <w:tbl>
      <w:tblPr>
        <w:tblStyle w:val="TableGrid"/>
        <w:tblW w:w="0" w:type="auto"/>
        <w:tblLook w:val="04A0" w:firstRow="1" w:lastRow="0" w:firstColumn="1" w:lastColumn="0" w:noHBand="0" w:noVBand="1"/>
      </w:tblPr>
      <w:tblGrid>
        <w:gridCol w:w="4945"/>
        <w:gridCol w:w="1260"/>
        <w:gridCol w:w="1080"/>
        <w:gridCol w:w="990"/>
        <w:gridCol w:w="1075"/>
      </w:tblGrid>
      <w:tr w:rsidR="00025479" w14:paraId="334C0718" w14:textId="77777777" w:rsidTr="00025479">
        <w:tc>
          <w:tcPr>
            <w:tcW w:w="4945" w:type="dxa"/>
            <w:vMerge w:val="restart"/>
            <w:shd w:val="clear" w:color="auto" w:fill="BFBFBF" w:themeFill="background1" w:themeFillShade="BF"/>
            <w:vAlign w:val="center"/>
          </w:tcPr>
          <w:p w14:paraId="0AC3ABC1" w14:textId="26E333E6" w:rsidR="00025479" w:rsidRPr="00025479" w:rsidRDefault="00025479" w:rsidP="00C31891">
            <w:pPr>
              <w:jc w:val="center"/>
              <w:rPr>
                <w:b/>
                <w:bCs/>
                <w:sz w:val="24"/>
                <w:szCs w:val="24"/>
              </w:rPr>
            </w:pPr>
            <w:r>
              <w:rPr>
                <w:b/>
                <w:bCs/>
                <w:sz w:val="24"/>
                <w:szCs w:val="24"/>
              </w:rPr>
              <w:t>National TB Program Objective</w:t>
            </w:r>
          </w:p>
        </w:tc>
        <w:tc>
          <w:tcPr>
            <w:tcW w:w="1260" w:type="dxa"/>
            <w:vMerge w:val="restart"/>
            <w:shd w:val="clear" w:color="auto" w:fill="BFBFBF" w:themeFill="background1" w:themeFillShade="BF"/>
            <w:vAlign w:val="center"/>
          </w:tcPr>
          <w:p w14:paraId="0FA0C855" w14:textId="0C5B5CD2" w:rsidR="00025479" w:rsidRPr="00025479" w:rsidRDefault="00025479" w:rsidP="00C31891">
            <w:pPr>
              <w:jc w:val="center"/>
              <w:rPr>
                <w:b/>
                <w:bCs/>
                <w:sz w:val="24"/>
                <w:szCs w:val="24"/>
              </w:rPr>
            </w:pPr>
            <w:r>
              <w:rPr>
                <w:b/>
                <w:bCs/>
                <w:sz w:val="24"/>
                <w:szCs w:val="24"/>
              </w:rPr>
              <w:t>2025 Target</w:t>
            </w:r>
          </w:p>
        </w:tc>
        <w:tc>
          <w:tcPr>
            <w:tcW w:w="1080" w:type="dxa"/>
            <w:vMerge w:val="restart"/>
            <w:shd w:val="clear" w:color="auto" w:fill="BFBFBF" w:themeFill="background1" w:themeFillShade="BF"/>
            <w:vAlign w:val="center"/>
          </w:tcPr>
          <w:p w14:paraId="263227B8" w14:textId="299EF433" w:rsidR="00025479" w:rsidRPr="00025479" w:rsidRDefault="00025479" w:rsidP="00C31891">
            <w:pPr>
              <w:jc w:val="center"/>
              <w:rPr>
                <w:b/>
                <w:bCs/>
                <w:sz w:val="24"/>
                <w:szCs w:val="24"/>
              </w:rPr>
            </w:pPr>
            <w:r>
              <w:rPr>
                <w:b/>
                <w:bCs/>
                <w:sz w:val="24"/>
                <w:szCs w:val="24"/>
              </w:rPr>
              <w:t>2020 Result</w:t>
            </w:r>
          </w:p>
        </w:tc>
        <w:tc>
          <w:tcPr>
            <w:tcW w:w="2065" w:type="dxa"/>
            <w:gridSpan w:val="2"/>
            <w:shd w:val="clear" w:color="auto" w:fill="BFBFBF" w:themeFill="background1" w:themeFillShade="BF"/>
            <w:vAlign w:val="center"/>
          </w:tcPr>
          <w:p w14:paraId="106CA6EA" w14:textId="36983409" w:rsidR="00025479" w:rsidRPr="00025479" w:rsidRDefault="00025479" w:rsidP="00C31891">
            <w:pPr>
              <w:jc w:val="center"/>
              <w:rPr>
                <w:b/>
                <w:bCs/>
                <w:sz w:val="24"/>
                <w:szCs w:val="24"/>
              </w:rPr>
            </w:pPr>
            <w:r>
              <w:rPr>
                <w:b/>
                <w:bCs/>
                <w:sz w:val="24"/>
                <w:szCs w:val="24"/>
              </w:rPr>
              <w:t>2021 Result</w:t>
            </w:r>
          </w:p>
        </w:tc>
      </w:tr>
      <w:tr w:rsidR="00025479" w14:paraId="56D1F72C" w14:textId="77777777" w:rsidTr="00025479">
        <w:tc>
          <w:tcPr>
            <w:tcW w:w="4945" w:type="dxa"/>
            <w:vMerge/>
          </w:tcPr>
          <w:p w14:paraId="06B90461" w14:textId="77777777" w:rsidR="00025479" w:rsidRPr="00025479" w:rsidRDefault="00025479" w:rsidP="00C31891">
            <w:pPr>
              <w:rPr>
                <w:sz w:val="24"/>
                <w:szCs w:val="24"/>
              </w:rPr>
            </w:pPr>
          </w:p>
        </w:tc>
        <w:tc>
          <w:tcPr>
            <w:tcW w:w="1260" w:type="dxa"/>
            <w:vMerge/>
          </w:tcPr>
          <w:p w14:paraId="02E9BCDB" w14:textId="77777777" w:rsidR="00025479" w:rsidRPr="00025479" w:rsidRDefault="00025479" w:rsidP="00C31891">
            <w:pPr>
              <w:rPr>
                <w:sz w:val="24"/>
                <w:szCs w:val="24"/>
              </w:rPr>
            </w:pPr>
          </w:p>
        </w:tc>
        <w:tc>
          <w:tcPr>
            <w:tcW w:w="1080" w:type="dxa"/>
            <w:vMerge/>
          </w:tcPr>
          <w:p w14:paraId="5BFED933" w14:textId="77777777" w:rsidR="00025479" w:rsidRPr="00025479" w:rsidRDefault="00025479" w:rsidP="00C31891">
            <w:pPr>
              <w:rPr>
                <w:sz w:val="24"/>
                <w:szCs w:val="24"/>
              </w:rPr>
            </w:pPr>
          </w:p>
        </w:tc>
        <w:tc>
          <w:tcPr>
            <w:tcW w:w="990" w:type="dxa"/>
            <w:shd w:val="clear" w:color="auto" w:fill="BFBFBF" w:themeFill="background1" w:themeFillShade="BF"/>
            <w:vAlign w:val="center"/>
          </w:tcPr>
          <w:p w14:paraId="5ADF69D9" w14:textId="3369D4CD" w:rsidR="00025479" w:rsidRPr="00025479" w:rsidRDefault="00025479" w:rsidP="00C31891">
            <w:pPr>
              <w:jc w:val="center"/>
              <w:rPr>
                <w:b/>
                <w:bCs/>
                <w:sz w:val="24"/>
                <w:szCs w:val="24"/>
              </w:rPr>
            </w:pPr>
            <w:r w:rsidRPr="00025479">
              <w:rPr>
                <w:b/>
                <w:bCs/>
                <w:sz w:val="24"/>
                <w:szCs w:val="24"/>
              </w:rPr>
              <w:t>Q1</w:t>
            </w:r>
          </w:p>
        </w:tc>
        <w:tc>
          <w:tcPr>
            <w:tcW w:w="1075" w:type="dxa"/>
            <w:shd w:val="clear" w:color="auto" w:fill="BFBFBF" w:themeFill="background1" w:themeFillShade="BF"/>
            <w:vAlign w:val="center"/>
          </w:tcPr>
          <w:p w14:paraId="47EC7F06" w14:textId="1B68616E" w:rsidR="00025479" w:rsidRPr="00025479" w:rsidRDefault="00025479" w:rsidP="00C31891">
            <w:pPr>
              <w:jc w:val="center"/>
              <w:rPr>
                <w:b/>
                <w:bCs/>
                <w:sz w:val="24"/>
                <w:szCs w:val="24"/>
              </w:rPr>
            </w:pPr>
            <w:r w:rsidRPr="00025479">
              <w:rPr>
                <w:b/>
                <w:bCs/>
                <w:sz w:val="24"/>
                <w:szCs w:val="24"/>
              </w:rPr>
              <w:t>Q2</w:t>
            </w:r>
          </w:p>
        </w:tc>
      </w:tr>
      <w:tr w:rsidR="00C31891" w14:paraId="712D2D48" w14:textId="77777777" w:rsidTr="00C31891">
        <w:tc>
          <w:tcPr>
            <w:tcW w:w="9350" w:type="dxa"/>
            <w:gridSpan w:val="5"/>
            <w:shd w:val="clear" w:color="auto" w:fill="D9D9D9" w:themeFill="background1" w:themeFillShade="D9"/>
          </w:tcPr>
          <w:p w14:paraId="063D1A78" w14:textId="33CD4F72" w:rsidR="00C31891" w:rsidRPr="00025479" w:rsidRDefault="00C31891" w:rsidP="00C31891">
            <w:pPr>
              <w:rPr>
                <w:sz w:val="24"/>
                <w:szCs w:val="24"/>
              </w:rPr>
            </w:pPr>
            <w:r>
              <w:rPr>
                <w:b/>
                <w:bCs/>
                <w:sz w:val="24"/>
                <w:szCs w:val="24"/>
              </w:rPr>
              <w:t>Goals for Reducing TB Incidence</w:t>
            </w:r>
            <w:r w:rsidR="00B23A67">
              <w:rPr>
                <w:b/>
                <w:bCs/>
                <w:sz w:val="24"/>
                <w:szCs w:val="24"/>
              </w:rPr>
              <w:t xml:space="preserve"> (incidence per 100,000 population)</w:t>
            </w:r>
          </w:p>
        </w:tc>
      </w:tr>
      <w:tr w:rsidR="00C31891" w14:paraId="45E6587D" w14:textId="77777777" w:rsidTr="00025479">
        <w:tc>
          <w:tcPr>
            <w:tcW w:w="4945" w:type="dxa"/>
          </w:tcPr>
          <w:p w14:paraId="728C0869" w14:textId="26DC65D2" w:rsidR="00C31891" w:rsidRDefault="00C31891" w:rsidP="00C31891">
            <w:pPr>
              <w:rPr>
                <w:sz w:val="24"/>
                <w:szCs w:val="24"/>
              </w:rPr>
            </w:pPr>
            <w:r>
              <w:rPr>
                <w:sz w:val="24"/>
                <w:szCs w:val="24"/>
              </w:rPr>
              <w:t>TB Incidence</w:t>
            </w:r>
          </w:p>
        </w:tc>
        <w:tc>
          <w:tcPr>
            <w:tcW w:w="1260" w:type="dxa"/>
            <w:vAlign w:val="center"/>
          </w:tcPr>
          <w:p w14:paraId="012B98E3" w14:textId="08ACD80C" w:rsidR="00C31891" w:rsidRDefault="00C31891" w:rsidP="00C31891">
            <w:pPr>
              <w:jc w:val="center"/>
              <w:rPr>
                <w:sz w:val="24"/>
                <w:szCs w:val="24"/>
              </w:rPr>
            </w:pPr>
            <w:r>
              <w:rPr>
                <w:sz w:val="24"/>
                <w:szCs w:val="24"/>
              </w:rPr>
              <w:t>1.3</w:t>
            </w:r>
          </w:p>
        </w:tc>
        <w:tc>
          <w:tcPr>
            <w:tcW w:w="1080" w:type="dxa"/>
            <w:vAlign w:val="center"/>
          </w:tcPr>
          <w:p w14:paraId="0094EFF2" w14:textId="5711684E" w:rsidR="00C31891" w:rsidRPr="00AE6B24" w:rsidRDefault="00C31891" w:rsidP="00C31891">
            <w:pPr>
              <w:jc w:val="center"/>
              <w:rPr>
                <w:sz w:val="24"/>
                <w:szCs w:val="24"/>
                <w:vertAlign w:val="superscript"/>
              </w:rPr>
            </w:pPr>
            <w:r>
              <w:rPr>
                <w:sz w:val="24"/>
                <w:szCs w:val="24"/>
              </w:rPr>
              <w:t>1.7</w:t>
            </w:r>
            <w:r w:rsidR="00AE6B24">
              <w:rPr>
                <w:sz w:val="24"/>
                <w:szCs w:val="24"/>
                <w:vertAlign w:val="superscript"/>
              </w:rPr>
              <w:t>*</w:t>
            </w:r>
          </w:p>
        </w:tc>
        <w:tc>
          <w:tcPr>
            <w:tcW w:w="990" w:type="dxa"/>
            <w:vAlign w:val="center"/>
          </w:tcPr>
          <w:p w14:paraId="6CC5C239" w14:textId="22A1451B" w:rsidR="00C31891" w:rsidRPr="00906A10" w:rsidRDefault="00DE752E" w:rsidP="00C31891">
            <w:pPr>
              <w:jc w:val="center"/>
              <w:rPr>
                <w:sz w:val="24"/>
                <w:szCs w:val="24"/>
                <w:vertAlign w:val="superscript"/>
              </w:rPr>
            </w:pPr>
            <w:r>
              <w:rPr>
                <w:sz w:val="24"/>
                <w:szCs w:val="24"/>
              </w:rPr>
              <w:t>0.22</w:t>
            </w:r>
            <w:r w:rsidR="00906A10">
              <w:rPr>
                <w:rFonts w:cstheme="minorHAnsi"/>
                <w:sz w:val="24"/>
                <w:szCs w:val="24"/>
                <w:vertAlign w:val="superscript"/>
              </w:rPr>
              <w:t>§</w:t>
            </w:r>
          </w:p>
        </w:tc>
        <w:tc>
          <w:tcPr>
            <w:tcW w:w="1075" w:type="dxa"/>
            <w:vAlign w:val="center"/>
          </w:tcPr>
          <w:p w14:paraId="79B8E998" w14:textId="1ABC47E0" w:rsidR="00C31891" w:rsidRPr="00906A10" w:rsidRDefault="00964C03" w:rsidP="00C31891">
            <w:pPr>
              <w:jc w:val="center"/>
              <w:rPr>
                <w:sz w:val="24"/>
                <w:szCs w:val="24"/>
                <w:vertAlign w:val="superscript"/>
              </w:rPr>
            </w:pPr>
            <w:r>
              <w:rPr>
                <w:sz w:val="24"/>
                <w:szCs w:val="24"/>
              </w:rPr>
              <w:t>0.40</w:t>
            </w:r>
            <w:r w:rsidR="00906A10">
              <w:rPr>
                <w:rFonts w:cstheme="minorHAnsi"/>
                <w:sz w:val="24"/>
                <w:szCs w:val="24"/>
                <w:vertAlign w:val="superscript"/>
              </w:rPr>
              <w:t>§</w:t>
            </w:r>
          </w:p>
        </w:tc>
      </w:tr>
      <w:tr w:rsidR="00025479" w14:paraId="28F56E62" w14:textId="77777777" w:rsidTr="00025479">
        <w:tc>
          <w:tcPr>
            <w:tcW w:w="4945" w:type="dxa"/>
          </w:tcPr>
          <w:p w14:paraId="11120092" w14:textId="7E316C85" w:rsidR="00025479" w:rsidRPr="00025479" w:rsidRDefault="00C31891" w:rsidP="00C31891">
            <w:pPr>
              <w:rPr>
                <w:sz w:val="24"/>
                <w:szCs w:val="24"/>
              </w:rPr>
            </w:pPr>
            <w:r>
              <w:rPr>
                <w:sz w:val="24"/>
                <w:szCs w:val="24"/>
              </w:rPr>
              <w:t>U.S.-born Persons</w:t>
            </w:r>
          </w:p>
        </w:tc>
        <w:tc>
          <w:tcPr>
            <w:tcW w:w="1260" w:type="dxa"/>
            <w:vAlign w:val="center"/>
          </w:tcPr>
          <w:p w14:paraId="7AACA525" w14:textId="3F081625" w:rsidR="00025479" w:rsidRPr="00025479" w:rsidRDefault="00C31891" w:rsidP="00C31891">
            <w:pPr>
              <w:jc w:val="center"/>
              <w:rPr>
                <w:sz w:val="24"/>
                <w:szCs w:val="24"/>
              </w:rPr>
            </w:pPr>
            <w:r>
              <w:rPr>
                <w:sz w:val="24"/>
                <w:szCs w:val="24"/>
              </w:rPr>
              <w:t>0.4</w:t>
            </w:r>
          </w:p>
        </w:tc>
        <w:tc>
          <w:tcPr>
            <w:tcW w:w="1080" w:type="dxa"/>
            <w:vAlign w:val="center"/>
          </w:tcPr>
          <w:p w14:paraId="4C4880EA" w14:textId="51DB55C5" w:rsidR="00025479" w:rsidRPr="00AE6B24" w:rsidRDefault="00C31891" w:rsidP="00C31891">
            <w:pPr>
              <w:jc w:val="center"/>
              <w:rPr>
                <w:sz w:val="24"/>
                <w:szCs w:val="24"/>
                <w:vertAlign w:val="superscript"/>
              </w:rPr>
            </w:pPr>
            <w:r>
              <w:rPr>
                <w:sz w:val="24"/>
                <w:szCs w:val="24"/>
              </w:rPr>
              <w:t>0.9</w:t>
            </w:r>
            <w:r w:rsidR="00AE6B24">
              <w:rPr>
                <w:sz w:val="24"/>
                <w:szCs w:val="24"/>
                <w:vertAlign w:val="superscript"/>
              </w:rPr>
              <w:t>*</w:t>
            </w:r>
          </w:p>
        </w:tc>
        <w:tc>
          <w:tcPr>
            <w:tcW w:w="990" w:type="dxa"/>
            <w:vAlign w:val="center"/>
          </w:tcPr>
          <w:p w14:paraId="1486703F" w14:textId="1FE4D71B" w:rsidR="00025479" w:rsidRPr="00906A10" w:rsidRDefault="00DE752E" w:rsidP="00C31891">
            <w:pPr>
              <w:jc w:val="center"/>
              <w:rPr>
                <w:sz w:val="24"/>
                <w:szCs w:val="24"/>
                <w:vertAlign w:val="superscript"/>
              </w:rPr>
            </w:pPr>
            <w:r>
              <w:rPr>
                <w:sz w:val="24"/>
                <w:szCs w:val="24"/>
              </w:rPr>
              <w:t>0.11</w:t>
            </w:r>
            <w:r w:rsidR="00906A10">
              <w:rPr>
                <w:rFonts w:cstheme="minorHAnsi"/>
                <w:sz w:val="24"/>
                <w:szCs w:val="24"/>
                <w:vertAlign w:val="superscript"/>
              </w:rPr>
              <w:t>§</w:t>
            </w:r>
          </w:p>
        </w:tc>
        <w:tc>
          <w:tcPr>
            <w:tcW w:w="1075" w:type="dxa"/>
            <w:vAlign w:val="center"/>
          </w:tcPr>
          <w:p w14:paraId="048CCF32" w14:textId="441E2D39" w:rsidR="00025479" w:rsidRPr="00906A10" w:rsidRDefault="00906A10" w:rsidP="00C31891">
            <w:pPr>
              <w:jc w:val="center"/>
              <w:rPr>
                <w:sz w:val="24"/>
                <w:szCs w:val="24"/>
                <w:vertAlign w:val="superscript"/>
              </w:rPr>
            </w:pPr>
            <w:r>
              <w:rPr>
                <w:sz w:val="24"/>
                <w:szCs w:val="24"/>
              </w:rPr>
              <w:t>0.20</w:t>
            </w:r>
            <w:r>
              <w:rPr>
                <w:rFonts w:cstheme="minorHAnsi"/>
                <w:sz w:val="24"/>
                <w:szCs w:val="24"/>
                <w:vertAlign w:val="superscript"/>
              </w:rPr>
              <w:t>§</w:t>
            </w:r>
          </w:p>
        </w:tc>
      </w:tr>
      <w:tr w:rsidR="00025479" w14:paraId="6C97F5F5" w14:textId="77777777" w:rsidTr="00025479">
        <w:tc>
          <w:tcPr>
            <w:tcW w:w="4945" w:type="dxa"/>
          </w:tcPr>
          <w:p w14:paraId="63D98445" w14:textId="7BB36790" w:rsidR="00025479" w:rsidRPr="00025479" w:rsidRDefault="00C31891" w:rsidP="00C31891">
            <w:pPr>
              <w:rPr>
                <w:sz w:val="24"/>
                <w:szCs w:val="24"/>
              </w:rPr>
            </w:pPr>
            <w:r>
              <w:rPr>
                <w:sz w:val="24"/>
                <w:szCs w:val="24"/>
              </w:rPr>
              <w:t>Non-U.S.-born Persons</w:t>
            </w:r>
          </w:p>
        </w:tc>
        <w:tc>
          <w:tcPr>
            <w:tcW w:w="1260" w:type="dxa"/>
            <w:vAlign w:val="center"/>
          </w:tcPr>
          <w:p w14:paraId="2AB43B03" w14:textId="652CA7EE" w:rsidR="00025479" w:rsidRPr="00025479" w:rsidRDefault="00C31891" w:rsidP="00C31891">
            <w:pPr>
              <w:jc w:val="center"/>
              <w:rPr>
                <w:sz w:val="24"/>
                <w:szCs w:val="24"/>
              </w:rPr>
            </w:pPr>
            <w:r>
              <w:rPr>
                <w:sz w:val="24"/>
                <w:szCs w:val="24"/>
              </w:rPr>
              <w:t>8.8</w:t>
            </w:r>
          </w:p>
        </w:tc>
        <w:tc>
          <w:tcPr>
            <w:tcW w:w="1080" w:type="dxa"/>
            <w:vAlign w:val="center"/>
          </w:tcPr>
          <w:p w14:paraId="5F48A3CD" w14:textId="667653CF" w:rsidR="00025479" w:rsidRPr="00AE6B24" w:rsidRDefault="00C31891" w:rsidP="00C31891">
            <w:pPr>
              <w:jc w:val="center"/>
              <w:rPr>
                <w:sz w:val="24"/>
                <w:szCs w:val="24"/>
                <w:vertAlign w:val="superscript"/>
              </w:rPr>
            </w:pPr>
            <w:r>
              <w:rPr>
                <w:sz w:val="24"/>
                <w:szCs w:val="24"/>
              </w:rPr>
              <w:t>15.4</w:t>
            </w:r>
            <w:r w:rsidR="00AE6B24">
              <w:rPr>
                <w:sz w:val="24"/>
                <w:szCs w:val="24"/>
                <w:vertAlign w:val="superscript"/>
              </w:rPr>
              <w:t>*</w:t>
            </w:r>
          </w:p>
        </w:tc>
        <w:tc>
          <w:tcPr>
            <w:tcW w:w="990" w:type="dxa"/>
            <w:vAlign w:val="center"/>
          </w:tcPr>
          <w:p w14:paraId="00C0D4C8" w14:textId="291CE66D" w:rsidR="00025479" w:rsidRPr="00906A10" w:rsidRDefault="00DE752E" w:rsidP="00C31891">
            <w:pPr>
              <w:jc w:val="center"/>
              <w:rPr>
                <w:sz w:val="24"/>
                <w:szCs w:val="24"/>
                <w:vertAlign w:val="superscript"/>
              </w:rPr>
            </w:pPr>
            <w:r>
              <w:rPr>
                <w:sz w:val="24"/>
                <w:szCs w:val="24"/>
              </w:rPr>
              <w:t>2.1</w:t>
            </w:r>
            <w:r w:rsidR="00906A10">
              <w:rPr>
                <w:rFonts w:cstheme="minorHAnsi"/>
                <w:sz w:val="24"/>
                <w:szCs w:val="24"/>
                <w:vertAlign w:val="superscript"/>
              </w:rPr>
              <w:t>§</w:t>
            </w:r>
          </w:p>
        </w:tc>
        <w:tc>
          <w:tcPr>
            <w:tcW w:w="1075" w:type="dxa"/>
            <w:vAlign w:val="center"/>
          </w:tcPr>
          <w:p w14:paraId="00AF9FF4" w14:textId="54B9BD2C" w:rsidR="00025479" w:rsidRPr="00906A10" w:rsidRDefault="00906A10" w:rsidP="00C31891">
            <w:pPr>
              <w:jc w:val="center"/>
              <w:rPr>
                <w:sz w:val="24"/>
                <w:szCs w:val="24"/>
                <w:vertAlign w:val="superscript"/>
              </w:rPr>
            </w:pPr>
            <w:r>
              <w:rPr>
                <w:sz w:val="24"/>
                <w:szCs w:val="24"/>
              </w:rPr>
              <w:t>3.7</w:t>
            </w:r>
            <w:r>
              <w:rPr>
                <w:rFonts w:cstheme="minorHAnsi"/>
                <w:sz w:val="24"/>
                <w:szCs w:val="24"/>
                <w:vertAlign w:val="superscript"/>
              </w:rPr>
              <w:t>§</w:t>
            </w:r>
          </w:p>
        </w:tc>
      </w:tr>
      <w:tr w:rsidR="00C31891" w14:paraId="310AB286" w14:textId="77777777" w:rsidTr="00025479">
        <w:tc>
          <w:tcPr>
            <w:tcW w:w="4945" w:type="dxa"/>
          </w:tcPr>
          <w:p w14:paraId="4C3FE887" w14:textId="0669874A" w:rsidR="00C31891" w:rsidRDefault="00C31891" w:rsidP="00C31891">
            <w:pPr>
              <w:rPr>
                <w:sz w:val="24"/>
                <w:szCs w:val="24"/>
              </w:rPr>
            </w:pPr>
            <w:r>
              <w:rPr>
                <w:sz w:val="24"/>
                <w:szCs w:val="24"/>
              </w:rPr>
              <w:t>U.S.-born, Non-Hispanic Blacks</w:t>
            </w:r>
          </w:p>
        </w:tc>
        <w:tc>
          <w:tcPr>
            <w:tcW w:w="1260" w:type="dxa"/>
            <w:vAlign w:val="center"/>
          </w:tcPr>
          <w:p w14:paraId="4AC86619" w14:textId="59162CB3" w:rsidR="00C31891" w:rsidRDefault="00C31891" w:rsidP="00C31891">
            <w:pPr>
              <w:jc w:val="center"/>
              <w:rPr>
                <w:sz w:val="24"/>
                <w:szCs w:val="24"/>
              </w:rPr>
            </w:pPr>
            <w:r>
              <w:rPr>
                <w:sz w:val="24"/>
                <w:szCs w:val="24"/>
              </w:rPr>
              <w:t>1.0</w:t>
            </w:r>
          </w:p>
        </w:tc>
        <w:tc>
          <w:tcPr>
            <w:tcW w:w="1080" w:type="dxa"/>
            <w:vAlign w:val="center"/>
          </w:tcPr>
          <w:p w14:paraId="0501BA42" w14:textId="647A25F5" w:rsidR="00C31891" w:rsidRPr="00AE6B24" w:rsidRDefault="00C31891" w:rsidP="00C31891">
            <w:pPr>
              <w:jc w:val="center"/>
              <w:rPr>
                <w:sz w:val="24"/>
                <w:szCs w:val="24"/>
                <w:vertAlign w:val="superscript"/>
              </w:rPr>
            </w:pPr>
            <w:r>
              <w:rPr>
                <w:sz w:val="24"/>
                <w:szCs w:val="24"/>
              </w:rPr>
              <w:t>3.1</w:t>
            </w:r>
            <w:r w:rsidR="00AE6B24">
              <w:rPr>
                <w:sz w:val="24"/>
                <w:szCs w:val="24"/>
                <w:vertAlign w:val="superscript"/>
              </w:rPr>
              <w:t>*</w:t>
            </w:r>
          </w:p>
        </w:tc>
        <w:tc>
          <w:tcPr>
            <w:tcW w:w="990" w:type="dxa"/>
            <w:vAlign w:val="center"/>
          </w:tcPr>
          <w:p w14:paraId="2E531C0B" w14:textId="54C09F3D" w:rsidR="00C31891" w:rsidRPr="00906A10" w:rsidRDefault="00DE752E" w:rsidP="00C31891">
            <w:pPr>
              <w:jc w:val="center"/>
              <w:rPr>
                <w:sz w:val="24"/>
                <w:szCs w:val="24"/>
                <w:vertAlign w:val="superscript"/>
              </w:rPr>
            </w:pPr>
            <w:r>
              <w:rPr>
                <w:sz w:val="24"/>
                <w:szCs w:val="24"/>
              </w:rPr>
              <w:t>0.54</w:t>
            </w:r>
            <w:r w:rsidR="00906A10">
              <w:rPr>
                <w:rFonts w:cstheme="minorHAnsi"/>
                <w:sz w:val="24"/>
                <w:szCs w:val="24"/>
                <w:vertAlign w:val="superscript"/>
              </w:rPr>
              <w:t>§</w:t>
            </w:r>
          </w:p>
        </w:tc>
        <w:tc>
          <w:tcPr>
            <w:tcW w:w="1075" w:type="dxa"/>
            <w:vAlign w:val="center"/>
          </w:tcPr>
          <w:p w14:paraId="45678FF6" w14:textId="749B162D" w:rsidR="00C31891" w:rsidRPr="00906A10" w:rsidRDefault="00906A10" w:rsidP="00C31891">
            <w:pPr>
              <w:jc w:val="center"/>
              <w:rPr>
                <w:sz w:val="24"/>
                <w:szCs w:val="24"/>
                <w:vertAlign w:val="superscript"/>
              </w:rPr>
            </w:pPr>
            <w:r>
              <w:rPr>
                <w:sz w:val="24"/>
                <w:szCs w:val="24"/>
              </w:rPr>
              <w:t>0.63</w:t>
            </w:r>
            <w:r>
              <w:rPr>
                <w:rFonts w:cstheme="minorHAnsi"/>
                <w:sz w:val="24"/>
                <w:szCs w:val="24"/>
                <w:vertAlign w:val="superscript"/>
              </w:rPr>
              <w:t>§</w:t>
            </w:r>
          </w:p>
        </w:tc>
      </w:tr>
      <w:tr w:rsidR="00C31891" w14:paraId="2C14C180" w14:textId="77777777" w:rsidTr="00025479">
        <w:tc>
          <w:tcPr>
            <w:tcW w:w="4945" w:type="dxa"/>
          </w:tcPr>
          <w:p w14:paraId="4E13C5F2" w14:textId="19AE3584" w:rsidR="00C31891" w:rsidRDefault="00C31891" w:rsidP="00C31891">
            <w:pPr>
              <w:rPr>
                <w:sz w:val="24"/>
                <w:szCs w:val="24"/>
              </w:rPr>
            </w:pPr>
            <w:r>
              <w:rPr>
                <w:sz w:val="24"/>
                <w:szCs w:val="24"/>
              </w:rPr>
              <w:t>Children Younger than 5 Years of Age</w:t>
            </w:r>
          </w:p>
        </w:tc>
        <w:tc>
          <w:tcPr>
            <w:tcW w:w="1260" w:type="dxa"/>
            <w:vAlign w:val="center"/>
          </w:tcPr>
          <w:p w14:paraId="679DA815" w14:textId="0F58E3C0" w:rsidR="00C31891" w:rsidRDefault="00C31891" w:rsidP="00C31891">
            <w:pPr>
              <w:jc w:val="center"/>
              <w:rPr>
                <w:sz w:val="24"/>
                <w:szCs w:val="24"/>
              </w:rPr>
            </w:pPr>
            <w:r>
              <w:rPr>
                <w:sz w:val="24"/>
                <w:szCs w:val="24"/>
              </w:rPr>
              <w:t>0.1</w:t>
            </w:r>
          </w:p>
        </w:tc>
        <w:tc>
          <w:tcPr>
            <w:tcW w:w="1080" w:type="dxa"/>
            <w:vAlign w:val="center"/>
          </w:tcPr>
          <w:p w14:paraId="26461F4C" w14:textId="3D0F0836" w:rsidR="00C31891" w:rsidRPr="00AE6B24" w:rsidRDefault="00C31891" w:rsidP="00C31891">
            <w:pPr>
              <w:jc w:val="center"/>
              <w:rPr>
                <w:sz w:val="24"/>
                <w:szCs w:val="24"/>
                <w:vertAlign w:val="superscript"/>
              </w:rPr>
            </w:pPr>
            <w:r>
              <w:rPr>
                <w:sz w:val="24"/>
                <w:szCs w:val="24"/>
              </w:rPr>
              <w:t>0.5</w:t>
            </w:r>
            <w:r w:rsidR="00AE6B24">
              <w:rPr>
                <w:sz w:val="24"/>
                <w:szCs w:val="24"/>
                <w:vertAlign w:val="superscript"/>
              </w:rPr>
              <w:t>*</w:t>
            </w:r>
          </w:p>
        </w:tc>
        <w:tc>
          <w:tcPr>
            <w:tcW w:w="990" w:type="dxa"/>
            <w:vAlign w:val="center"/>
          </w:tcPr>
          <w:p w14:paraId="6B2B6F23" w14:textId="7CA9D779" w:rsidR="00C31891" w:rsidRPr="00025479" w:rsidRDefault="00DE752E" w:rsidP="00C31891">
            <w:pPr>
              <w:jc w:val="center"/>
              <w:rPr>
                <w:sz w:val="24"/>
                <w:szCs w:val="24"/>
              </w:rPr>
            </w:pPr>
            <w:r>
              <w:rPr>
                <w:sz w:val="24"/>
                <w:szCs w:val="24"/>
              </w:rPr>
              <w:t>0.0</w:t>
            </w:r>
            <w:r w:rsidR="00906A10" w:rsidRPr="00906A10">
              <w:rPr>
                <w:rFonts w:cstheme="minorHAnsi"/>
                <w:sz w:val="24"/>
                <w:szCs w:val="24"/>
                <w:vertAlign w:val="superscript"/>
              </w:rPr>
              <w:t>§</w:t>
            </w:r>
          </w:p>
        </w:tc>
        <w:tc>
          <w:tcPr>
            <w:tcW w:w="1075" w:type="dxa"/>
            <w:vAlign w:val="center"/>
          </w:tcPr>
          <w:p w14:paraId="7C538B52" w14:textId="7CAEAA57" w:rsidR="00C31891" w:rsidRPr="00906A10" w:rsidRDefault="00906A10" w:rsidP="00C31891">
            <w:pPr>
              <w:jc w:val="center"/>
              <w:rPr>
                <w:sz w:val="24"/>
                <w:szCs w:val="24"/>
                <w:vertAlign w:val="superscript"/>
              </w:rPr>
            </w:pPr>
            <w:r>
              <w:rPr>
                <w:sz w:val="24"/>
                <w:szCs w:val="24"/>
              </w:rPr>
              <w:t>0.00</w:t>
            </w:r>
            <w:r>
              <w:rPr>
                <w:rFonts w:cstheme="minorHAnsi"/>
                <w:sz w:val="24"/>
                <w:szCs w:val="24"/>
                <w:vertAlign w:val="superscript"/>
              </w:rPr>
              <w:t>§</w:t>
            </w:r>
          </w:p>
        </w:tc>
      </w:tr>
      <w:tr w:rsidR="00C31891" w14:paraId="62C4D59A" w14:textId="77777777" w:rsidTr="00C31891">
        <w:tc>
          <w:tcPr>
            <w:tcW w:w="9350" w:type="dxa"/>
            <w:gridSpan w:val="5"/>
            <w:shd w:val="clear" w:color="auto" w:fill="D9D9D9" w:themeFill="background1" w:themeFillShade="D9"/>
          </w:tcPr>
          <w:p w14:paraId="1F1E26D7" w14:textId="56610CF0" w:rsidR="00C31891" w:rsidRPr="00C31891" w:rsidRDefault="00C31891" w:rsidP="00C31891">
            <w:pPr>
              <w:rPr>
                <w:b/>
                <w:bCs/>
                <w:sz w:val="24"/>
                <w:szCs w:val="24"/>
              </w:rPr>
            </w:pPr>
            <w:r>
              <w:rPr>
                <w:b/>
                <w:bCs/>
                <w:sz w:val="24"/>
                <w:szCs w:val="24"/>
              </w:rPr>
              <w:t>Objectives on Case Management and Treatment</w:t>
            </w:r>
            <w:r w:rsidR="00B23A67">
              <w:rPr>
                <w:b/>
                <w:bCs/>
                <w:sz w:val="24"/>
                <w:szCs w:val="24"/>
              </w:rPr>
              <w:t xml:space="preserve"> (%)</w:t>
            </w:r>
          </w:p>
        </w:tc>
      </w:tr>
      <w:tr w:rsidR="00C31891" w14:paraId="15A91B70" w14:textId="77777777" w:rsidTr="00025479">
        <w:tc>
          <w:tcPr>
            <w:tcW w:w="4945" w:type="dxa"/>
          </w:tcPr>
          <w:p w14:paraId="1E8BF191" w14:textId="792D241A" w:rsidR="00C31891" w:rsidRDefault="00C31891" w:rsidP="00C31891">
            <w:pPr>
              <w:rPr>
                <w:sz w:val="24"/>
                <w:szCs w:val="24"/>
              </w:rPr>
            </w:pPr>
            <w:r>
              <w:rPr>
                <w:sz w:val="24"/>
                <w:szCs w:val="24"/>
              </w:rPr>
              <w:t>Known HIV Status</w:t>
            </w:r>
          </w:p>
        </w:tc>
        <w:tc>
          <w:tcPr>
            <w:tcW w:w="1260" w:type="dxa"/>
            <w:vAlign w:val="center"/>
          </w:tcPr>
          <w:p w14:paraId="79BF02DE" w14:textId="0944196F" w:rsidR="00C31891" w:rsidRDefault="002168AA" w:rsidP="00C31891">
            <w:pPr>
              <w:jc w:val="center"/>
              <w:rPr>
                <w:sz w:val="24"/>
                <w:szCs w:val="24"/>
              </w:rPr>
            </w:pPr>
            <w:r>
              <w:rPr>
                <w:sz w:val="24"/>
                <w:szCs w:val="24"/>
              </w:rPr>
              <w:t>99.0</w:t>
            </w:r>
          </w:p>
        </w:tc>
        <w:tc>
          <w:tcPr>
            <w:tcW w:w="1080" w:type="dxa"/>
            <w:vAlign w:val="center"/>
          </w:tcPr>
          <w:p w14:paraId="2FDDEB85" w14:textId="04BAE227" w:rsidR="00C31891" w:rsidRPr="00AE6B24" w:rsidRDefault="002168AA" w:rsidP="00C31891">
            <w:pPr>
              <w:jc w:val="center"/>
              <w:rPr>
                <w:sz w:val="24"/>
                <w:szCs w:val="24"/>
                <w:vertAlign w:val="superscript"/>
              </w:rPr>
            </w:pPr>
            <w:r>
              <w:rPr>
                <w:sz w:val="24"/>
                <w:szCs w:val="24"/>
              </w:rPr>
              <w:t>96.4</w:t>
            </w:r>
            <w:r w:rsidR="00AE6B24">
              <w:rPr>
                <w:sz w:val="24"/>
                <w:szCs w:val="24"/>
                <w:vertAlign w:val="superscript"/>
              </w:rPr>
              <w:t>*</w:t>
            </w:r>
          </w:p>
        </w:tc>
        <w:tc>
          <w:tcPr>
            <w:tcW w:w="990" w:type="dxa"/>
            <w:vAlign w:val="center"/>
          </w:tcPr>
          <w:p w14:paraId="6FA1244E" w14:textId="3D893164" w:rsidR="00C31891" w:rsidRPr="006C42C5" w:rsidRDefault="0074340E" w:rsidP="00C31891">
            <w:pPr>
              <w:jc w:val="center"/>
              <w:rPr>
                <w:sz w:val="24"/>
                <w:szCs w:val="24"/>
                <w:vertAlign w:val="superscript"/>
              </w:rPr>
            </w:pPr>
            <w:r>
              <w:rPr>
                <w:sz w:val="24"/>
                <w:szCs w:val="24"/>
              </w:rPr>
              <w:t>100</w:t>
            </w:r>
            <w:r w:rsidR="006C42C5">
              <w:rPr>
                <w:rFonts w:cstheme="minorHAnsi"/>
                <w:sz w:val="24"/>
                <w:szCs w:val="24"/>
                <w:vertAlign w:val="superscript"/>
              </w:rPr>
              <w:t>§</w:t>
            </w:r>
          </w:p>
        </w:tc>
        <w:tc>
          <w:tcPr>
            <w:tcW w:w="1075" w:type="dxa"/>
            <w:vAlign w:val="center"/>
          </w:tcPr>
          <w:p w14:paraId="13FAC01F" w14:textId="53C9BE52" w:rsidR="00C31891" w:rsidRPr="006C42C5" w:rsidRDefault="006C42C5" w:rsidP="00C31891">
            <w:pPr>
              <w:jc w:val="center"/>
              <w:rPr>
                <w:sz w:val="24"/>
                <w:szCs w:val="24"/>
                <w:vertAlign w:val="superscript"/>
              </w:rPr>
            </w:pPr>
            <w:r>
              <w:rPr>
                <w:sz w:val="24"/>
                <w:szCs w:val="24"/>
              </w:rPr>
              <w:t>96.0</w:t>
            </w:r>
            <w:r>
              <w:rPr>
                <w:sz w:val="24"/>
                <w:szCs w:val="24"/>
                <w:vertAlign w:val="superscript"/>
              </w:rPr>
              <w:t>*</w:t>
            </w:r>
            <w:r w:rsidR="00906A10">
              <w:rPr>
                <w:rFonts w:cstheme="minorHAnsi"/>
                <w:sz w:val="24"/>
                <w:szCs w:val="24"/>
                <w:vertAlign w:val="superscript"/>
              </w:rPr>
              <w:t>§</w:t>
            </w:r>
          </w:p>
        </w:tc>
      </w:tr>
      <w:tr w:rsidR="002168AA" w14:paraId="66BB71EA" w14:textId="77777777" w:rsidTr="00025479">
        <w:tc>
          <w:tcPr>
            <w:tcW w:w="4945" w:type="dxa"/>
          </w:tcPr>
          <w:p w14:paraId="6819FBA8" w14:textId="79A15D09" w:rsidR="002168AA" w:rsidRDefault="002168AA" w:rsidP="00C31891">
            <w:pPr>
              <w:rPr>
                <w:sz w:val="24"/>
                <w:szCs w:val="24"/>
              </w:rPr>
            </w:pPr>
            <w:r>
              <w:rPr>
                <w:sz w:val="24"/>
                <w:szCs w:val="24"/>
              </w:rPr>
              <w:t>Treatment Initiation</w:t>
            </w:r>
          </w:p>
        </w:tc>
        <w:tc>
          <w:tcPr>
            <w:tcW w:w="1260" w:type="dxa"/>
            <w:vAlign w:val="center"/>
          </w:tcPr>
          <w:p w14:paraId="47D85185" w14:textId="14907C56" w:rsidR="002168AA" w:rsidRDefault="002168AA" w:rsidP="00C31891">
            <w:pPr>
              <w:jc w:val="center"/>
              <w:rPr>
                <w:sz w:val="24"/>
                <w:szCs w:val="24"/>
              </w:rPr>
            </w:pPr>
            <w:r>
              <w:rPr>
                <w:sz w:val="24"/>
                <w:szCs w:val="24"/>
              </w:rPr>
              <w:t>96.0</w:t>
            </w:r>
          </w:p>
        </w:tc>
        <w:tc>
          <w:tcPr>
            <w:tcW w:w="1080" w:type="dxa"/>
            <w:vAlign w:val="center"/>
          </w:tcPr>
          <w:p w14:paraId="50BC2DF6" w14:textId="23292E98" w:rsidR="002168AA" w:rsidRPr="00AE6B24" w:rsidRDefault="002168AA" w:rsidP="00C31891">
            <w:pPr>
              <w:jc w:val="center"/>
              <w:rPr>
                <w:sz w:val="24"/>
                <w:szCs w:val="24"/>
                <w:vertAlign w:val="superscript"/>
              </w:rPr>
            </w:pPr>
            <w:r>
              <w:rPr>
                <w:sz w:val="24"/>
                <w:szCs w:val="24"/>
              </w:rPr>
              <w:t>96.4</w:t>
            </w:r>
          </w:p>
        </w:tc>
        <w:tc>
          <w:tcPr>
            <w:tcW w:w="990" w:type="dxa"/>
            <w:vAlign w:val="center"/>
          </w:tcPr>
          <w:p w14:paraId="5E3C1D9E" w14:textId="5931AFD6" w:rsidR="002168AA" w:rsidRPr="006C42C5" w:rsidRDefault="0074340E" w:rsidP="00C31891">
            <w:pPr>
              <w:jc w:val="center"/>
              <w:rPr>
                <w:sz w:val="24"/>
                <w:szCs w:val="24"/>
                <w:vertAlign w:val="superscript"/>
              </w:rPr>
            </w:pPr>
            <w:r>
              <w:rPr>
                <w:sz w:val="24"/>
                <w:szCs w:val="24"/>
              </w:rPr>
              <w:t>100</w:t>
            </w:r>
            <w:r w:rsidR="006C42C5">
              <w:rPr>
                <w:rFonts w:cstheme="minorHAnsi"/>
                <w:sz w:val="24"/>
                <w:szCs w:val="24"/>
                <w:vertAlign w:val="superscript"/>
              </w:rPr>
              <w:t>§</w:t>
            </w:r>
          </w:p>
        </w:tc>
        <w:tc>
          <w:tcPr>
            <w:tcW w:w="1075" w:type="dxa"/>
            <w:vAlign w:val="center"/>
          </w:tcPr>
          <w:p w14:paraId="43491BC7" w14:textId="7D972D39" w:rsidR="002168AA" w:rsidRPr="006C42C5" w:rsidRDefault="006C42C5" w:rsidP="00C31891">
            <w:pPr>
              <w:jc w:val="center"/>
              <w:rPr>
                <w:sz w:val="24"/>
                <w:szCs w:val="24"/>
                <w:vertAlign w:val="superscript"/>
              </w:rPr>
            </w:pPr>
            <w:r>
              <w:rPr>
                <w:sz w:val="24"/>
                <w:szCs w:val="24"/>
              </w:rPr>
              <w:t>87.5</w:t>
            </w:r>
            <w:r>
              <w:rPr>
                <w:sz w:val="24"/>
                <w:szCs w:val="24"/>
                <w:vertAlign w:val="superscript"/>
              </w:rPr>
              <w:t>*</w:t>
            </w:r>
            <w:r w:rsidR="00906A10">
              <w:rPr>
                <w:rFonts w:cstheme="minorHAnsi"/>
                <w:sz w:val="24"/>
                <w:szCs w:val="24"/>
                <w:vertAlign w:val="superscript"/>
              </w:rPr>
              <w:t>§</w:t>
            </w:r>
          </w:p>
        </w:tc>
      </w:tr>
      <w:tr w:rsidR="002168AA" w14:paraId="645810C7" w14:textId="77777777" w:rsidTr="00025479">
        <w:tc>
          <w:tcPr>
            <w:tcW w:w="4945" w:type="dxa"/>
          </w:tcPr>
          <w:p w14:paraId="7DBD65A6" w14:textId="36DE2FA7" w:rsidR="002168AA" w:rsidRDefault="002168AA" w:rsidP="00C31891">
            <w:pPr>
              <w:rPr>
                <w:sz w:val="24"/>
                <w:szCs w:val="24"/>
              </w:rPr>
            </w:pPr>
            <w:r>
              <w:rPr>
                <w:sz w:val="24"/>
                <w:szCs w:val="24"/>
              </w:rPr>
              <w:t>Recommended Initial Therapy</w:t>
            </w:r>
          </w:p>
        </w:tc>
        <w:tc>
          <w:tcPr>
            <w:tcW w:w="1260" w:type="dxa"/>
            <w:vAlign w:val="center"/>
          </w:tcPr>
          <w:p w14:paraId="65F18511" w14:textId="05FEADE3" w:rsidR="002168AA" w:rsidRDefault="002168AA" w:rsidP="00C31891">
            <w:pPr>
              <w:jc w:val="center"/>
              <w:rPr>
                <w:sz w:val="24"/>
                <w:szCs w:val="24"/>
              </w:rPr>
            </w:pPr>
            <w:r>
              <w:rPr>
                <w:sz w:val="24"/>
                <w:szCs w:val="24"/>
              </w:rPr>
              <w:t>97.0</w:t>
            </w:r>
          </w:p>
        </w:tc>
        <w:tc>
          <w:tcPr>
            <w:tcW w:w="1080" w:type="dxa"/>
            <w:vAlign w:val="center"/>
          </w:tcPr>
          <w:p w14:paraId="7D8ACF70" w14:textId="7E47A60D" w:rsidR="002168AA" w:rsidRPr="00AE6B24" w:rsidRDefault="002168AA" w:rsidP="00C31891">
            <w:pPr>
              <w:jc w:val="center"/>
              <w:rPr>
                <w:sz w:val="24"/>
                <w:szCs w:val="24"/>
                <w:vertAlign w:val="superscript"/>
              </w:rPr>
            </w:pPr>
            <w:r>
              <w:rPr>
                <w:sz w:val="24"/>
                <w:szCs w:val="24"/>
              </w:rPr>
              <w:t>94.5</w:t>
            </w:r>
            <w:r w:rsidR="00AE6B24">
              <w:rPr>
                <w:sz w:val="24"/>
                <w:szCs w:val="24"/>
                <w:vertAlign w:val="superscript"/>
              </w:rPr>
              <w:t>*</w:t>
            </w:r>
          </w:p>
        </w:tc>
        <w:tc>
          <w:tcPr>
            <w:tcW w:w="990" w:type="dxa"/>
            <w:vAlign w:val="center"/>
          </w:tcPr>
          <w:p w14:paraId="5144FBF7" w14:textId="716C0CBD" w:rsidR="002168AA" w:rsidRPr="006C42C5" w:rsidRDefault="00400658" w:rsidP="00C31891">
            <w:pPr>
              <w:jc w:val="center"/>
              <w:rPr>
                <w:sz w:val="24"/>
                <w:szCs w:val="24"/>
                <w:vertAlign w:val="superscript"/>
              </w:rPr>
            </w:pPr>
            <w:r>
              <w:rPr>
                <w:sz w:val="24"/>
                <w:szCs w:val="24"/>
              </w:rPr>
              <w:t>100</w:t>
            </w:r>
            <w:r w:rsidR="006C42C5">
              <w:rPr>
                <w:rFonts w:cstheme="minorHAnsi"/>
                <w:sz w:val="24"/>
                <w:szCs w:val="24"/>
                <w:vertAlign w:val="superscript"/>
              </w:rPr>
              <w:t>§</w:t>
            </w:r>
          </w:p>
        </w:tc>
        <w:tc>
          <w:tcPr>
            <w:tcW w:w="1075" w:type="dxa"/>
            <w:vAlign w:val="center"/>
          </w:tcPr>
          <w:p w14:paraId="5E830B5E" w14:textId="2BAED0F4" w:rsidR="002168AA" w:rsidRPr="006C42C5" w:rsidRDefault="006C42C5" w:rsidP="00C31891">
            <w:pPr>
              <w:jc w:val="center"/>
              <w:rPr>
                <w:sz w:val="24"/>
                <w:szCs w:val="24"/>
                <w:vertAlign w:val="superscript"/>
              </w:rPr>
            </w:pPr>
            <w:r>
              <w:rPr>
                <w:sz w:val="24"/>
                <w:szCs w:val="24"/>
              </w:rPr>
              <w:t>88.0</w:t>
            </w:r>
            <w:r>
              <w:rPr>
                <w:sz w:val="24"/>
                <w:szCs w:val="24"/>
                <w:vertAlign w:val="superscript"/>
              </w:rPr>
              <w:t>*</w:t>
            </w:r>
            <w:r w:rsidR="00906A10">
              <w:rPr>
                <w:rFonts w:cstheme="minorHAnsi"/>
                <w:sz w:val="24"/>
                <w:szCs w:val="24"/>
                <w:vertAlign w:val="superscript"/>
              </w:rPr>
              <w:t>§</w:t>
            </w:r>
          </w:p>
        </w:tc>
      </w:tr>
      <w:tr w:rsidR="002168AA" w14:paraId="1F342953" w14:textId="77777777" w:rsidTr="00025479">
        <w:tc>
          <w:tcPr>
            <w:tcW w:w="4945" w:type="dxa"/>
          </w:tcPr>
          <w:p w14:paraId="24CD3EE5" w14:textId="5E0D8D76" w:rsidR="002168AA" w:rsidRDefault="002168AA" w:rsidP="00C31891">
            <w:pPr>
              <w:rPr>
                <w:sz w:val="24"/>
                <w:szCs w:val="24"/>
              </w:rPr>
            </w:pPr>
            <w:r>
              <w:rPr>
                <w:sz w:val="24"/>
                <w:szCs w:val="24"/>
              </w:rPr>
              <w:t>Sputum Culture Result Reported</w:t>
            </w:r>
          </w:p>
        </w:tc>
        <w:tc>
          <w:tcPr>
            <w:tcW w:w="1260" w:type="dxa"/>
            <w:vAlign w:val="center"/>
          </w:tcPr>
          <w:p w14:paraId="70F28DF6" w14:textId="16618B40" w:rsidR="002168AA" w:rsidRDefault="002168AA" w:rsidP="00C31891">
            <w:pPr>
              <w:jc w:val="center"/>
              <w:rPr>
                <w:sz w:val="24"/>
                <w:szCs w:val="24"/>
              </w:rPr>
            </w:pPr>
            <w:r>
              <w:rPr>
                <w:sz w:val="24"/>
                <w:szCs w:val="24"/>
              </w:rPr>
              <w:t>99.0</w:t>
            </w:r>
          </w:p>
        </w:tc>
        <w:tc>
          <w:tcPr>
            <w:tcW w:w="1080" w:type="dxa"/>
            <w:vAlign w:val="center"/>
          </w:tcPr>
          <w:p w14:paraId="243D0E1B" w14:textId="1DBA3A69" w:rsidR="002168AA" w:rsidRPr="00AE6B24" w:rsidRDefault="002168AA" w:rsidP="00C31891">
            <w:pPr>
              <w:jc w:val="center"/>
              <w:rPr>
                <w:sz w:val="24"/>
                <w:szCs w:val="24"/>
                <w:vertAlign w:val="superscript"/>
              </w:rPr>
            </w:pPr>
            <w:r>
              <w:rPr>
                <w:sz w:val="24"/>
                <w:szCs w:val="24"/>
              </w:rPr>
              <w:t>96.8</w:t>
            </w:r>
            <w:r w:rsidR="00AE6B24">
              <w:rPr>
                <w:sz w:val="24"/>
                <w:szCs w:val="24"/>
                <w:vertAlign w:val="superscript"/>
              </w:rPr>
              <w:t>*</w:t>
            </w:r>
          </w:p>
        </w:tc>
        <w:tc>
          <w:tcPr>
            <w:tcW w:w="990" w:type="dxa"/>
            <w:vAlign w:val="center"/>
          </w:tcPr>
          <w:p w14:paraId="5552DF79" w14:textId="03F51CAB" w:rsidR="002168AA" w:rsidRPr="002146F4" w:rsidRDefault="002146F4" w:rsidP="00C31891">
            <w:pPr>
              <w:jc w:val="center"/>
              <w:rPr>
                <w:sz w:val="24"/>
                <w:szCs w:val="24"/>
                <w:vertAlign w:val="superscript"/>
              </w:rPr>
            </w:pPr>
            <w:r>
              <w:rPr>
                <w:sz w:val="24"/>
                <w:szCs w:val="24"/>
              </w:rPr>
              <w:t>100</w:t>
            </w:r>
            <w:r>
              <w:rPr>
                <w:rFonts w:cstheme="minorHAnsi"/>
                <w:sz w:val="24"/>
                <w:szCs w:val="24"/>
                <w:vertAlign w:val="superscript"/>
              </w:rPr>
              <w:t>§</w:t>
            </w:r>
          </w:p>
        </w:tc>
        <w:tc>
          <w:tcPr>
            <w:tcW w:w="1075" w:type="dxa"/>
            <w:vAlign w:val="center"/>
          </w:tcPr>
          <w:p w14:paraId="6754119A" w14:textId="04E4F2D9" w:rsidR="002168AA" w:rsidRPr="006C42C5" w:rsidRDefault="006C42C5" w:rsidP="00C31891">
            <w:pPr>
              <w:jc w:val="center"/>
              <w:rPr>
                <w:sz w:val="24"/>
                <w:szCs w:val="24"/>
                <w:vertAlign w:val="superscript"/>
              </w:rPr>
            </w:pPr>
            <w:r>
              <w:rPr>
                <w:sz w:val="24"/>
                <w:szCs w:val="24"/>
              </w:rPr>
              <w:t>88.2</w:t>
            </w:r>
            <w:r>
              <w:rPr>
                <w:sz w:val="24"/>
                <w:szCs w:val="24"/>
                <w:vertAlign w:val="superscript"/>
              </w:rPr>
              <w:t>*</w:t>
            </w:r>
            <w:r>
              <w:rPr>
                <w:rFonts w:cstheme="minorHAnsi"/>
                <w:sz w:val="24"/>
                <w:szCs w:val="24"/>
                <w:vertAlign w:val="superscript"/>
              </w:rPr>
              <w:t>§</w:t>
            </w:r>
          </w:p>
        </w:tc>
      </w:tr>
      <w:tr w:rsidR="002168AA" w14:paraId="0C521DC6" w14:textId="77777777" w:rsidTr="00025479">
        <w:tc>
          <w:tcPr>
            <w:tcW w:w="4945" w:type="dxa"/>
          </w:tcPr>
          <w:p w14:paraId="6145F8AF" w14:textId="7A758D43" w:rsidR="002168AA" w:rsidRDefault="002168AA" w:rsidP="00C31891">
            <w:pPr>
              <w:rPr>
                <w:sz w:val="24"/>
                <w:szCs w:val="24"/>
              </w:rPr>
            </w:pPr>
            <w:r>
              <w:rPr>
                <w:sz w:val="24"/>
                <w:szCs w:val="24"/>
              </w:rPr>
              <w:t>Sputum Culture Conversion</w:t>
            </w:r>
          </w:p>
        </w:tc>
        <w:tc>
          <w:tcPr>
            <w:tcW w:w="1260" w:type="dxa"/>
            <w:vAlign w:val="center"/>
          </w:tcPr>
          <w:p w14:paraId="546236E0" w14:textId="3727C90D" w:rsidR="002168AA" w:rsidRDefault="002168AA" w:rsidP="00C31891">
            <w:pPr>
              <w:jc w:val="center"/>
              <w:rPr>
                <w:sz w:val="24"/>
                <w:szCs w:val="24"/>
              </w:rPr>
            </w:pPr>
            <w:r>
              <w:rPr>
                <w:sz w:val="24"/>
                <w:szCs w:val="24"/>
              </w:rPr>
              <w:t>83.0</w:t>
            </w:r>
          </w:p>
        </w:tc>
        <w:tc>
          <w:tcPr>
            <w:tcW w:w="1080" w:type="dxa"/>
            <w:vAlign w:val="center"/>
          </w:tcPr>
          <w:p w14:paraId="56E01F64" w14:textId="4583572A" w:rsidR="002168AA" w:rsidRDefault="006C42C5" w:rsidP="00C31891">
            <w:pPr>
              <w:jc w:val="center"/>
              <w:rPr>
                <w:sz w:val="24"/>
                <w:szCs w:val="24"/>
              </w:rPr>
            </w:pPr>
            <w:r>
              <w:rPr>
                <w:sz w:val="24"/>
                <w:szCs w:val="24"/>
              </w:rPr>
              <w:t>91.9</w:t>
            </w:r>
          </w:p>
        </w:tc>
        <w:tc>
          <w:tcPr>
            <w:tcW w:w="990" w:type="dxa"/>
            <w:vAlign w:val="center"/>
          </w:tcPr>
          <w:p w14:paraId="6F212E5F" w14:textId="445CED86" w:rsidR="002168AA" w:rsidRPr="00AE6B24" w:rsidRDefault="006C42C5" w:rsidP="00C31891">
            <w:pPr>
              <w:jc w:val="center"/>
              <w:rPr>
                <w:sz w:val="24"/>
                <w:szCs w:val="24"/>
                <w:vertAlign w:val="superscript"/>
              </w:rPr>
            </w:pPr>
            <w:r>
              <w:rPr>
                <w:sz w:val="24"/>
                <w:szCs w:val="24"/>
              </w:rPr>
              <w:t>71.4</w:t>
            </w:r>
            <w:r w:rsidR="00AE6B24">
              <w:rPr>
                <w:sz w:val="24"/>
                <w:szCs w:val="24"/>
                <w:vertAlign w:val="superscript"/>
              </w:rPr>
              <w:t>*</w:t>
            </w:r>
            <w:r>
              <w:rPr>
                <w:rFonts w:cstheme="minorHAnsi"/>
                <w:sz w:val="24"/>
                <w:szCs w:val="24"/>
                <w:vertAlign w:val="superscript"/>
              </w:rPr>
              <w:t>§</w:t>
            </w:r>
          </w:p>
        </w:tc>
        <w:tc>
          <w:tcPr>
            <w:tcW w:w="1075" w:type="dxa"/>
            <w:vAlign w:val="center"/>
          </w:tcPr>
          <w:p w14:paraId="66FCD3B1" w14:textId="751A16AD" w:rsidR="002168AA" w:rsidRPr="006C42C5" w:rsidRDefault="006C42C5" w:rsidP="00C31891">
            <w:pPr>
              <w:jc w:val="center"/>
              <w:rPr>
                <w:sz w:val="24"/>
                <w:szCs w:val="24"/>
                <w:vertAlign w:val="superscript"/>
              </w:rPr>
            </w:pPr>
            <w:r>
              <w:rPr>
                <w:sz w:val="24"/>
                <w:szCs w:val="24"/>
              </w:rPr>
              <w:t>20.0</w:t>
            </w:r>
            <w:r>
              <w:rPr>
                <w:sz w:val="24"/>
                <w:szCs w:val="24"/>
                <w:vertAlign w:val="superscript"/>
              </w:rPr>
              <w:t>*</w:t>
            </w:r>
            <w:r>
              <w:rPr>
                <w:rFonts w:cstheme="minorHAnsi"/>
                <w:sz w:val="24"/>
                <w:szCs w:val="24"/>
                <w:vertAlign w:val="superscript"/>
              </w:rPr>
              <w:t>§</w:t>
            </w:r>
          </w:p>
        </w:tc>
      </w:tr>
      <w:tr w:rsidR="002168AA" w14:paraId="44674CF2" w14:textId="77777777" w:rsidTr="00025479">
        <w:tc>
          <w:tcPr>
            <w:tcW w:w="4945" w:type="dxa"/>
          </w:tcPr>
          <w:p w14:paraId="35F84EB3" w14:textId="07C7821A" w:rsidR="002168AA" w:rsidRDefault="002168AA" w:rsidP="00C31891">
            <w:pPr>
              <w:rPr>
                <w:sz w:val="24"/>
                <w:szCs w:val="24"/>
              </w:rPr>
            </w:pPr>
            <w:r>
              <w:rPr>
                <w:sz w:val="24"/>
                <w:szCs w:val="24"/>
              </w:rPr>
              <w:t>Completion of Treatment</w:t>
            </w:r>
          </w:p>
        </w:tc>
        <w:tc>
          <w:tcPr>
            <w:tcW w:w="1260" w:type="dxa"/>
            <w:vAlign w:val="center"/>
          </w:tcPr>
          <w:p w14:paraId="11EFFC93" w14:textId="0C58D769" w:rsidR="002168AA" w:rsidRDefault="002168AA" w:rsidP="00C31891">
            <w:pPr>
              <w:jc w:val="center"/>
              <w:rPr>
                <w:sz w:val="24"/>
                <w:szCs w:val="24"/>
              </w:rPr>
            </w:pPr>
            <w:r>
              <w:rPr>
                <w:sz w:val="24"/>
                <w:szCs w:val="24"/>
              </w:rPr>
              <w:t>95.0</w:t>
            </w:r>
          </w:p>
        </w:tc>
        <w:tc>
          <w:tcPr>
            <w:tcW w:w="1080" w:type="dxa"/>
            <w:vAlign w:val="center"/>
          </w:tcPr>
          <w:p w14:paraId="3EB95B2F" w14:textId="299D507B" w:rsidR="002168AA" w:rsidRPr="00AE6B24" w:rsidRDefault="007B5538" w:rsidP="00C31891">
            <w:pPr>
              <w:jc w:val="center"/>
              <w:rPr>
                <w:sz w:val="24"/>
                <w:szCs w:val="24"/>
                <w:vertAlign w:val="superscript"/>
              </w:rPr>
            </w:pPr>
            <w:r>
              <w:rPr>
                <w:sz w:val="24"/>
                <w:szCs w:val="24"/>
              </w:rPr>
              <w:t>71.6</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67EBF45C" w14:textId="4AB41FCE" w:rsidR="002168AA" w:rsidRPr="00AE6B24" w:rsidRDefault="0085314D" w:rsidP="00C31891">
            <w:pPr>
              <w:jc w:val="center"/>
              <w:rPr>
                <w:sz w:val="24"/>
                <w:szCs w:val="24"/>
                <w:vertAlign w:val="superscript"/>
              </w:rPr>
            </w:pPr>
            <w:r>
              <w:rPr>
                <w:sz w:val="24"/>
                <w:szCs w:val="24"/>
              </w:rPr>
              <w:t>7.1</w:t>
            </w:r>
            <w:r w:rsidR="00AE6B24">
              <w:rPr>
                <w:sz w:val="24"/>
                <w:szCs w:val="24"/>
                <w:vertAlign w:val="superscript"/>
              </w:rPr>
              <w:t>*</w:t>
            </w:r>
            <w:r w:rsidR="006C42C5">
              <w:rPr>
                <w:rFonts w:cstheme="minorHAnsi"/>
                <w:sz w:val="24"/>
                <w:szCs w:val="24"/>
                <w:vertAlign w:val="superscript"/>
              </w:rPr>
              <w:t>§</w:t>
            </w:r>
          </w:p>
        </w:tc>
        <w:tc>
          <w:tcPr>
            <w:tcW w:w="1075" w:type="dxa"/>
            <w:vAlign w:val="center"/>
          </w:tcPr>
          <w:p w14:paraId="620A68E7" w14:textId="020DEFE5" w:rsidR="002168AA" w:rsidRPr="00906A10" w:rsidRDefault="00906A10" w:rsidP="00C31891">
            <w:pPr>
              <w:jc w:val="center"/>
              <w:rPr>
                <w:sz w:val="24"/>
                <w:szCs w:val="24"/>
                <w:vertAlign w:val="superscript"/>
              </w:rPr>
            </w:pPr>
            <w:r>
              <w:rPr>
                <w:sz w:val="24"/>
                <w:szCs w:val="24"/>
              </w:rPr>
              <w:t>0.0</w:t>
            </w:r>
            <w:r>
              <w:rPr>
                <w:sz w:val="24"/>
                <w:szCs w:val="24"/>
                <w:vertAlign w:val="superscript"/>
              </w:rPr>
              <w:t>*</w:t>
            </w:r>
            <w:r>
              <w:rPr>
                <w:rFonts w:cstheme="minorHAnsi"/>
                <w:sz w:val="24"/>
                <w:szCs w:val="24"/>
                <w:vertAlign w:val="superscript"/>
              </w:rPr>
              <w:t>§</w:t>
            </w:r>
          </w:p>
        </w:tc>
      </w:tr>
      <w:tr w:rsidR="002168AA" w14:paraId="26D897C9" w14:textId="77777777" w:rsidTr="002168AA">
        <w:tc>
          <w:tcPr>
            <w:tcW w:w="9350" w:type="dxa"/>
            <w:gridSpan w:val="5"/>
            <w:shd w:val="clear" w:color="auto" w:fill="D9D9D9" w:themeFill="background1" w:themeFillShade="D9"/>
          </w:tcPr>
          <w:p w14:paraId="17D37913" w14:textId="5C034F18" w:rsidR="002168AA" w:rsidRPr="00025479" w:rsidRDefault="002168AA" w:rsidP="002168AA">
            <w:pPr>
              <w:rPr>
                <w:sz w:val="24"/>
                <w:szCs w:val="24"/>
              </w:rPr>
            </w:pPr>
            <w:r>
              <w:rPr>
                <w:b/>
                <w:bCs/>
                <w:sz w:val="24"/>
                <w:szCs w:val="24"/>
              </w:rPr>
              <w:t>Objectives on Laboratory Reporting</w:t>
            </w:r>
            <w:r w:rsidR="00B23A67">
              <w:rPr>
                <w:b/>
                <w:bCs/>
                <w:sz w:val="24"/>
                <w:szCs w:val="24"/>
              </w:rPr>
              <w:t xml:space="preserve"> (%)</w:t>
            </w:r>
          </w:p>
        </w:tc>
      </w:tr>
      <w:tr w:rsidR="002168AA" w14:paraId="3E314148" w14:textId="77777777" w:rsidTr="00025479">
        <w:tc>
          <w:tcPr>
            <w:tcW w:w="4945" w:type="dxa"/>
          </w:tcPr>
          <w:p w14:paraId="60F8BC0D" w14:textId="1AD44547" w:rsidR="002168AA" w:rsidRDefault="002168AA" w:rsidP="00C31891">
            <w:pPr>
              <w:rPr>
                <w:sz w:val="24"/>
                <w:szCs w:val="24"/>
              </w:rPr>
            </w:pPr>
            <w:r>
              <w:rPr>
                <w:sz w:val="24"/>
                <w:szCs w:val="24"/>
              </w:rPr>
              <w:t>Turnaround Time—Culture</w:t>
            </w:r>
          </w:p>
        </w:tc>
        <w:tc>
          <w:tcPr>
            <w:tcW w:w="1260" w:type="dxa"/>
            <w:vAlign w:val="center"/>
          </w:tcPr>
          <w:p w14:paraId="41532FB7" w14:textId="2516BC4A" w:rsidR="002168AA" w:rsidRDefault="002168AA" w:rsidP="00C31891">
            <w:pPr>
              <w:jc w:val="center"/>
              <w:rPr>
                <w:sz w:val="24"/>
                <w:szCs w:val="24"/>
              </w:rPr>
            </w:pPr>
            <w:r>
              <w:rPr>
                <w:sz w:val="24"/>
                <w:szCs w:val="24"/>
              </w:rPr>
              <w:t>78.0</w:t>
            </w:r>
          </w:p>
        </w:tc>
        <w:tc>
          <w:tcPr>
            <w:tcW w:w="1080" w:type="dxa"/>
            <w:vAlign w:val="center"/>
          </w:tcPr>
          <w:p w14:paraId="2F5A5606" w14:textId="1B672730" w:rsidR="002168AA" w:rsidRPr="00AE6B24" w:rsidRDefault="002146F4" w:rsidP="00C31891">
            <w:pPr>
              <w:jc w:val="center"/>
              <w:rPr>
                <w:sz w:val="24"/>
                <w:szCs w:val="24"/>
                <w:vertAlign w:val="superscript"/>
              </w:rPr>
            </w:pPr>
            <w:r>
              <w:rPr>
                <w:sz w:val="24"/>
                <w:szCs w:val="24"/>
              </w:rPr>
              <w:t>59.7</w:t>
            </w:r>
            <w:r w:rsidR="00AE6B24">
              <w:rPr>
                <w:sz w:val="24"/>
                <w:szCs w:val="24"/>
                <w:vertAlign w:val="superscript"/>
              </w:rPr>
              <w:t>*</w:t>
            </w:r>
          </w:p>
        </w:tc>
        <w:tc>
          <w:tcPr>
            <w:tcW w:w="990" w:type="dxa"/>
            <w:vAlign w:val="center"/>
          </w:tcPr>
          <w:p w14:paraId="37A2F627" w14:textId="106B5E46" w:rsidR="002168AA" w:rsidRPr="00AE6B24" w:rsidRDefault="002146F4" w:rsidP="00C31891">
            <w:pPr>
              <w:jc w:val="center"/>
              <w:rPr>
                <w:sz w:val="24"/>
                <w:szCs w:val="24"/>
                <w:vertAlign w:val="superscript"/>
              </w:rPr>
            </w:pPr>
            <w:r>
              <w:rPr>
                <w:sz w:val="24"/>
                <w:szCs w:val="24"/>
              </w:rPr>
              <w:t>37.5</w:t>
            </w:r>
            <w:r w:rsidR="00AE6B24">
              <w:rPr>
                <w:sz w:val="24"/>
                <w:szCs w:val="24"/>
                <w:vertAlign w:val="superscript"/>
              </w:rPr>
              <w:t>*</w:t>
            </w:r>
            <w:r w:rsidR="006C42C5">
              <w:rPr>
                <w:rFonts w:cstheme="minorHAnsi"/>
                <w:sz w:val="24"/>
                <w:szCs w:val="24"/>
                <w:vertAlign w:val="superscript"/>
              </w:rPr>
              <w:t>§</w:t>
            </w:r>
          </w:p>
        </w:tc>
        <w:tc>
          <w:tcPr>
            <w:tcW w:w="1075" w:type="dxa"/>
            <w:vAlign w:val="center"/>
          </w:tcPr>
          <w:p w14:paraId="01CA0512" w14:textId="0C0D4B9A" w:rsidR="002168AA" w:rsidRPr="006C42C5" w:rsidRDefault="006C42C5" w:rsidP="00C31891">
            <w:pPr>
              <w:jc w:val="center"/>
              <w:rPr>
                <w:sz w:val="24"/>
                <w:szCs w:val="24"/>
                <w:vertAlign w:val="superscript"/>
              </w:rPr>
            </w:pPr>
            <w:r>
              <w:rPr>
                <w:sz w:val="24"/>
                <w:szCs w:val="24"/>
              </w:rPr>
              <w:t>30.8</w:t>
            </w:r>
            <w:r>
              <w:rPr>
                <w:sz w:val="24"/>
                <w:szCs w:val="24"/>
                <w:vertAlign w:val="superscript"/>
              </w:rPr>
              <w:t>*</w:t>
            </w:r>
            <w:r>
              <w:rPr>
                <w:rFonts w:cstheme="minorHAnsi"/>
                <w:sz w:val="24"/>
                <w:szCs w:val="24"/>
                <w:vertAlign w:val="superscript"/>
              </w:rPr>
              <w:t>§</w:t>
            </w:r>
          </w:p>
        </w:tc>
      </w:tr>
      <w:tr w:rsidR="002168AA" w14:paraId="3C310390" w14:textId="77777777" w:rsidTr="00025479">
        <w:tc>
          <w:tcPr>
            <w:tcW w:w="4945" w:type="dxa"/>
          </w:tcPr>
          <w:p w14:paraId="13634B30" w14:textId="58C9826F" w:rsidR="002168AA" w:rsidRDefault="002168AA" w:rsidP="00C31891">
            <w:pPr>
              <w:rPr>
                <w:sz w:val="24"/>
                <w:szCs w:val="24"/>
              </w:rPr>
            </w:pPr>
            <w:r>
              <w:rPr>
                <w:sz w:val="24"/>
                <w:szCs w:val="24"/>
              </w:rPr>
              <w:t>Turnaround Time—NAA</w:t>
            </w:r>
          </w:p>
        </w:tc>
        <w:tc>
          <w:tcPr>
            <w:tcW w:w="1260" w:type="dxa"/>
            <w:vAlign w:val="center"/>
          </w:tcPr>
          <w:p w14:paraId="63482170" w14:textId="7442209F" w:rsidR="002168AA" w:rsidRDefault="002168AA" w:rsidP="00C31891">
            <w:pPr>
              <w:jc w:val="center"/>
              <w:rPr>
                <w:sz w:val="24"/>
                <w:szCs w:val="24"/>
              </w:rPr>
            </w:pPr>
            <w:r>
              <w:rPr>
                <w:sz w:val="24"/>
                <w:szCs w:val="24"/>
              </w:rPr>
              <w:t>97.0</w:t>
            </w:r>
          </w:p>
        </w:tc>
        <w:tc>
          <w:tcPr>
            <w:tcW w:w="1080" w:type="dxa"/>
            <w:vAlign w:val="center"/>
          </w:tcPr>
          <w:p w14:paraId="6137BDF2" w14:textId="7066880A" w:rsidR="002168AA" w:rsidRPr="00AE6B24" w:rsidRDefault="002168AA" w:rsidP="00C31891">
            <w:pPr>
              <w:jc w:val="center"/>
              <w:rPr>
                <w:sz w:val="24"/>
                <w:szCs w:val="24"/>
                <w:vertAlign w:val="superscript"/>
              </w:rPr>
            </w:pPr>
            <w:r>
              <w:rPr>
                <w:sz w:val="24"/>
                <w:szCs w:val="24"/>
              </w:rPr>
              <w:t>7</w:t>
            </w:r>
            <w:r w:rsidR="002146F4">
              <w:rPr>
                <w:sz w:val="24"/>
                <w:szCs w:val="24"/>
              </w:rPr>
              <w:t>4.1</w:t>
            </w:r>
            <w:r w:rsidR="00AE6B24">
              <w:rPr>
                <w:sz w:val="24"/>
                <w:szCs w:val="24"/>
                <w:vertAlign w:val="superscript"/>
              </w:rPr>
              <w:t>*</w:t>
            </w:r>
          </w:p>
        </w:tc>
        <w:tc>
          <w:tcPr>
            <w:tcW w:w="990" w:type="dxa"/>
            <w:vAlign w:val="center"/>
          </w:tcPr>
          <w:p w14:paraId="327EDB36" w14:textId="0E8E3DE5" w:rsidR="002168AA" w:rsidRPr="006C42C5" w:rsidRDefault="00400658" w:rsidP="00C31891">
            <w:pPr>
              <w:jc w:val="center"/>
              <w:rPr>
                <w:sz w:val="24"/>
                <w:szCs w:val="24"/>
                <w:vertAlign w:val="superscript"/>
              </w:rPr>
            </w:pPr>
            <w:r>
              <w:rPr>
                <w:sz w:val="24"/>
                <w:szCs w:val="24"/>
              </w:rPr>
              <w:t>100</w:t>
            </w:r>
            <w:r w:rsidR="006C42C5">
              <w:rPr>
                <w:sz w:val="24"/>
                <w:szCs w:val="24"/>
                <w:vertAlign w:val="superscript"/>
              </w:rPr>
              <w:t>*</w:t>
            </w:r>
            <w:r w:rsidR="006C42C5">
              <w:rPr>
                <w:rFonts w:cstheme="minorHAnsi"/>
                <w:sz w:val="24"/>
                <w:szCs w:val="24"/>
                <w:vertAlign w:val="superscript"/>
              </w:rPr>
              <w:t>§</w:t>
            </w:r>
          </w:p>
        </w:tc>
        <w:tc>
          <w:tcPr>
            <w:tcW w:w="1075" w:type="dxa"/>
            <w:vAlign w:val="center"/>
          </w:tcPr>
          <w:p w14:paraId="47AC687B" w14:textId="6BB8E0A8" w:rsidR="002168AA" w:rsidRPr="006C42C5" w:rsidRDefault="006C42C5" w:rsidP="00C31891">
            <w:pPr>
              <w:jc w:val="center"/>
              <w:rPr>
                <w:sz w:val="24"/>
                <w:szCs w:val="24"/>
                <w:vertAlign w:val="superscript"/>
              </w:rPr>
            </w:pPr>
            <w:r>
              <w:rPr>
                <w:sz w:val="24"/>
                <w:szCs w:val="24"/>
              </w:rPr>
              <w:t>100</w:t>
            </w:r>
            <w:r w:rsidR="00906A10" w:rsidRPr="00906A10">
              <w:rPr>
                <w:sz w:val="24"/>
                <w:szCs w:val="24"/>
                <w:vertAlign w:val="superscript"/>
              </w:rPr>
              <w:t>*</w:t>
            </w:r>
            <w:r>
              <w:rPr>
                <w:rFonts w:cstheme="minorHAnsi"/>
                <w:sz w:val="24"/>
                <w:szCs w:val="24"/>
                <w:vertAlign w:val="superscript"/>
              </w:rPr>
              <w:t>§</w:t>
            </w:r>
          </w:p>
        </w:tc>
      </w:tr>
      <w:tr w:rsidR="002168AA" w14:paraId="544525BA" w14:textId="77777777" w:rsidTr="00025479">
        <w:tc>
          <w:tcPr>
            <w:tcW w:w="4945" w:type="dxa"/>
          </w:tcPr>
          <w:p w14:paraId="2B08D2CB" w14:textId="5698D09A" w:rsidR="002168AA" w:rsidRDefault="002168AA" w:rsidP="00C31891">
            <w:pPr>
              <w:rPr>
                <w:sz w:val="24"/>
                <w:szCs w:val="24"/>
              </w:rPr>
            </w:pPr>
            <w:r>
              <w:rPr>
                <w:sz w:val="24"/>
                <w:szCs w:val="24"/>
              </w:rPr>
              <w:t>Drug-Susceptibility Testing</w:t>
            </w:r>
          </w:p>
        </w:tc>
        <w:tc>
          <w:tcPr>
            <w:tcW w:w="1260" w:type="dxa"/>
            <w:vAlign w:val="center"/>
          </w:tcPr>
          <w:p w14:paraId="0C8B72AB" w14:textId="27EA6761" w:rsidR="002168AA" w:rsidRDefault="002168AA" w:rsidP="00C31891">
            <w:pPr>
              <w:jc w:val="center"/>
              <w:rPr>
                <w:sz w:val="24"/>
                <w:szCs w:val="24"/>
              </w:rPr>
            </w:pPr>
            <w:r>
              <w:rPr>
                <w:sz w:val="24"/>
                <w:szCs w:val="24"/>
              </w:rPr>
              <w:t>100</w:t>
            </w:r>
          </w:p>
        </w:tc>
        <w:tc>
          <w:tcPr>
            <w:tcW w:w="1080" w:type="dxa"/>
            <w:vAlign w:val="center"/>
          </w:tcPr>
          <w:p w14:paraId="5CBAB115" w14:textId="67DBE2D4" w:rsidR="002168AA" w:rsidRPr="00AE6B24" w:rsidRDefault="002168AA" w:rsidP="00C31891">
            <w:pPr>
              <w:jc w:val="center"/>
              <w:rPr>
                <w:sz w:val="24"/>
                <w:szCs w:val="24"/>
                <w:vertAlign w:val="superscript"/>
              </w:rPr>
            </w:pPr>
            <w:r>
              <w:rPr>
                <w:sz w:val="24"/>
                <w:szCs w:val="24"/>
              </w:rPr>
              <w:t>96.5</w:t>
            </w:r>
            <w:r w:rsidR="00AE6B24">
              <w:rPr>
                <w:sz w:val="24"/>
                <w:szCs w:val="24"/>
                <w:vertAlign w:val="superscript"/>
              </w:rPr>
              <w:t>*</w:t>
            </w:r>
          </w:p>
        </w:tc>
        <w:tc>
          <w:tcPr>
            <w:tcW w:w="990" w:type="dxa"/>
            <w:vAlign w:val="center"/>
          </w:tcPr>
          <w:p w14:paraId="01285DDB" w14:textId="1B6A9795" w:rsidR="002168AA" w:rsidRPr="00AE6B24" w:rsidRDefault="006C42C5" w:rsidP="00C31891">
            <w:pPr>
              <w:jc w:val="center"/>
              <w:rPr>
                <w:sz w:val="24"/>
                <w:szCs w:val="24"/>
                <w:vertAlign w:val="superscript"/>
              </w:rPr>
            </w:pPr>
            <w:r>
              <w:rPr>
                <w:sz w:val="24"/>
                <w:szCs w:val="24"/>
              </w:rPr>
              <w:t>90.0</w:t>
            </w:r>
            <w:r w:rsidR="00AE6B24">
              <w:rPr>
                <w:sz w:val="24"/>
                <w:szCs w:val="24"/>
                <w:vertAlign w:val="superscript"/>
              </w:rPr>
              <w:t>*</w:t>
            </w:r>
            <w:r>
              <w:rPr>
                <w:rFonts w:cstheme="minorHAnsi"/>
                <w:sz w:val="24"/>
                <w:szCs w:val="24"/>
                <w:vertAlign w:val="superscript"/>
              </w:rPr>
              <w:t>§</w:t>
            </w:r>
          </w:p>
        </w:tc>
        <w:tc>
          <w:tcPr>
            <w:tcW w:w="1075" w:type="dxa"/>
            <w:vAlign w:val="center"/>
          </w:tcPr>
          <w:p w14:paraId="04A54B44" w14:textId="308C28FD" w:rsidR="002168AA" w:rsidRPr="006C42C5" w:rsidRDefault="006C42C5" w:rsidP="00C31891">
            <w:pPr>
              <w:jc w:val="center"/>
              <w:rPr>
                <w:sz w:val="24"/>
                <w:szCs w:val="24"/>
                <w:vertAlign w:val="superscript"/>
              </w:rPr>
            </w:pPr>
            <w:r>
              <w:rPr>
                <w:sz w:val="24"/>
                <w:szCs w:val="24"/>
              </w:rPr>
              <w:t>78.9</w:t>
            </w:r>
            <w:r>
              <w:rPr>
                <w:sz w:val="24"/>
                <w:szCs w:val="24"/>
                <w:vertAlign w:val="superscript"/>
              </w:rPr>
              <w:t>*</w:t>
            </w:r>
            <w:r>
              <w:rPr>
                <w:rFonts w:cstheme="minorHAnsi"/>
                <w:sz w:val="24"/>
                <w:szCs w:val="24"/>
                <w:vertAlign w:val="superscript"/>
              </w:rPr>
              <w:t>§</w:t>
            </w:r>
          </w:p>
        </w:tc>
      </w:tr>
      <w:tr w:rsidR="002168AA" w14:paraId="11B4220E" w14:textId="77777777" w:rsidTr="00025479">
        <w:tc>
          <w:tcPr>
            <w:tcW w:w="4945" w:type="dxa"/>
          </w:tcPr>
          <w:p w14:paraId="3D538210" w14:textId="21FB1B4A" w:rsidR="002168AA" w:rsidRDefault="002168AA" w:rsidP="00C31891">
            <w:pPr>
              <w:rPr>
                <w:sz w:val="24"/>
                <w:szCs w:val="24"/>
              </w:rPr>
            </w:pPr>
            <w:r>
              <w:rPr>
                <w:sz w:val="24"/>
                <w:szCs w:val="24"/>
              </w:rPr>
              <w:t>Universal Genotyping</w:t>
            </w:r>
          </w:p>
        </w:tc>
        <w:tc>
          <w:tcPr>
            <w:tcW w:w="1260" w:type="dxa"/>
            <w:vAlign w:val="center"/>
          </w:tcPr>
          <w:p w14:paraId="47B174C8" w14:textId="668CB234" w:rsidR="002168AA" w:rsidRDefault="002168AA" w:rsidP="00C31891">
            <w:pPr>
              <w:jc w:val="center"/>
              <w:rPr>
                <w:sz w:val="24"/>
                <w:szCs w:val="24"/>
              </w:rPr>
            </w:pPr>
            <w:r>
              <w:rPr>
                <w:sz w:val="24"/>
                <w:szCs w:val="24"/>
              </w:rPr>
              <w:t>100</w:t>
            </w:r>
          </w:p>
        </w:tc>
        <w:tc>
          <w:tcPr>
            <w:tcW w:w="1080" w:type="dxa"/>
            <w:vAlign w:val="center"/>
          </w:tcPr>
          <w:p w14:paraId="7DD9F5BE" w14:textId="7999CF7B" w:rsidR="002168AA" w:rsidRPr="00AE6B24" w:rsidRDefault="002168AA" w:rsidP="00C31891">
            <w:pPr>
              <w:jc w:val="center"/>
              <w:rPr>
                <w:sz w:val="24"/>
                <w:szCs w:val="24"/>
                <w:vertAlign w:val="superscript"/>
              </w:rPr>
            </w:pPr>
            <w:r>
              <w:rPr>
                <w:sz w:val="24"/>
                <w:szCs w:val="24"/>
              </w:rPr>
              <w:t>96.5</w:t>
            </w:r>
            <w:r w:rsidR="00AE6B24">
              <w:rPr>
                <w:sz w:val="24"/>
                <w:szCs w:val="24"/>
                <w:vertAlign w:val="superscript"/>
              </w:rPr>
              <w:t>*</w:t>
            </w:r>
          </w:p>
        </w:tc>
        <w:tc>
          <w:tcPr>
            <w:tcW w:w="990" w:type="dxa"/>
            <w:vAlign w:val="center"/>
          </w:tcPr>
          <w:p w14:paraId="2DB5791A" w14:textId="6D6661F8" w:rsidR="002168AA" w:rsidRPr="00AE6B24" w:rsidRDefault="006C42C5" w:rsidP="00C31891">
            <w:pPr>
              <w:jc w:val="center"/>
              <w:rPr>
                <w:sz w:val="24"/>
                <w:szCs w:val="24"/>
                <w:vertAlign w:val="superscript"/>
              </w:rPr>
            </w:pPr>
            <w:r>
              <w:rPr>
                <w:sz w:val="24"/>
                <w:szCs w:val="24"/>
              </w:rPr>
              <w:t>90.0</w:t>
            </w:r>
            <w:r w:rsidR="00AE6B24">
              <w:rPr>
                <w:sz w:val="24"/>
                <w:szCs w:val="24"/>
                <w:vertAlign w:val="superscript"/>
              </w:rPr>
              <w:t>*</w:t>
            </w:r>
            <w:r>
              <w:rPr>
                <w:rFonts w:cstheme="minorHAnsi"/>
                <w:sz w:val="24"/>
                <w:szCs w:val="24"/>
                <w:vertAlign w:val="superscript"/>
              </w:rPr>
              <w:t>§</w:t>
            </w:r>
          </w:p>
        </w:tc>
        <w:tc>
          <w:tcPr>
            <w:tcW w:w="1075" w:type="dxa"/>
            <w:vAlign w:val="center"/>
          </w:tcPr>
          <w:p w14:paraId="25F3B6AF" w14:textId="1FD8BCA9" w:rsidR="002168AA" w:rsidRPr="006C42C5" w:rsidRDefault="002146F4" w:rsidP="00C31891">
            <w:pPr>
              <w:jc w:val="center"/>
              <w:rPr>
                <w:sz w:val="24"/>
                <w:szCs w:val="24"/>
                <w:vertAlign w:val="superscript"/>
              </w:rPr>
            </w:pPr>
            <w:r>
              <w:rPr>
                <w:sz w:val="24"/>
                <w:szCs w:val="24"/>
              </w:rPr>
              <w:t>89.5</w:t>
            </w:r>
            <w:r w:rsidR="006C42C5">
              <w:rPr>
                <w:sz w:val="24"/>
                <w:szCs w:val="24"/>
                <w:vertAlign w:val="superscript"/>
              </w:rPr>
              <w:t>*</w:t>
            </w:r>
            <w:r w:rsidR="006C42C5">
              <w:rPr>
                <w:rFonts w:cstheme="minorHAnsi"/>
                <w:sz w:val="24"/>
                <w:szCs w:val="24"/>
                <w:vertAlign w:val="superscript"/>
              </w:rPr>
              <w:t>§</w:t>
            </w:r>
          </w:p>
        </w:tc>
      </w:tr>
      <w:tr w:rsidR="002168AA" w14:paraId="7A3EFFA9" w14:textId="77777777" w:rsidTr="002168AA">
        <w:tc>
          <w:tcPr>
            <w:tcW w:w="9350" w:type="dxa"/>
            <w:gridSpan w:val="5"/>
            <w:shd w:val="clear" w:color="auto" w:fill="D9D9D9" w:themeFill="background1" w:themeFillShade="D9"/>
          </w:tcPr>
          <w:p w14:paraId="73B17769" w14:textId="4710D7FC" w:rsidR="002168AA" w:rsidRPr="002168AA" w:rsidRDefault="002168AA" w:rsidP="002168AA">
            <w:pPr>
              <w:rPr>
                <w:b/>
                <w:bCs/>
                <w:sz w:val="24"/>
                <w:szCs w:val="24"/>
              </w:rPr>
            </w:pPr>
            <w:r>
              <w:rPr>
                <w:b/>
                <w:bCs/>
                <w:sz w:val="24"/>
                <w:szCs w:val="24"/>
              </w:rPr>
              <w:t>Objectives on Contact Investigations (preliminary 2020 ARPE data)</w:t>
            </w:r>
            <w:r w:rsidR="00B23A67">
              <w:rPr>
                <w:b/>
                <w:bCs/>
                <w:sz w:val="24"/>
                <w:szCs w:val="24"/>
              </w:rPr>
              <w:t xml:space="preserve"> (%)</w:t>
            </w:r>
          </w:p>
        </w:tc>
      </w:tr>
      <w:tr w:rsidR="002168AA" w14:paraId="1651F64A" w14:textId="77777777" w:rsidTr="00025479">
        <w:tc>
          <w:tcPr>
            <w:tcW w:w="4945" w:type="dxa"/>
          </w:tcPr>
          <w:p w14:paraId="279B2E44" w14:textId="2F22519D" w:rsidR="002168AA" w:rsidRDefault="002168AA" w:rsidP="00C31891">
            <w:pPr>
              <w:rPr>
                <w:sz w:val="24"/>
                <w:szCs w:val="24"/>
              </w:rPr>
            </w:pPr>
            <w:r>
              <w:rPr>
                <w:sz w:val="24"/>
                <w:szCs w:val="24"/>
              </w:rPr>
              <w:t>Contact Elicitation</w:t>
            </w:r>
          </w:p>
        </w:tc>
        <w:tc>
          <w:tcPr>
            <w:tcW w:w="1260" w:type="dxa"/>
            <w:vAlign w:val="center"/>
          </w:tcPr>
          <w:p w14:paraId="074AAC77" w14:textId="32D476E3" w:rsidR="002168AA" w:rsidRDefault="002168AA" w:rsidP="00C31891">
            <w:pPr>
              <w:jc w:val="center"/>
              <w:rPr>
                <w:sz w:val="24"/>
                <w:szCs w:val="24"/>
              </w:rPr>
            </w:pPr>
            <w:r>
              <w:rPr>
                <w:sz w:val="24"/>
                <w:szCs w:val="24"/>
              </w:rPr>
              <w:t>100</w:t>
            </w:r>
          </w:p>
        </w:tc>
        <w:tc>
          <w:tcPr>
            <w:tcW w:w="1080" w:type="dxa"/>
            <w:vAlign w:val="center"/>
          </w:tcPr>
          <w:p w14:paraId="56C708D4" w14:textId="101411E8" w:rsidR="002168AA" w:rsidRPr="00AE6B24" w:rsidRDefault="002168AA" w:rsidP="00C31891">
            <w:pPr>
              <w:jc w:val="center"/>
              <w:rPr>
                <w:sz w:val="24"/>
                <w:szCs w:val="24"/>
                <w:vertAlign w:val="superscript"/>
              </w:rPr>
            </w:pPr>
            <w:r>
              <w:rPr>
                <w:sz w:val="24"/>
                <w:szCs w:val="24"/>
              </w:rPr>
              <w:t>90.0</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2CAA7E50" w14:textId="706FEBCE" w:rsidR="002168AA" w:rsidRPr="00025479" w:rsidRDefault="00400658" w:rsidP="00C31891">
            <w:pPr>
              <w:jc w:val="center"/>
              <w:rPr>
                <w:sz w:val="24"/>
                <w:szCs w:val="24"/>
              </w:rPr>
            </w:pPr>
            <w:r>
              <w:rPr>
                <w:sz w:val="24"/>
                <w:szCs w:val="24"/>
              </w:rPr>
              <w:t>--</w:t>
            </w:r>
          </w:p>
        </w:tc>
        <w:tc>
          <w:tcPr>
            <w:tcW w:w="1075" w:type="dxa"/>
            <w:vAlign w:val="center"/>
          </w:tcPr>
          <w:p w14:paraId="23BC9FFA" w14:textId="21DAA12B" w:rsidR="002168AA" w:rsidRPr="00025479" w:rsidRDefault="006C42C5" w:rsidP="00C31891">
            <w:pPr>
              <w:jc w:val="center"/>
              <w:rPr>
                <w:sz w:val="24"/>
                <w:szCs w:val="24"/>
              </w:rPr>
            </w:pPr>
            <w:r>
              <w:rPr>
                <w:sz w:val="24"/>
                <w:szCs w:val="24"/>
              </w:rPr>
              <w:t>--</w:t>
            </w:r>
          </w:p>
        </w:tc>
      </w:tr>
      <w:tr w:rsidR="002168AA" w14:paraId="6CE99053" w14:textId="77777777" w:rsidTr="00025479">
        <w:tc>
          <w:tcPr>
            <w:tcW w:w="4945" w:type="dxa"/>
          </w:tcPr>
          <w:p w14:paraId="0FAD19DE" w14:textId="469B8A97" w:rsidR="002168AA" w:rsidRDefault="002168AA" w:rsidP="00C31891">
            <w:pPr>
              <w:rPr>
                <w:sz w:val="24"/>
                <w:szCs w:val="24"/>
              </w:rPr>
            </w:pPr>
            <w:r>
              <w:rPr>
                <w:sz w:val="24"/>
                <w:szCs w:val="24"/>
              </w:rPr>
              <w:t>Contact Examination</w:t>
            </w:r>
          </w:p>
        </w:tc>
        <w:tc>
          <w:tcPr>
            <w:tcW w:w="1260" w:type="dxa"/>
            <w:vAlign w:val="center"/>
          </w:tcPr>
          <w:p w14:paraId="7EC609F9" w14:textId="53B5CDEB" w:rsidR="002168AA" w:rsidRDefault="002168AA" w:rsidP="00C31891">
            <w:pPr>
              <w:jc w:val="center"/>
              <w:rPr>
                <w:sz w:val="24"/>
                <w:szCs w:val="24"/>
              </w:rPr>
            </w:pPr>
            <w:r>
              <w:rPr>
                <w:sz w:val="24"/>
                <w:szCs w:val="24"/>
              </w:rPr>
              <w:t>94.0</w:t>
            </w:r>
          </w:p>
        </w:tc>
        <w:tc>
          <w:tcPr>
            <w:tcW w:w="1080" w:type="dxa"/>
            <w:vAlign w:val="center"/>
          </w:tcPr>
          <w:p w14:paraId="0E799BBB" w14:textId="6CFFB072" w:rsidR="002168AA" w:rsidRPr="00AE6B24" w:rsidRDefault="002168AA" w:rsidP="00C31891">
            <w:pPr>
              <w:jc w:val="center"/>
              <w:rPr>
                <w:sz w:val="24"/>
                <w:szCs w:val="24"/>
                <w:vertAlign w:val="superscript"/>
              </w:rPr>
            </w:pPr>
            <w:r>
              <w:rPr>
                <w:sz w:val="24"/>
                <w:szCs w:val="24"/>
              </w:rPr>
              <w:t>85.3</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6A581B97" w14:textId="38BC2B4C" w:rsidR="002168AA" w:rsidRPr="00025479" w:rsidRDefault="00400658" w:rsidP="00C31891">
            <w:pPr>
              <w:jc w:val="center"/>
              <w:rPr>
                <w:sz w:val="24"/>
                <w:szCs w:val="24"/>
              </w:rPr>
            </w:pPr>
            <w:r>
              <w:rPr>
                <w:sz w:val="24"/>
                <w:szCs w:val="24"/>
              </w:rPr>
              <w:t>--</w:t>
            </w:r>
          </w:p>
        </w:tc>
        <w:tc>
          <w:tcPr>
            <w:tcW w:w="1075" w:type="dxa"/>
            <w:vAlign w:val="center"/>
          </w:tcPr>
          <w:p w14:paraId="512754B5" w14:textId="694F997B" w:rsidR="002168AA" w:rsidRPr="00025479" w:rsidRDefault="006C42C5" w:rsidP="00C31891">
            <w:pPr>
              <w:jc w:val="center"/>
              <w:rPr>
                <w:sz w:val="24"/>
                <w:szCs w:val="24"/>
              </w:rPr>
            </w:pPr>
            <w:r>
              <w:rPr>
                <w:sz w:val="24"/>
                <w:szCs w:val="24"/>
              </w:rPr>
              <w:t>--</w:t>
            </w:r>
          </w:p>
        </w:tc>
      </w:tr>
      <w:tr w:rsidR="002168AA" w14:paraId="0DC2ABB7" w14:textId="77777777" w:rsidTr="00025479">
        <w:tc>
          <w:tcPr>
            <w:tcW w:w="4945" w:type="dxa"/>
          </w:tcPr>
          <w:p w14:paraId="16E772B5" w14:textId="41A807BB" w:rsidR="002168AA" w:rsidRDefault="002168AA" w:rsidP="00C31891">
            <w:pPr>
              <w:rPr>
                <w:sz w:val="24"/>
                <w:szCs w:val="24"/>
              </w:rPr>
            </w:pPr>
            <w:r>
              <w:rPr>
                <w:sz w:val="24"/>
                <w:szCs w:val="24"/>
              </w:rPr>
              <w:t>LTBI Treatment Initiation</w:t>
            </w:r>
          </w:p>
        </w:tc>
        <w:tc>
          <w:tcPr>
            <w:tcW w:w="1260" w:type="dxa"/>
            <w:vAlign w:val="center"/>
          </w:tcPr>
          <w:p w14:paraId="482841A6" w14:textId="00A9857E" w:rsidR="002168AA" w:rsidRDefault="002168AA" w:rsidP="00C31891">
            <w:pPr>
              <w:jc w:val="center"/>
              <w:rPr>
                <w:sz w:val="24"/>
                <w:szCs w:val="24"/>
              </w:rPr>
            </w:pPr>
            <w:r>
              <w:rPr>
                <w:sz w:val="24"/>
                <w:szCs w:val="24"/>
              </w:rPr>
              <w:t>92.0</w:t>
            </w:r>
          </w:p>
        </w:tc>
        <w:tc>
          <w:tcPr>
            <w:tcW w:w="1080" w:type="dxa"/>
            <w:vAlign w:val="center"/>
          </w:tcPr>
          <w:p w14:paraId="4B6B6A7A" w14:textId="2820E3FA" w:rsidR="002168AA" w:rsidRPr="00AE6B24" w:rsidRDefault="002168AA" w:rsidP="00C31891">
            <w:pPr>
              <w:jc w:val="center"/>
              <w:rPr>
                <w:sz w:val="24"/>
                <w:szCs w:val="24"/>
                <w:vertAlign w:val="superscript"/>
              </w:rPr>
            </w:pPr>
            <w:r>
              <w:rPr>
                <w:sz w:val="24"/>
                <w:szCs w:val="24"/>
              </w:rPr>
              <w:t>72.5</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72E096BF" w14:textId="16D06C77" w:rsidR="002168AA" w:rsidRPr="00025479" w:rsidRDefault="00400658" w:rsidP="00C31891">
            <w:pPr>
              <w:jc w:val="center"/>
              <w:rPr>
                <w:sz w:val="24"/>
                <w:szCs w:val="24"/>
              </w:rPr>
            </w:pPr>
            <w:r>
              <w:rPr>
                <w:sz w:val="24"/>
                <w:szCs w:val="24"/>
              </w:rPr>
              <w:t>--</w:t>
            </w:r>
          </w:p>
        </w:tc>
        <w:tc>
          <w:tcPr>
            <w:tcW w:w="1075" w:type="dxa"/>
            <w:vAlign w:val="center"/>
          </w:tcPr>
          <w:p w14:paraId="2D0401B8" w14:textId="34FB4B58" w:rsidR="002168AA" w:rsidRPr="00025479" w:rsidRDefault="006C42C5" w:rsidP="00C31891">
            <w:pPr>
              <w:jc w:val="center"/>
              <w:rPr>
                <w:sz w:val="24"/>
                <w:szCs w:val="24"/>
              </w:rPr>
            </w:pPr>
            <w:r>
              <w:rPr>
                <w:sz w:val="24"/>
                <w:szCs w:val="24"/>
              </w:rPr>
              <w:t>--</w:t>
            </w:r>
          </w:p>
        </w:tc>
      </w:tr>
      <w:tr w:rsidR="002168AA" w14:paraId="666F6CD4" w14:textId="77777777" w:rsidTr="00025479">
        <w:tc>
          <w:tcPr>
            <w:tcW w:w="4945" w:type="dxa"/>
          </w:tcPr>
          <w:p w14:paraId="5A3CA658" w14:textId="4E953A42" w:rsidR="002168AA" w:rsidRDefault="002168AA" w:rsidP="00C31891">
            <w:pPr>
              <w:rPr>
                <w:sz w:val="24"/>
                <w:szCs w:val="24"/>
              </w:rPr>
            </w:pPr>
            <w:r>
              <w:rPr>
                <w:sz w:val="24"/>
                <w:szCs w:val="24"/>
              </w:rPr>
              <w:t>LTBI Treatment Completion</w:t>
            </w:r>
          </w:p>
        </w:tc>
        <w:tc>
          <w:tcPr>
            <w:tcW w:w="1260" w:type="dxa"/>
            <w:vAlign w:val="center"/>
          </w:tcPr>
          <w:p w14:paraId="63C66298" w14:textId="0272F371" w:rsidR="002168AA" w:rsidRDefault="002168AA" w:rsidP="00C31891">
            <w:pPr>
              <w:jc w:val="center"/>
              <w:rPr>
                <w:sz w:val="24"/>
                <w:szCs w:val="24"/>
              </w:rPr>
            </w:pPr>
            <w:r>
              <w:rPr>
                <w:sz w:val="24"/>
                <w:szCs w:val="24"/>
              </w:rPr>
              <w:t>93.0</w:t>
            </w:r>
          </w:p>
        </w:tc>
        <w:tc>
          <w:tcPr>
            <w:tcW w:w="1080" w:type="dxa"/>
            <w:vAlign w:val="center"/>
          </w:tcPr>
          <w:p w14:paraId="4CC15F3F" w14:textId="10D6AA4A" w:rsidR="002168AA" w:rsidRPr="00AE6B24" w:rsidRDefault="002168AA" w:rsidP="00C31891">
            <w:pPr>
              <w:jc w:val="center"/>
              <w:rPr>
                <w:sz w:val="24"/>
                <w:szCs w:val="24"/>
                <w:vertAlign w:val="superscript"/>
              </w:rPr>
            </w:pPr>
            <w:r>
              <w:rPr>
                <w:sz w:val="24"/>
                <w:szCs w:val="24"/>
              </w:rPr>
              <w:t>86.5</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316FE1A8" w14:textId="598B540A" w:rsidR="002168AA" w:rsidRPr="00025479" w:rsidRDefault="00400658" w:rsidP="00C31891">
            <w:pPr>
              <w:jc w:val="center"/>
              <w:rPr>
                <w:sz w:val="24"/>
                <w:szCs w:val="24"/>
              </w:rPr>
            </w:pPr>
            <w:r>
              <w:rPr>
                <w:sz w:val="24"/>
                <w:szCs w:val="24"/>
              </w:rPr>
              <w:t>--</w:t>
            </w:r>
          </w:p>
        </w:tc>
        <w:tc>
          <w:tcPr>
            <w:tcW w:w="1075" w:type="dxa"/>
            <w:vAlign w:val="center"/>
          </w:tcPr>
          <w:p w14:paraId="2C30C7D8" w14:textId="63ACF580" w:rsidR="002168AA" w:rsidRPr="00025479" w:rsidRDefault="006C42C5" w:rsidP="00C31891">
            <w:pPr>
              <w:jc w:val="center"/>
              <w:rPr>
                <w:sz w:val="24"/>
                <w:szCs w:val="24"/>
              </w:rPr>
            </w:pPr>
            <w:r>
              <w:rPr>
                <w:sz w:val="24"/>
                <w:szCs w:val="24"/>
              </w:rPr>
              <w:t>--</w:t>
            </w:r>
          </w:p>
        </w:tc>
      </w:tr>
      <w:tr w:rsidR="008D0F8B" w14:paraId="12DCE7E3" w14:textId="77777777" w:rsidTr="008D0F8B">
        <w:tc>
          <w:tcPr>
            <w:tcW w:w="9350" w:type="dxa"/>
            <w:gridSpan w:val="5"/>
            <w:shd w:val="clear" w:color="auto" w:fill="D9D9D9" w:themeFill="background1" w:themeFillShade="D9"/>
          </w:tcPr>
          <w:p w14:paraId="39BFEC66" w14:textId="6BCC359B" w:rsidR="008D0F8B" w:rsidRPr="008D0F8B" w:rsidRDefault="008D0F8B" w:rsidP="008D0F8B">
            <w:pPr>
              <w:rPr>
                <w:b/>
                <w:bCs/>
                <w:sz w:val="24"/>
                <w:szCs w:val="24"/>
              </w:rPr>
            </w:pPr>
            <w:r>
              <w:rPr>
                <w:b/>
                <w:bCs/>
                <w:sz w:val="24"/>
                <w:szCs w:val="24"/>
              </w:rPr>
              <w:t>Objectives on Examination of Immigrants and Refugees</w:t>
            </w:r>
            <w:r w:rsidR="00B23A67">
              <w:rPr>
                <w:b/>
                <w:bCs/>
                <w:sz w:val="24"/>
                <w:szCs w:val="24"/>
              </w:rPr>
              <w:t xml:space="preserve"> (%)</w:t>
            </w:r>
          </w:p>
        </w:tc>
      </w:tr>
      <w:tr w:rsidR="002168AA" w14:paraId="26A38E61" w14:textId="77777777" w:rsidTr="00025479">
        <w:tc>
          <w:tcPr>
            <w:tcW w:w="4945" w:type="dxa"/>
          </w:tcPr>
          <w:p w14:paraId="6A12FCEE" w14:textId="70E9FD3F" w:rsidR="002168AA" w:rsidRDefault="008D0F8B" w:rsidP="00C31891">
            <w:pPr>
              <w:rPr>
                <w:sz w:val="24"/>
                <w:szCs w:val="24"/>
              </w:rPr>
            </w:pPr>
            <w:r>
              <w:rPr>
                <w:sz w:val="24"/>
                <w:szCs w:val="24"/>
              </w:rPr>
              <w:t>Examination Initiation</w:t>
            </w:r>
          </w:p>
        </w:tc>
        <w:tc>
          <w:tcPr>
            <w:tcW w:w="1260" w:type="dxa"/>
            <w:vAlign w:val="center"/>
          </w:tcPr>
          <w:p w14:paraId="757E2AAC" w14:textId="0EF1E02A" w:rsidR="002168AA" w:rsidRDefault="008D0F8B" w:rsidP="00C31891">
            <w:pPr>
              <w:jc w:val="center"/>
              <w:rPr>
                <w:sz w:val="24"/>
                <w:szCs w:val="24"/>
              </w:rPr>
            </w:pPr>
            <w:r>
              <w:rPr>
                <w:sz w:val="24"/>
                <w:szCs w:val="24"/>
              </w:rPr>
              <w:t>72.0</w:t>
            </w:r>
          </w:p>
        </w:tc>
        <w:tc>
          <w:tcPr>
            <w:tcW w:w="1080" w:type="dxa"/>
            <w:vAlign w:val="center"/>
          </w:tcPr>
          <w:p w14:paraId="0437FE20" w14:textId="2D53C4D6" w:rsidR="002168AA" w:rsidRPr="00AE6B24" w:rsidRDefault="008D0F8B" w:rsidP="00C31891">
            <w:pPr>
              <w:jc w:val="center"/>
              <w:rPr>
                <w:sz w:val="24"/>
                <w:szCs w:val="24"/>
                <w:vertAlign w:val="superscript"/>
              </w:rPr>
            </w:pPr>
            <w:r>
              <w:rPr>
                <w:sz w:val="24"/>
                <w:szCs w:val="24"/>
              </w:rPr>
              <w:t>56.0</w:t>
            </w:r>
            <w:r w:rsidR="00AE6B24">
              <w:rPr>
                <w:sz w:val="24"/>
                <w:szCs w:val="24"/>
                <w:vertAlign w:val="superscript"/>
              </w:rPr>
              <w:t>*</w:t>
            </w:r>
          </w:p>
        </w:tc>
        <w:tc>
          <w:tcPr>
            <w:tcW w:w="990" w:type="dxa"/>
            <w:vAlign w:val="center"/>
          </w:tcPr>
          <w:p w14:paraId="731CCBFE" w14:textId="0BC9608E" w:rsidR="002168AA" w:rsidRPr="00AE6B24" w:rsidRDefault="00400658" w:rsidP="00C31891">
            <w:pPr>
              <w:jc w:val="center"/>
              <w:rPr>
                <w:sz w:val="24"/>
                <w:szCs w:val="24"/>
                <w:vertAlign w:val="superscript"/>
              </w:rPr>
            </w:pPr>
            <w:r>
              <w:rPr>
                <w:sz w:val="24"/>
                <w:szCs w:val="24"/>
              </w:rPr>
              <w:t>78.6</w:t>
            </w:r>
            <w:r w:rsidR="00AE6B24">
              <w:rPr>
                <w:sz w:val="24"/>
                <w:szCs w:val="24"/>
                <w:vertAlign w:val="superscript"/>
              </w:rPr>
              <w:t>*</w:t>
            </w:r>
            <w:r w:rsidR="006C42C5">
              <w:rPr>
                <w:rFonts w:cstheme="minorHAnsi"/>
                <w:sz w:val="24"/>
                <w:szCs w:val="24"/>
                <w:vertAlign w:val="superscript"/>
              </w:rPr>
              <w:t>§</w:t>
            </w:r>
          </w:p>
        </w:tc>
        <w:tc>
          <w:tcPr>
            <w:tcW w:w="1075" w:type="dxa"/>
            <w:vAlign w:val="center"/>
          </w:tcPr>
          <w:p w14:paraId="32CABC38" w14:textId="0265EFC7" w:rsidR="002168AA" w:rsidRPr="006C42C5" w:rsidRDefault="0085314D" w:rsidP="00C31891">
            <w:pPr>
              <w:jc w:val="center"/>
              <w:rPr>
                <w:sz w:val="24"/>
                <w:szCs w:val="24"/>
                <w:vertAlign w:val="superscript"/>
              </w:rPr>
            </w:pPr>
            <w:r>
              <w:rPr>
                <w:sz w:val="24"/>
                <w:szCs w:val="24"/>
              </w:rPr>
              <w:t>43.8</w:t>
            </w:r>
            <w:r w:rsidR="006C42C5">
              <w:rPr>
                <w:sz w:val="24"/>
                <w:szCs w:val="24"/>
                <w:vertAlign w:val="superscript"/>
              </w:rPr>
              <w:t>*</w:t>
            </w:r>
            <w:r w:rsidR="00013402">
              <w:rPr>
                <w:rFonts w:cstheme="minorHAnsi"/>
                <w:sz w:val="24"/>
                <w:szCs w:val="24"/>
                <w:vertAlign w:val="superscript"/>
              </w:rPr>
              <w:t>§</w:t>
            </w:r>
          </w:p>
        </w:tc>
      </w:tr>
      <w:tr w:rsidR="008D0F8B" w14:paraId="56558567" w14:textId="77777777" w:rsidTr="00025479">
        <w:tc>
          <w:tcPr>
            <w:tcW w:w="4945" w:type="dxa"/>
          </w:tcPr>
          <w:p w14:paraId="3EC97666" w14:textId="5A58C74B" w:rsidR="008D0F8B" w:rsidRDefault="008D0F8B" w:rsidP="00C31891">
            <w:pPr>
              <w:rPr>
                <w:sz w:val="24"/>
                <w:szCs w:val="24"/>
              </w:rPr>
            </w:pPr>
            <w:r>
              <w:rPr>
                <w:sz w:val="24"/>
                <w:szCs w:val="24"/>
              </w:rPr>
              <w:t>Examination Completion</w:t>
            </w:r>
          </w:p>
        </w:tc>
        <w:tc>
          <w:tcPr>
            <w:tcW w:w="1260" w:type="dxa"/>
            <w:vAlign w:val="center"/>
          </w:tcPr>
          <w:p w14:paraId="51CFF474" w14:textId="70316D61" w:rsidR="008D0F8B" w:rsidRDefault="008D0F8B" w:rsidP="00C31891">
            <w:pPr>
              <w:jc w:val="center"/>
              <w:rPr>
                <w:sz w:val="24"/>
                <w:szCs w:val="24"/>
              </w:rPr>
            </w:pPr>
            <w:r>
              <w:rPr>
                <w:sz w:val="24"/>
                <w:szCs w:val="24"/>
              </w:rPr>
              <w:t>78.0</w:t>
            </w:r>
          </w:p>
        </w:tc>
        <w:tc>
          <w:tcPr>
            <w:tcW w:w="1080" w:type="dxa"/>
            <w:vAlign w:val="center"/>
          </w:tcPr>
          <w:p w14:paraId="31E1F855" w14:textId="01B323DB" w:rsidR="008D0F8B" w:rsidRPr="00AE6B24" w:rsidRDefault="008D0F8B" w:rsidP="00C31891">
            <w:pPr>
              <w:jc w:val="center"/>
              <w:rPr>
                <w:sz w:val="24"/>
                <w:szCs w:val="24"/>
                <w:vertAlign w:val="superscript"/>
              </w:rPr>
            </w:pPr>
            <w:r>
              <w:rPr>
                <w:sz w:val="24"/>
                <w:szCs w:val="24"/>
              </w:rPr>
              <w:t>56.0</w:t>
            </w:r>
            <w:r w:rsidR="00AE6B24">
              <w:rPr>
                <w:sz w:val="24"/>
                <w:szCs w:val="24"/>
                <w:vertAlign w:val="superscript"/>
              </w:rPr>
              <w:t>*</w:t>
            </w:r>
          </w:p>
        </w:tc>
        <w:tc>
          <w:tcPr>
            <w:tcW w:w="990" w:type="dxa"/>
            <w:vAlign w:val="center"/>
          </w:tcPr>
          <w:p w14:paraId="4500A7D3" w14:textId="4789EBFF" w:rsidR="008D0F8B" w:rsidRPr="00AE6B24" w:rsidRDefault="006C42C5" w:rsidP="00C31891">
            <w:pPr>
              <w:jc w:val="center"/>
              <w:rPr>
                <w:sz w:val="24"/>
                <w:szCs w:val="24"/>
                <w:vertAlign w:val="superscript"/>
              </w:rPr>
            </w:pPr>
            <w:r>
              <w:rPr>
                <w:sz w:val="24"/>
                <w:szCs w:val="24"/>
              </w:rPr>
              <w:t>50.0</w:t>
            </w:r>
            <w:r w:rsidR="00AE6B24">
              <w:rPr>
                <w:sz w:val="24"/>
                <w:szCs w:val="24"/>
                <w:vertAlign w:val="superscript"/>
              </w:rPr>
              <w:t>*</w:t>
            </w:r>
            <w:r>
              <w:rPr>
                <w:rFonts w:cstheme="minorHAnsi"/>
                <w:sz w:val="24"/>
                <w:szCs w:val="24"/>
                <w:vertAlign w:val="superscript"/>
              </w:rPr>
              <w:t>§</w:t>
            </w:r>
          </w:p>
        </w:tc>
        <w:tc>
          <w:tcPr>
            <w:tcW w:w="1075" w:type="dxa"/>
            <w:vAlign w:val="center"/>
          </w:tcPr>
          <w:p w14:paraId="4533266A" w14:textId="334F47CC" w:rsidR="008D0F8B" w:rsidRPr="006C42C5" w:rsidRDefault="0085314D" w:rsidP="00C31891">
            <w:pPr>
              <w:jc w:val="center"/>
              <w:rPr>
                <w:sz w:val="24"/>
                <w:szCs w:val="24"/>
                <w:vertAlign w:val="superscript"/>
              </w:rPr>
            </w:pPr>
            <w:r w:rsidRPr="00E8362B">
              <w:rPr>
                <w:sz w:val="24"/>
                <w:szCs w:val="24"/>
              </w:rPr>
              <w:t>37.5</w:t>
            </w:r>
            <w:r w:rsidR="006C42C5">
              <w:rPr>
                <w:sz w:val="24"/>
                <w:szCs w:val="24"/>
                <w:vertAlign w:val="superscript"/>
              </w:rPr>
              <w:t>*</w:t>
            </w:r>
            <w:r w:rsidR="00013402">
              <w:rPr>
                <w:rFonts w:cstheme="minorHAnsi"/>
                <w:sz w:val="24"/>
                <w:szCs w:val="24"/>
                <w:vertAlign w:val="superscript"/>
              </w:rPr>
              <w:t>§</w:t>
            </w:r>
          </w:p>
        </w:tc>
      </w:tr>
      <w:tr w:rsidR="008D0F8B" w14:paraId="2153C634" w14:textId="77777777" w:rsidTr="00025479">
        <w:tc>
          <w:tcPr>
            <w:tcW w:w="4945" w:type="dxa"/>
          </w:tcPr>
          <w:p w14:paraId="0DCE9951" w14:textId="1C90546B" w:rsidR="008D0F8B" w:rsidRDefault="008D0F8B" w:rsidP="00C31891">
            <w:pPr>
              <w:rPr>
                <w:sz w:val="24"/>
                <w:szCs w:val="24"/>
              </w:rPr>
            </w:pPr>
            <w:r>
              <w:rPr>
                <w:sz w:val="24"/>
                <w:szCs w:val="24"/>
              </w:rPr>
              <w:t>LTBI Treatment Initiation</w:t>
            </w:r>
          </w:p>
        </w:tc>
        <w:tc>
          <w:tcPr>
            <w:tcW w:w="1260" w:type="dxa"/>
            <w:vAlign w:val="center"/>
          </w:tcPr>
          <w:p w14:paraId="49DC82D4" w14:textId="333E03AF" w:rsidR="008D0F8B" w:rsidRDefault="008D0F8B" w:rsidP="00C31891">
            <w:pPr>
              <w:jc w:val="center"/>
              <w:rPr>
                <w:sz w:val="24"/>
                <w:szCs w:val="24"/>
              </w:rPr>
            </w:pPr>
            <w:r>
              <w:rPr>
                <w:sz w:val="24"/>
                <w:szCs w:val="24"/>
              </w:rPr>
              <w:t>87.0</w:t>
            </w:r>
          </w:p>
        </w:tc>
        <w:tc>
          <w:tcPr>
            <w:tcW w:w="1080" w:type="dxa"/>
            <w:vAlign w:val="center"/>
          </w:tcPr>
          <w:p w14:paraId="2B93E705" w14:textId="5073416E" w:rsidR="008D0F8B" w:rsidRPr="00AE6B24" w:rsidRDefault="008D0F8B" w:rsidP="00C31891">
            <w:pPr>
              <w:jc w:val="center"/>
              <w:rPr>
                <w:sz w:val="24"/>
                <w:szCs w:val="24"/>
                <w:vertAlign w:val="superscript"/>
              </w:rPr>
            </w:pPr>
            <w:r>
              <w:rPr>
                <w:sz w:val="24"/>
                <w:szCs w:val="24"/>
              </w:rPr>
              <w:t>50.0</w:t>
            </w:r>
            <w:r w:rsidR="00AE6B24">
              <w:rPr>
                <w:sz w:val="24"/>
                <w:szCs w:val="24"/>
                <w:vertAlign w:val="superscript"/>
              </w:rPr>
              <w:t>*</w:t>
            </w:r>
          </w:p>
        </w:tc>
        <w:tc>
          <w:tcPr>
            <w:tcW w:w="990" w:type="dxa"/>
            <w:vAlign w:val="center"/>
          </w:tcPr>
          <w:p w14:paraId="641262C9" w14:textId="112F6943" w:rsidR="008D0F8B" w:rsidRPr="00AE6B24" w:rsidRDefault="00400658" w:rsidP="00C31891">
            <w:pPr>
              <w:jc w:val="center"/>
              <w:rPr>
                <w:sz w:val="24"/>
                <w:szCs w:val="24"/>
                <w:vertAlign w:val="superscript"/>
              </w:rPr>
            </w:pPr>
            <w:r>
              <w:rPr>
                <w:sz w:val="24"/>
                <w:szCs w:val="24"/>
              </w:rPr>
              <w:t>0.0</w:t>
            </w:r>
            <w:r w:rsidR="00AE6B24">
              <w:rPr>
                <w:sz w:val="24"/>
                <w:szCs w:val="24"/>
                <w:vertAlign w:val="superscript"/>
              </w:rPr>
              <w:t>*</w:t>
            </w:r>
            <w:r w:rsidR="006C42C5">
              <w:rPr>
                <w:rFonts w:cstheme="minorHAnsi"/>
                <w:sz w:val="24"/>
                <w:szCs w:val="24"/>
                <w:vertAlign w:val="superscript"/>
              </w:rPr>
              <w:t>§</w:t>
            </w:r>
          </w:p>
        </w:tc>
        <w:tc>
          <w:tcPr>
            <w:tcW w:w="1075" w:type="dxa"/>
            <w:vAlign w:val="center"/>
          </w:tcPr>
          <w:p w14:paraId="3064AD29" w14:textId="2B19A70F" w:rsidR="008D0F8B" w:rsidRPr="00025479" w:rsidRDefault="006C42C5" w:rsidP="00C31891">
            <w:pPr>
              <w:jc w:val="center"/>
              <w:rPr>
                <w:sz w:val="24"/>
                <w:szCs w:val="24"/>
              </w:rPr>
            </w:pPr>
            <w:r>
              <w:rPr>
                <w:sz w:val="24"/>
                <w:szCs w:val="24"/>
              </w:rPr>
              <w:t>--</w:t>
            </w:r>
          </w:p>
        </w:tc>
      </w:tr>
      <w:tr w:rsidR="008D0F8B" w14:paraId="5FA88288" w14:textId="77777777" w:rsidTr="00025479">
        <w:tc>
          <w:tcPr>
            <w:tcW w:w="4945" w:type="dxa"/>
          </w:tcPr>
          <w:p w14:paraId="193B90CF" w14:textId="0C2BDEFE" w:rsidR="008D0F8B" w:rsidRDefault="008D0F8B" w:rsidP="00C31891">
            <w:pPr>
              <w:rPr>
                <w:sz w:val="24"/>
                <w:szCs w:val="24"/>
              </w:rPr>
            </w:pPr>
            <w:r>
              <w:rPr>
                <w:sz w:val="24"/>
                <w:szCs w:val="24"/>
              </w:rPr>
              <w:t>LTBI Treatment Completion</w:t>
            </w:r>
          </w:p>
        </w:tc>
        <w:tc>
          <w:tcPr>
            <w:tcW w:w="1260" w:type="dxa"/>
            <w:vAlign w:val="center"/>
          </w:tcPr>
          <w:p w14:paraId="1D2F26A6" w14:textId="6D201FEC" w:rsidR="008D0F8B" w:rsidRDefault="008D0F8B" w:rsidP="008D0F8B">
            <w:pPr>
              <w:jc w:val="center"/>
              <w:rPr>
                <w:sz w:val="24"/>
                <w:szCs w:val="24"/>
              </w:rPr>
            </w:pPr>
            <w:r>
              <w:rPr>
                <w:sz w:val="24"/>
                <w:szCs w:val="24"/>
              </w:rPr>
              <w:t>87.0</w:t>
            </w:r>
          </w:p>
        </w:tc>
        <w:tc>
          <w:tcPr>
            <w:tcW w:w="1080" w:type="dxa"/>
            <w:vAlign w:val="center"/>
          </w:tcPr>
          <w:p w14:paraId="34EA72CA" w14:textId="683B6798" w:rsidR="008D0F8B" w:rsidRDefault="008D0F8B" w:rsidP="00C31891">
            <w:pPr>
              <w:jc w:val="center"/>
              <w:rPr>
                <w:sz w:val="24"/>
                <w:szCs w:val="24"/>
              </w:rPr>
            </w:pPr>
            <w:r>
              <w:rPr>
                <w:sz w:val="24"/>
                <w:szCs w:val="24"/>
              </w:rPr>
              <w:t>100</w:t>
            </w:r>
          </w:p>
        </w:tc>
        <w:tc>
          <w:tcPr>
            <w:tcW w:w="990" w:type="dxa"/>
            <w:vAlign w:val="center"/>
          </w:tcPr>
          <w:p w14:paraId="214289F9" w14:textId="32F053EA" w:rsidR="008D0F8B" w:rsidRPr="00025479" w:rsidRDefault="00400658" w:rsidP="00C31891">
            <w:pPr>
              <w:jc w:val="center"/>
              <w:rPr>
                <w:sz w:val="24"/>
                <w:szCs w:val="24"/>
              </w:rPr>
            </w:pPr>
            <w:r>
              <w:rPr>
                <w:sz w:val="24"/>
                <w:szCs w:val="24"/>
              </w:rPr>
              <w:t>--</w:t>
            </w:r>
          </w:p>
        </w:tc>
        <w:tc>
          <w:tcPr>
            <w:tcW w:w="1075" w:type="dxa"/>
            <w:vAlign w:val="center"/>
          </w:tcPr>
          <w:p w14:paraId="10B3E017" w14:textId="0BD0728B" w:rsidR="008D0F8B" w:rsidRPr="00025479" w:rsidRDefault="006C42C5" w:rsidP="00C31891">
            <w:pPr>
              <w:jc w:val="center"/>
              <w:rPr>
                <w:sz w:val="24"/>
                <w:szCs w:val="24"/>
              </w:rPr>
            </w:pPr>
            <w:r>
              <w:rPr>
                <w:sz w:val="24"/>
                <w:szCs w:val="24"/>
              </w:rPr>
              <w:t>--</w:t>
            </w:r>
          </w:p>
        </w:tc>
      </w:tr>
      <w:tr w:rsidR="008D0F8B" w14:paraId="3B13F6C4" w14:textId="77777777" w:rsidTr="008D0F8B">
        <w:tc>
          <w:tcPr>
            <w:tcW w:w="9350" w:type="dxa"/>
            <w:gridSpan w:val="5"/>
            <w:shd w:val="clear" w:color="auto" w:fill="D9D9D9" w:themeFill="background1" w:themeFillShade="D9"/>
            <w:vAlign w:val="center"/>
          </w:tcPr>
          <w:p w14:paraId="05AC3904" w14:textId="6A71A6BE" w:rsidR="008D0F8B" w:rsidRPr="008D0F8B" w:rsidRDefault="008D0F8B" w:rsidP="008D0F8B">
            <w:pPr>
              <w:rPr>
                <w:b/>
                <w:bCs/>
                <w:sz w:val="24"/>
                <w:szCs w:val="24"/>
              </w:rPr>
            </w:pPr>
            <w:r w:rsidRPr="008D0F8B">
              <w:rPr>
                <w:b/>
                <w:bCs/>
                <w:sz w:val="24"/>
                <w:szCs w:val="24"/>
              </w:rPr>
              <w:t xml:space="preserve">Indicators for Date Reporting </w:t>
            </w:r>
            <w:r w:rsidR="00B23A67">
              <w:rPr>
                <w:b/>
                <w:bCs/>
                <w:sz w:val="24"/>
                <w:szCs w:val="24"/>
              </w:rPr>
              <w:t>(%)</w:t>
            </w:r>
          </w:p>
        </w:tc>
      </w:tr>
      <w:tr w:rsidR="008D0F8B" w14:paraId="5FADED08" w14:textId="77777777" w:rsidTr="00025479">
        <w:tc>
          <w:tcPr>
            <w:tcW w:w="4945" w:type="dxa"/>
          </w:tcPr>
          <w:p w14:paraId="318F372D" w14:textId="182D1F34" w:rsidR="008D0F8B" w:rsidRDefault="008D0F8B" w:rsidP="00C31891">
            <w:pPr>
              <w:rPr>
                <w:sz w:val="24"/>
                <w:szCs w:val="24"/>
              </w:rPr>
            </w:pPr>
            <w:r>
              <w:rPr>
                <w:sz w:val="24"/>
                <w:szCs w:val="24"/>
              </w:rPr>
              <w:t>RVCT</w:t>
            </w:r>
          </w:p>
        </w:tc>
        <w:tc>
          <w:tcPr>
            <w:tcW w:w="1260" w:type="dxa"/>
            <w:vAlign w:val="center"/>
          </w:tcPr>
          <w:p w14:paraId="5E448B18" w14:textId="0475884A" w:rsidR="008D0F8B" w:rsidRDefault="008D0F8B" w:rsidP="00C31891">
            <w:pPr>
              <w:jc w:val="center"/>
              <w:rPr>
                <w:sz w:val="24"/>
                <w:szCs w:val="24"/>
              </w:rPr>
            </w:pPr>
            <w:r>
              <w:rPr>
                <w:sz w:val="24"/>
                <w:szCs w:val="24"/>
              </w:rPr>
              <w:t>100</w:t>
            </w:r>
          </w:p>
        </w:tc>
        <w:tc>
          <w:tcPr>
            <w:tcW w:w="1080" w:type="dxa"/>
            <w:vAlign w:val="center"/>
          </w:tcPr>
          <w:p w14:paraId="0698F815" w14:textId="3CE3769F" w:rsidR="008D0F8B" w:rsidRPr="00AE6B24" w:rsidRDefault="007B5538" w:rsidP="00C31891">
            <w:pPr>
              <w:jc w:val="center"/>
              <w:rPr>
                <w:sz w:val="24"/>
                <w:szCs w:val="24"/>
                <w:vertAlign w:val="superscript"/>
              </w:rPr>
            </w:pPr>
            <w:r>
              <w:rPr>
                <w:sz w:val="24"/>
                <w:szCs w:val="24"/>
              </w:rPr>
              <w:t>97.4</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3571E15F" w14:textId="7CF4F821" w:rsidR="008D0F8B" w:rsidRPr="00AE6B24" w:rsidRDefault="00216DF7" w:rsidP="00C31891">
            <w:pPr>
              <w:jc w:val="center"/>
              <w:rPr>
                <w:sz w:val="24"/>
                <w:szCs w:val="24"/>
                <w:vertAlign w:val="superscript"/>
              </w:rPr>
            </w:pPr>
            <w:r>
              <w:rPr>
                <w:sz w:val="24"/>
                <w:szCs w:val="24"/>
              </w:rPr>
              <w:t>89.5</w:t>
            </w:r>
            <w:r w:rsidR="00AE6B24">
              <w:rPr>
                <w:rFonts w:cstheme="minorHAnsi"/>
                <w:sz w:val="24"/>
                <w:szCs w:val="24"/>
                <w:vertAlign w:val="superscript"/>
              </w:rPr>
              <w:t>§</w:t>
            </w:r>
          </w:p>
        </w:tc>
        <w:tc>
          <w:tcPr>
            <w:tcW w:w="1075" w:type="dxa"/>
            <w:vAlign w:val="center"/>
          </w:tcPr>
          <w:p w14:paraId="6CDFC5A3" w14:textId="78721574" w:rsidR="008D0F8B" w:rsidRPr="006C42C5" w:rsidRDefault="002146F4" w:rsidP="00C31891">
            <w:pPr>
              <w:jc w:val="center"/>
              <w:rPr>
                <w:sz w:val="24"/>
                <w:szCs w:val="24"/>
                <w:vertAlign w:val="superscript"/>
              </w:rPr>
            </w:pPr>
            <w:r>
              <w:rPr>
                <w:sz w:val="24"/>
                <w:szCs w:val="24"/>
              </w:rPr>
              <w:t>81.5</w:t>
            </w:r>
            <w:r w:rsidR="006C42C5">
              <w:rPr>
                <w:sz w:val="24"/>
                <w:szCs w:val="24"/>
                <w:vertAlign w:val="superscript"/>
              </w:rPr>
              <w:t>*</w:t>
            </w:r>
            <w:r w:rsidR="006C42C5">
              <w:rPr>
                <w:rFonts w:cstheme="minorHAnsi"/>
                <w:sz w:val="24"/>
                <w:szCs w:val="24"/>
                <w:vertAlign w:val="superscript"/>
              </w:rPr>
              <w:t>§</w:t>
            </w:r>
          </w:p>
        </w:tc>
      </w:tr>
      <w:tr w:rsidR="008D0F8B" w14:paraId="2588B1AC" w14:textId="77777777" w:rsidTr="00025479">
        <w:tc>
          <w:tcPr>
            <w:tcW w:w="4945" w:type="dxa"/>
          </w:tcPr>
          <w:p w14:paraId="1E6782D0" w14:textId="38A3AD3F" w:rsidR="008D0F8B" w:rsidRDefault="008D0F8B" w:rsidP="00C31891">
            <w:pPr>
              <w:rPr>
                <w:sz w:val="24"/>
                <w:szCs w:val="24"/>
              </w:rPr>
            </w:pPr>
            <w:r>
              <w:rPr>
                <w:sz w:val="24"/>
                <w:szCs w:val="24"/>
              </w:rPr>
              <w:t>ARPE</w:t>
            </w:r>
          </w:p>
        </w:tc>
        <w:tc>
          <w:tcPr>
            <w:tcW w:w="1260" w:type="dxa"/>
            <w:vAlign w:val="center"/>
          </w:tcPr>
          <w:p w14:paraId="04121B71" w14:textId="2BFA338F" w:rsidR="008D0F8B" w:rsidRDefault="008D0F8B" w:rsidP="00C31891">
            <w:pPr>
              <w:jc w:val="center"/>
              <w:rPr>
                <w:sz w:val="24"/>
                <w:szCs w:val="24"/>
              </w:rPr>
            </w:pPr>
            <w:r>
              <w:rPr>
                <w:sz w:val="24"/>
                <w:szCs w:val="24"/>
              </w:rPr>
              <w:t>100</w:t>
            </w:r>
          </w:p>
        </w:tc>
        <w:tc>
          <w:tcPr>
            <w:tcW w:w="1080" w:type="dxa"/>
            <w:vAlign w:val="center"/>
          </w:tcPr>
          <w:p w14:paraId="45B3622B" w14:textId="0823F06E" w:rsidR="008D0F8B" w:rsidRPr="00AE6B24" w:rsidRDefault="008D0F8B" w:rsidP="00C31891">
            <w:pPr>
              <w:jc w:val="center"/>
              <w:rPr>
                <w:sz w:val="24"/>
                <w:szCs w:val="24"/>
                <w:vertAlign w:val="superscript"/>
              </w:rPr>
            </w:pPr>
            <w:r>
              <w:rPr>
                <w:sz w:val="24"/>
                <w:szCs w:val="24"/>
              </w:rPr>
              <w:t>88.9</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0DC9D43B" w14:textId="13936AA5" w:rsidR="008D0F8B" w:rsidRPr="00025479" w:rsidRDefault="00400658" w:rsidP="00C31891">
            <w:pPr>
              <w:jc w:val="center"/>
              <w:rPr>
                <w:sz w:val="24"/>
                <w:szCs w:val="24"/>
              </w:rPr>
            </w:pPr>
            <w:r>
              <w:rPr>
                <w:sz w:val="24"/>
                <w:szCs w:val="24"/>
              </w:rPr>
              <w:t>--</w:t>
            </w:r>
          </w:p>
        </w:tc>
        <w:tc>
          <w:tcPr>
            <w:tcW w:w="1075" w:type="dxa"/>
            <w:vAlign w:val="center"/>
          </w:tcPr>
          <w:p w14:paraId="12DF8F49" w14:textId="424453FD" w:rsidR="008D0F8B" w:rsidRPr="00025479" w:rsidRDefault="006C42C5" w:rsidP="00C31891">
            <w:pPr>
              <w:jc w:val="center"/>
              <w:rPr>
                <w:sz w:val="24"/>
                <w:szCs w:val="24"/>
              </w:rPr>
            </w:pPr>
            <w:r>
              <w:rPr>
                <w:sz w:val="24"/>
                <w:szCs w:val="24"/>
              </w:rPr>
              <w:t>--</w:t>
            </w:r>
          </w:p>
        </w:tc>
      </w:tr>
      <w:tr w:rsidR="008D0F8B" w14:paraId="47AA4FFD" w14:textId="77777777" w:rsidTr="00025479">
        <w:tc>
          <w:tcPr>
            <w:tcW w:w="4945" w:type="dxa"/>
          </w:tcPr>
          <w:p w14:paraId="33FAD914" w14:textId="187258C7" w:rsidR="008D0F8B" w:rsidRDefault="008D0F8B" w:rsidP="00C31891">
            <w:pPr>
              <w:rPr>
                <w:sz w:val="24"/>
                <w:szCs w:val="24"/>
              </w:rPr>
            </w:pPr>
            <w:r>
              <w:rPr>
                <w:sz w:val="24"/>
                <w:szCs w:val="24"/>
              </w:rPr>
              <w:t>EDN</w:t>
            </w:r>
          </w:p>
        </w:tc>
        <w:tc>
          <w:tcPr>
            <w:tcW w:w="1260" w:type="dxa"/>
            <w:vAlign w:val="center"/>
          </w:tcPr>
          <w:p w14:paraId="3966B2D3" w14:textId="6DE452AD" w:rsidR="008D0F8B" w:rsidRDefault="008D0F8B" w:rsidP="00C31891">
            <w:pPr>
              <w:jc w:val="center"/>
              <w:rPr>
                <w:sz w:val="24"/>
                <w:szCs w:val="24"/>
              </w:rPr>
            </w:pPr>
            <w:r>
              <w:rPr>
                <w:sz w:val="24"/>
                <w:szCs w:val="24"/>
              </w:rPr>
              <w:t>93.0</w:t>
            </w:r>
          </w:p>
        </w:tc>
        <w:tc>
          <w:tcPr>
            <w:tcW w:w="1080" w:type="dxa"/>
            <w:vAlign w:val="center"/>
          </w:tcPr>
          <w:p w14:paraId="33E72B55" w14:textId="0959D0C4" w:rsidR="008D0F8B" w:rsidRPr="00AE6B24" w:rsidRDefault="006C42C5" w:rsidP="00C31891">
            <w:pPr>
              <w:jc w:val="center"/>
              <w:rPr>
                <w:sz w:val="24"/>
                <w:szCs w:val="24"/>
                <w:vertAlign w:val="superscript"/>
              </w:rPr>
            </w:pPr>
            <w:r>
              <w:rPr>
                <w:sz w:val="24"/>
                <w:szCs w:val="24"/>
              </w:rPr>
              <w:t>75.1</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46763E2F" w14:textId="35C8F558" w:rsidR="008D0F8B" w:rsidRPr="00AE6B24" w:rsidRDefault="006C42C5" w:rsidP="00C31891">
            <w:pPr>
              <w:jc w:val="center"/>
              <w:rPr>
                <w:sz w:val="24"/>
                <w:szCs w:val="24"/>
                <w:vertAlign w:val="superscript"/>
              </w:rPr>
            </w:pPr>
            <w:r>
              <w:rPr>
                <w:sz w:val="24"/>
                <w:szCs w:val="24"/>
              </w:rPr>
              <w:t>63.0</w:t>
            </w:r>
            <w:r w:rsidR="00AE6B24">
              <w:rPr>
                <w:sz w:val="24"/>
                <w:szCs w:val="24"/>
                <w:vertAlign w:val="superscript"/>
              </w:rPr>
              <w:t>*</w:t>
            </w:r>
            <w:r w:rsidR="00AE6B24">
              <w:rPr>
                <w:rFonts w:cstheme="minorHAnsi"/>
                <w:sz w:val="24"/>
                <w:szCs w:val="24"/>
                <w:vertAlign w:val="superscript"/>
              </w:rPr>
              <w:t>§</w:t>
            </w:r>
          </w:p>
        </w:tc>
        <w:tc>
          <w:tcPr>
            <w:tcW w:w="1075" w:type="dxa"/>
            <w:vAlign w:val="center"/>
          </w:tcPr>
          <w:p w14:paraId="413C76E7" w14:textId="64E79999" w:rsidR="008D0F8B" w:rsidRPr="006C42C5" w:rsidRDefault="0085314D" w:rsidP="00C31891">
            <w:pPr>
              <w:jc w:val="center"/>
              <w:rPr>
                <w:sz w:val="24"/>
                <w:szCs w:val="24"/>
                <w:vertAlign w:val="superscript"/>
              </w:rPr>
            </w:pPr>
            <w:r>
              <w:rPr>
                <w:sz w:val="24"/>
                <w:szCs w:val="24"/>
              </w:rPr>
              <w:t>47.6</w:t>
            </w:r>
            <w:r w:rsidR="006C42C5">
              <w:rPr>
                <w:sz w:val="24"/>
                <w:szCs w:val="24"/>
                <w:vertAlign w:val="superscript"/>
              </w:rPr>
              <w:t>*</w:t>
            </w:r>
            <w:r w:rsidR="006C42C5">
              <w:rPr>
                <w:rFonts w:cstheme="minorHAnsi"/>
                <w:sz w:val="24"/>
                <w:szCs w:val="24"/>
                <w:vertAlign w:val="superscript"/>
              </w:rPr>
              <w:t>§</w:t>
            </w:r>
          </w:p>
        </w:tc>
      </w:tr>
    </w:tbl>
    <w:p w14:paraId="2E0019F5" w14:textId="50DE1109" w:rsidR="007B5538" w:rsidRPr="007B5538" w:rsidRDefault="007B5538" w:rsidP="00C31891">
      <w:pPr>
        <w:spacing w:after="0" w:line="240" w:lineRule="auto"/>
        <w:rPr>
          <w:sz w:val="24"/>
          <w:szCs w:val="24"/>
        </w:rPr>
      </w:pPr>
      <w:r>
        <w:rPr>
          <w:sz w:val="24"/>
          <w:szCs w:val="24"/>
        </w:rPr>
        <w:t>Case rates for Q1/Q2 calculated using case counts for the quarter and population estimates</w:t>
      </w:r>
    </w:p>
    <w:p w14:paraId="088D4FA9" w14:textId="7D4A7F3C" w:rsidR="00025479" w:rsidRDefault="0034000E" w:rsidP="00C31891">
      <w:pPr>
        <w:spacing w:after="0" w:line="240" w:lineRule="auto"/>
        <w:rPr>
          <w:sz w:val="24"/>
          <w:szCs w:val="24"/>
        </w:rPr>
      </w:pPr>
      <w:r>
        <w:rPr>
          <w:sz w:val="24"/>
          <w:szCs w:val="24"/>
          <w:vertAlign w:val="superscript"/>
        </w:rPr>
        <w:t>*</w:t>
      </w:r>
      <w:r>
        <w:rPr>
          <w:sz w:val="24"/>
          <w:szCs w:val="24"/>
        </w:rPr>
        <w:t>Indicator not met</w:t>
      </w:r>
    </w:p>
    <w:p w14:paraId="1C86CFCC" w14:textId="77777777" w:rsidR="0034000E" w:rsidRDefault="0034000E" w:rsidP="00C31891">
      <w:pPr>
        <w:spacing w:after="0" w:line="240" w:lineRule="auto"/>
        <w:rPr>
          <w:sz w:val="24"/>
          <w:szCs w:val="24"/>
        </w:rPr>
      </w:pPr>
      <w:r>
        <w:rPr>
          <w:rFonts w:cstheme="minorHAnsi"/>
          <w:sz w:val="24"/>
          <w:szCs w:val="24"/>
          <w:vertAlign w:val="superscript"/>
        </w:rPr>
        <w:t>§</w:t>
      </w:r>
      <w:r>
        <w:rPr>
          <w:sz w:val="24"/>
          <w:szCs w:val="24"/>
        </w:rPr>
        <w:t>Data are preliminary</w:t>
      </w:r>
    </w:p>
    <w:p w14:paraId="23AA09B7" w14:textId="77777777" w:rsidR="009C2FDC" w:rsidRDefault="009C2FDC" w:rsidP="00C31891">
      <w:pPr>
        <w:spacing w:after="0" w:line="240" w:lineRule="auto"/>
        <w:rPr>
          <w:sz w:val="24"/>
          <w:szCs w:val="24"/>
        </w:rPr>
        <w:sectPr w:rsidR="009C2FDC" w:rsidSect="00B90B15">
          <w:headerReference w:type="default" r:id="rId8"/>
          <w:footerReference w:type="default" r:id="rId9"/>
          <w:pgSz w:w="12240" w:h="15840"/>
          <w:pgMar w:top="1440" w:right="1440" w:bottom="1440" w:left="1440" w:header="720" w:footer="720" w:gutter="0"/>
          <w:cols w:space="720"/>
          <w:docGrid w:linePitch="360"/>
        </w:sectPr>
      </w:pPr>
    </w:p>
    <w:p w14:paraId="69849FE1" w14:textId="720A20E5" w:rsidR="00E47DE0" w:rsidRDefault="009C2FDC" w:rsidP="00E47DE0">
      <w:pPr>
        <w:spacing w:after="0" w:line="360" w:lineRule="auto"/>
        <w:rPr>
          <w:b/>
          <w:bCs/>
          <w:sz w:val="24"/>
          <w:szCs w:val="24"/>
          <w:u w:val="single"/>
        </w:rPr>
      </w:pPr>
      <w:r>
        <w:rPr>
          <w:b/>
          <w:bCs/>
          <w:sz w:val="24"/>
          <w:szCs w:val="24"/>
          <w:u w:val="single"/>
        </w:rPr>
        <w:lastRenderedPageBreak/>
        <w:t>Tennessee TB Elimination Program</w:t>
      </w:r>
      <w:r w:rsidR="00333F3D">
        <w:rPr>
          <w:b/>
          <w:bCs/>
          <w:sz w:val="24"/>
          <w:szCs w:val="24"/>
          <w:u w:val="single"/>
        </w:rPr>
        <w:t xml:space="preserve"> (TTBEP)</w:t>
      </w:r>
      <w:r>
        <w:rPr>
          <w:b/>
          <w:bCs/>
          <w:sz w:val="24"/>
          <w:szCs w:val="24"/>
          <w:u w:val="single"/>
        </w:rPr>
        <w:t xml:space="preserve"> and COVID-19 Response</w:t>
      </w:r>
    </w:p>
    <w:p w14:paraId="6A3B00B6" w14:textId="77777777" w:rsidR="00E47DE0" w:rsidRDefault="00E47DE0" w:rsidP="00E47DE0">
      <w:pPr>
        <w:spacing w:after="0" w:line="360" w:lineRule="auto"/>
        <w:rPr>
          <w:sz w:val="24"/>
          <w:szCs w:val="24"/>
        </w:rPr>
      </w:pPr>
      <w:r>
        <w:rPr>
          <w:sz w:val="24"/>
          <w:szCs w:val="24"/>
        </w:rPr>
        <w:t>During the COVID-19 pandemic, TB staff at the state, regional, and local level throughout Tennessee were reassigned from their TB duties to assist with the COVID-19 response.    At the state</w:t>
      </w:r>
      <w:r w:rsidR="00B16A05">
        <w:rPr>
          <w:sz w:val="24"/>
          <w:szCs w:val="24"/>
        </w:rPr>
        <w:t xml:space="preserve"> level,  six of the seven TB staff members assisted in the response.  State, regional, and local TB staff assisted with the following activities during the COVID-19 response:</w:t>
      </w:r>
    </w:p>
    <w:p w14:paraId="49BC4005" w14:textId="77777777" w:rsidR="0060520D" w:rsidRDefault="0060520D" w:rsidP="00114B41">
      <w:pPr>
        <w:pStyle w:val="ListParagraph"/>
        <w:numPr>
          <w:ilvl w:val="0"/>
          <w:numId w:val="14"/>
        </w:numPr>
        <w:spacing w:after="0" w:line="360" w:lineRule="auto"/>
        <w:rPr>
          <w:sz w:val="24"/>
          <w:szCs w:val="24"/>
        </w:rPr>
      </w:pPr>
      <w:r>
        <w:rPr>
          <w:sz w:val="24"/>
          <w:szCs w:val="24"/>
        </w:rPr>
        <w:t>COVID-19 call bank</w:t>
      </w:r>
    </w:p>
    <w:p w14:paraId="2224E213" w14:textId="0D9FA52E" w:rsidR="0060520D" w:rsidRDefault="005E3DCF" w:rsidP="00114B41">
      <w:pPr>
        <w:pStyle w:val="ListParagraph"/>
        <w:numPr>
          <w:ilvl w:val="0"/>
          <w:numId w:val="14"/>
        </w:numPr>
        <w:spacing w:after="0" w:line="360" w:lineRule="auto"/>
        <w:rPr>
          <w:sz w:val="24"/>
          <w:szCs w:val="24"/>
        </w:rPr>
      </w:pPr>
      <w:r>
        <w:rPr>
          <w:sz w:val="24"/>
          <w:szCs w:val="24"/>
        </w:rPr>
        <w:t>COVID-19 testing events</w:t>
      </w:r>
    </w:p>
    <w:p w14:paraId="071663A5" w14:textId="0469E51B" w:rsidR="005E3DCF" w:rsidRDefault="005E3DCF" w:rsidP="00114B41">
      <w:pPr>
        <w:pStyle w:val="ListParagraph"/>
        <w:numPr>
          <w:ilvl w:val="0"/>
          <w:numId w:val="14"/>
        </w:numPr>
        <w:spacing w:after="0" w:line="360" w:lineRule="auto"/>
        <w:rPr>
          <w:sz w:val="24"/>
          <w:szCs w:val="24"/>
        </w:rPr>
      </w:pPr>
      <w:r>
        <w:rPr>
          <w:sz w:val="24"/>
          <w:szCs w:val="24"/>
        </w:rPr>
        <w:t>COVID-19 vaccination points of distribution (PODs)</w:t>
      </w:r>
      <w:r w:rsidR="000C2DC6">
        <w:rPr>
          <w:sz w:val="24"/>
          <w:szCs w:val="24"/>
        </w:rPr>
        <w:t xml:space="preserve">  </w:t>
      </w:r>
    </w:p>
    <w:p w14:paraId="7E390529" w14:textId="77777777" w:rsidR="005E3DCF" w:rsidRDefault="005E3DCF" w:rsidP="00114B41">
      <w:pPr>
        <w:pStyle w:val="ListParagraph"/>
        <w:numPr>
          <w:ilvl w:val="0"/>
          <w:numId w:val="14"/>
        </w:numPr>
        <w:spacing w:after="0" w:line="360" w:lineRule="auto"/>
        <w:rPr>
          <w:sz w:val="24"/>
          <w:szCs w:val="24"/>
        </w:rPr>
      </w:pPr>
      <w:r>
        <w:rPr>
          <w:sz w:val="24"/>
          <w:szCs w:val="24"/>
        </w:rPr>
        <w:t>Contact tracing</w:t>
      </w:r>
    </w:p>
    <w:p w14:paraId="081DEB1F" w14:textId="77777777" w:rsidR="005E3DCF" w:rsidRDefault="005E3DCF" w:rsidP="00114B41">
      <w:pPr>
        <w:pStyle w:val="ListParagraph"/>
        <w:numPr>
          <w:ilvl w:val="0"/>
          <w:numId w:val="14"/>
        </w:numPr>
        <w:spacing w:after="0" w:line="360" w:lineRule="auto"/>
        <w:rPr>
          <w:sz w:val="24"/>
          <w:szCs w:val="24"/>
        </w:rPr>
      </w:pPr>
      <w:r>
        <w:rPr>
          <w:sz w:val="24"/>
          <w:szCs w:val="24"/>
        </w:rPr>
        <w:t>COVID-19 case interviews</w:t>
      </w:r>
    </w:p>
    <w:p w14:paraId="06E39D79" w14:textId="77777777" w:rsidR="005E3DCF" w:rsidRDefault="005E3DCF" w:rsidP="00114B41">
      <w:pPr>
        <w:pStyle w:val="ListParagraph"/>
        <w:numPr>
          <w:ilvl w:val="0"/>
          <w:numId w:val="14"/>
        </w:numPr>
        <w:spacing w:after="0" w:line="360" w:lineRule="auto"/>
        <w:rPr>
          <w:sz w:val="24"/>
          <w:szCs w:val="24"/>
        </w:rPr>
      </w:pPr>
      <w:r>
        <w:rPr>
          <w:sz w:val="24"/>
          <w:szCs w:val="24"/>
        </w:rPr>
        <w:t>COVID-19 cluster surveillance and reporting</w:t>
      </w:r>
    </w:p>
    <w:p w14:paraId="29FA7CAE" w14:textId="77777777" w:rsidR="005E3DCF" w:rsidRDefault="005E3DCF" w:rsidP="00114B41">
      <w:pPr>
        <w:pStyle w:val="ListParagraph"/>
        <w:numPr>
          <w:ilvl w:val="0"/>
          <w:numId w:val="14"/>
        </w:numPr>
        <w:spacing w:after="0" w:line="360" w:lineRule="auto"/>
        <w:rPr>
          <w:sz w:val="24"/>
          <w:szCs w:val="24"/>
        </w:rPr>
      </w:pPr>
      <w:r>
        <w:rPr>
          <w:sz w:val="24"/>
          <w:szCs w:val="24"/>
        </w:rPr>
        <w:t>Administrative support for centralized interview team</w:t>
      </w:r>
    </w:p>
    <w:p w14:paraId="180EF9FE" w14:textId="77777777" w:rsidR="005E3DCF" w:rsidRDefault="005E3DCF" w:rsidP="00114B41">
      <w:pPr>
        <w:pStyle w:val="ListParagraph"/>
        <w:numPr>
          <w:ilvl w:val="0"/>
          <w:numId w:val="14"/>
        </w:numPr>
        <w:spacing w:after="0" w:line="360" w:lineRule="auto"/>
        <w:rPr>
          <w:sz w:val="24"/>
          <w:szCs w:val="24"/>
        </w:rPr>
      </w:pPr>
      <w:r>
        <w:rPr>
          <w:sz w:val="24"/>
          <w:szCs w:val="24"/>
        </w:rPr>
        <w:t>Data visualization</w:t>
      </w:r>
    </w:p>
    <w:p w14:paraId="1E4A91B4" w14:textId="77777777" w:rsidR="005E3DCF" w:rsidRDefault="005E3DCF" w:rsidP="00114B41">
      <w:pPr>
        <w:pStyle w:val="ListParagraph"/>
        <w:numPr>
          <w:ilvl w:val="0"/>
          <w:numId w:val="14"/>
        </w:numPr>
        <w:spacing w:after="0" w:line="360" w:lineRule="auto"/>
        <w:rPr>
          <w:sz w:val="24"/>
          <w:szCs w:val="24"/>
        </w:rPr>
      </w:pPr>
      <w:r>
        <w:rPr>
          <w:sz w:val="24"/>
          <w:szCs w:val="24"/>
        </w:rPr>
        <w:t>Epi-X notification processing</w:t>
      </w:r>
    </w:p>
    <w:p w14:paraId="38A4F494" w14:textId="604C32AB" w:rsidR="005420E7" w:rsidRDefault="005420E7" w:rsidP="005E3DCF">
      <w:pPr>
        <w:spacing w:after="0" w:line="360" w:lineRule="auto"/>
        <w:rPr>
          <w:sz w:val="24"/>
          <w:szCs w:val="24"/>
          <w:u w:val="single"/>
        </w:rPr>
      </w:pPr>
      <w:r>
        <w:rPr>
          <w:sz w:val="24"/>
          <w:szCs w:val="24"/>
          <w:u w:val="single"/>
        </w:rPr>
        <w:t>TTBEP Interim Recommendations during COVID-19</w:t>
      </w:r>
    </w:p>
    <w:p w14:paraId="6640AEE6" w14:textId="1FE53ADE" w:rsidR="005420E7" w:rsidRDefault="005420E7" w:rsidP="005E3DCF">
      <w:pPr>
        <w:spacing w:after="0" w:line="360" w:lineRule="auto"/>
        <w:rPr>
          <w:sz w:val="24"/>
          <w:szCs w:val="24"/>
        </w:rPr>
      </w:pPr>
      <w:r>
        <w:rPr>
          <w:sz w:val="24"/>
          <w:szCs w:val="24"/>
        </w:rPr>
        <w:t xml:space="preserve">During 2020, the TTBEP issued interim recommendations for statewide TB program operations on three (3) separate occasions: March, May, and October.  </w:t>
      </w:r>
      <w:r w:rsidR="00114B41">
        <w:rPr>
          <w:sz w:val="24"/>
          <w:szCs w:val="24"/>
        </w:rPr>
        <w:t xml:space="preserve">Recommendations issued in March 2020 included: </w:t>
      </w:r>
    </w:p>
    <w:p w14:paraId="38102519" w14:textId="5C94EB97" w:rsidR="00114B41" w:rsidRDefault="00114B41" w:rsidP="00114B41">
      <w:pPr>
        <w:pStyle w:val="ListParagraph"/>
        <w:numPr>
          <w:ilvl w:val="0"/>
          <w:numId w:val="15"/>
        </w:numPr>
        <w:spacing w:after="0" w:line="360" w:lineRule="auto"/>
        <w:rPr>
          <w:sz w:val="24"/>
          <w:szCs w:val="24"/>
        </w:rPr>
      </w:pPr>
      <w:r>
        <w:rPr>
          <w:sz w:val="24"/>
          <w:szCs w:val="24"/>
        </w:rPr>
        <w:t>Temporarily suspending collection of induced sputum in sputum induction booths</w:t>
      </w:r>
    </w:p>
    <w:p w14:paraId="138075AD" w14:textId="349E16EA" w:rsidR="00114B41" w:rsidRDefault="00114B41" w:rsidP="00114B41">
      <w:pPr>
        <w:pStyle w:val="ListParagraph"/>
        <w:numPr>
          <w:ilvl w:val="0"/>
          <w:numId w:val="15"/>
        </w:numPr>
        <w:spacing w:after="0" w:line="360" w:lineRule="auto"/>
        <w:rPr>
          <w:sz w:val="24"/>
          <w:szCs w:val="24"/>
        </w:rPr>
      </w:pPr>
      <w:r>
        <w:rPr>
          <w:sz w:val="24"/>
          <w:szCs w:val="24"/>
        </w:rPr>
        <w:t>Completing as much of the initial assessment via phone or video, when possible</w:t>
      </w:r>
    </w:p>
    <w:p w14:paraId="2FE1F117" w14:textId="71E654A1" w:rsidR="003A0192" w:rsidRDefault="003A0192" w:rsidP="00114B41">
      <w:pPr>
        <w:pStyle w:val="ListParagraph"/>
        <w:numPr>
          <w:ilvl w:val="0"/>
          <w:numId w:val="15"/>
        </w:numPr>
        <w:spacing w:after="0" w:line="360" w:lineRule="auto"/>
        <w:rPr>
          <w:sz w:val="24"/>
          <w:szCs w:val="24"/>
        </w:rPr>
      </w:pPr>
      <w:r>
        <w:rPr>
          <w:sz w:val="24"/>
          <w:szCs w:val="24"/>
        </w:rPr>
        <w:t>Deferment to second round testing for persons exposed to sources cases with ruled out pulmonary disease</w:t>
      </w:r>
    </w:p>
    <w:p w14:paraId="4DFC9F85" w14:textId="1088A991" w:rsidR="00114B41" w:rsidRDefault="00114B41" w:rsidP="00114B41">
      <w:pPr>
        <w:pStyle w:val="ListParagraph"/>
        <w:numPr>
          <w:ilvl w:val="0"/>
          <w:numId w:val="15"/>
        </w:numPr>
        <w:spacing w:after="0" w:line="360" w:lineRule="auto"/>
        <w:rPr>
          <w:sz w:val="24"/>
          <w:szCs w:val="24"/>
        </w:rPr>
      </w:pPr>
      <w:r>
        <w:rPr>
          <w:sz w:val="24"/>
          <w:szCs w:val="24"/>
        </w:rPr>
        <w:t>Relaxing the criteria needed for electronic directly observed therapy (DOT)</w:t>
      </w:r>
    </w:p>
    <w:p w14:paraId="3CB8F914" w14:textId="61717324" w:rsidR="00114B41" w:rsidRDefault="00114B41" w:rsidP="00114B41">
      <w:pPr>
        <w:pStyle w:val="ListParagraph"/>
        <w:numPr>
          <w:ilvl w:val="0"/>
          <w:numId w:val="15"/>
        </w:numPr>
        <w:spacing w:after="0" w:line="360" w:lineRule="auto"/>
        <w:rPr>
          <w:sz w:val="24"/>
          <w:szCs w:val="24"/>
        </w:rPr>
      </w:pPr>
      <w:r>
        <w:rPr>
          <w:sz w:val="24"/>
          <w:szCs w:val="24"/>
        </w:rPr>
        <w:t>Deferment of treatment of TB infection (TBI) for patient except for those high-priority contacts</w:t>
      </w:r>
    </w:p>
    <w:p w14:paraId="585B1B1F" w14:textId="2242747C" w:rsidR="00D27E9D" w:rsidRDefault="00D27E9D" w:rsidP="00114B41">
      <w:pPr>
        <w:pStyle w:val="ListParagraph"/>
        <w:numPr>
          <w:ilvl w:val="0"/>
          <w:numId w:val="15"/>
        </w:numPr>
        <w:spacing w:after="0" w:line="360" w:lineRule="auto"/>
        <w:rPr>
          <w:sz w:val="24"/>
          <w:szCs w:val="24"/>
        </w:rPr>
      </w:pPr>
      <w:r>
        <w:rPr>
          <w:sz w:val="24"/>
          <w:szCs w:val="24"/>
        </w:rPr>
        <w:t xml:space="preserve">Reduction in the number of visits to health department clinics for medication </w:t>
      </w:r>
      <w:r w:rsidR="000F0861">
        <w:rPr>
          <w:sz w:val="24"/>
          <w:szCs w:val="24"/>
        </w:rPr>
        <w:t>and increase in the number of bottles of medication for TBI provided at a single time</w:t>
      </w:r>
    </w:p>
    <w:p w14:paraId="65DDD446" w14:textId="73FDFFD0" w:rsidR="00114B41" w:rsidRDefault="00114B41" w:rsidP="00114B41">
      <w:pPr>
        <w:pStyle w:val="ListParagraph"/>
        <w:numPr>
          <w:ilvl w:val="0"/>
          <w:numId w:val="15"/>
        </w:numPr>
        <w:spacing w:after="0" w:line="360" w:lineRule="auto"/>
        <w:rPr>
          <w:sz w:val="24"/>
          <w:szCs w:val="24"/>
        </w:rPr>
      </w:pPr>
      <w:r>
        <w:rPr>
          <w:sz w:val="24"/>
          <w:szCs w:val="24"/>
        </w:rPr>
        <w:t xml:space="preserve"> </w:t>
      </w:r>
      <w:r w:rsidR="003A0192">
        <w:rPr>
          <w:sz w:val="24"/>
          <w:szCs w:val="24"/>
        </w:rPr>
        <w:t>Temporarily suspending the use of the 12-week isoniazid/rifapentine (“3HP”) regimen for TB infection</w:t>
      </w:r>
    </w:p>
    <w:p w14:paraId="724BBDAE" w14:textId="666B5212" w:rsidR="00A462CC" w:rsidRPr="00A462CC" w:rsidRDefault="00A462CC" w:rsidP="00A462CC">
      <w:pPr>
        <w:spacing w:after="0" w:line="360" w:lineRule="auto"/>
        <w:rPr>
          <w:sz w:val="24"/>
          <w:szCs w:val="24"/>
        </w:rPr>
      </w:pPr>
      <w:r>
        <w:rPr>
          <w:sz w:val="24"/>
          <w:szCs w:val="24"/>
        </w:rPr>
        <w:lastRenderedPageBreak/>
        <w:t>Subsequent</w:t>
      </w:r>
      <w:r w:rsidR="00D27E9D">
        <w:rPr>
          <w:sz w:val="24"/>
          <w:szCs w:val="24"/>
        </w:rPr>
        <w:t xml:space="preserve"> iterations recommended testing for COVID-19 for all persons with suspected or confirmed TB disease with symptoms of COVID-19.  </w:t>
      </w:r>
      <w:r w:rsidR="00CF7561">
        <w:rPr>
          <w:sz w:val="24"/>
          <w:szCs w:val="24"/>
        </w:rPr>
        <w:t xml:space="preserve">In addition, later recommendations </w:t>
      </w:r>
      <w:r w:rsidR="00331515">
        <w:rPr>
          <w:sz w:val="24"/>
          <w:szCs w:val="24"/>
        </w:rPr>
        <w:t xml:space="preserve">encouraged TB programs to progress toward resuming pre-COVID operations as resources allowed.  </w:t>
      </w:r>
    </w:p>
    <w:p w14:paraId="244D3920" w14:textId="10160AB1" w:rsidR="005E3DCF" w:rsidRDefault="00333F3D" w:rsidP="005E3DCF">
      <w:pPr>
        <w:spacing w:after="0" w:line="360" w:lineRule="auto"/>
        <w:rPr>
          <w:sz w:val="24"/>
          <w:szCs w:val="24"/>
          <w:u w:val="single"/>
        </w:rPr>
      </w:pPr>
      <w:r>
        <w:rPr>
          <w:sz w:val="24"/>
          <w:szCs w:val="24"/>
          <w:u w:val="single"/>
        </w:rPr>
        <w:t>TB and COVID-19</w:t>
      </w:r>
      <w:r w:rsidR="005420E7">
        <w:rPr>
          <w:sz w:val="24"/>
          <w:szCs w:val="24"/>
          <w:u w:val="single"/>
        </w:rPr>
        <w:t xml:space="preserve"> Surveillance</w:t>
      </w:r>
      <w:r>
        <w:rPr>
          <w:sz w:val="24"/>
          <w:szCs w:val="24"/>
          <w:u w:val="single"/>
        </w:rPr>
        <w:t xml:space="preserve"> in Tennessee</w:t>
      </w:r>
    </w:p>
    <w:p w14:paraId="4D899630" w14:textId="77777777" w:rsidR="00333F3D" w:rsidRDefault="00333F3D" w:rsidP="005E3DCF">
      <w:pPr>
        <w:spacing w:after="0" w:line="360" w:lineRule="auto"/>
        <w:rPr>
          <w:sz w:val="24"/>
          <w:szCs w:val="24"/>
        </w:rPr>
      </w:pPr>
      <w:r>
        <w:rPr>
          <w:sz w:val="24"/>
          <w:szCs w:val="24"/>
        </w:rPr>
        <w:t xml:space="preserve">In an effort to quantify the  number of persons diagnosed with TB in Tennessee who were also co-infected with COVID-19,  TTBEP central office staff worked with staff from the Surveillance Systems </w:t>
      </w:r>
      <w:r w:rsidR="009E5536">
        <w:rPr>
          <w:sz w:val="24"/>
          <w:szCs w:val="24"/>
        </w:rPr>
        <w:t xml:space="preserve"> and Informatics Program (SSIP) to add locally defined fields (LDFs) the TB</w:t>
      </w:r>
      <w:r w:rsidR="00A55035">
        <w:rPr>
          <w:sz w:val="24"/>
          <w:szCs w:val="24"/>
        </w:rPr>
        <w:t xml:space="preserve"> </w:t>
      </w:r>
      <w:r w:rsidR="00892656">
        <w:rPr>
          <w:sz w:val="24"/>
          <w:szCs w:val="24"/>
        </w:rPr>
        <w:t xml:space="preserve">and TBI </w:t>
      </w:r>
      <w:r w:rsidR="00A55035">
        <w:rPr>
          <w:sz w:val="24"/>
          <w:szCs w:val="24"/>
        </w:rPr>
        <w:t>page</w:t>
      </w:r>
      <w:r w:rsidR="00892656">
        <w:rPr>
          <w:sz w:val="24"/>
          <w:szCs w:val="24"/>
        </w:rPr>
        <w:t xml:space="preserve">s </w:t>
      </w:r>
      <w:r w:rsidR="00A55035">
        <w:rPr>
          <w:sz w:val="24"/>
          <w:szCs w:val="24"/>
        </w:rPr>
        <w:t>in the statewide surveillance system.</w:t>
      </w:r>
      <w:r w:rsidR="00892656">
        <w:rPr>
          <w:sz w:val="24"/>
          <w:szCs w:val="24"/>
        </w:rPr>
        <w:t xml:space="preserve">  The fields added were: “Date of COVID Test” and “COVID Test Result.”    The table below shows TB cases counted and corresponding COVID-19 test results:</w:t>
      </w:r>
    </w:p>
    <w:p w14:paraId="54D56CCD" w14:textId="77777777" w:rsidR="00892656" w:rsidRDefault="00892656" w:rsidP="005E3DCF">
      <w:pPr>
        <w:spacing w:after="0" w:line="360" w:lineRule="auto"/>
        <w:rPr>
          <w:sz w:val="24"/>
          <w:szCs w:val="24"/>
        </w:rPr>
      </w:pPr>
    </w:p>
    <w:tbl>
      <w:tblPr>
        <w:tblStyle w:val="TableGrid"/>
        <w:tblW w:w="0" w:type="auto"/>
        <w:tblLook w:val="04A0" w:firstRow="1" w:lastRow="0" w:firstColumn="1" w:lastColumn="0" w:noHBand="0" w:noVBand="1"/>
      </w:tblPr>
      <w:tblGrid>
        <w:gridCol w:w="985"/>
        <w:gridCol w:w="1530"/>
        <w:gridCol w:w="2430"/>
        <w:gridCol w:w="2160"/>
        <w:gridCol w:w="2070"/>
      </w:tblGrid>
      <w:tr w:rsidR="00B931E7" w14:paraId="3C2785CB" w14:textId="7F6A42A4" w:rsidTr="00B931E7">
        <w:tc>
          <w:tcPr>
            <w:tcW w:w="985" w:type="dxa"/>
            <w:vMerge w:val="restart"/>
            <w:shd w:val="clear" w:color="auto" w:fill="D9D9D9" w:themeFill="background1" w:themeFillShade="D9"/>
            <w:vAlign w:val="center"/>
          </w:tcPr>
          <w:p w14:paraId="00C56E0F" w14:textId="034E2E01" w:rsidR="00B931E7" w:rsidRPr="00892656" w:rsidRDefault="00B931E7" w:rsidP="00892656">
            <w:pPr>
              <w:jc w:val="center"/>
              <w:rPr>
                <w:b/>
                <w:bCs/>
                <w:sz w:val="24"/>
                <w:szCs w:val="24"/>
              </w:rPr>
            </w:pPr>
            <w:r>
              <w:rPr>
                <w:b/>
                <w:bCs/>
                <w:sz w:val="24"/>
                <w:szCs w:val="24"/>
              </w:rPr>
              <w:t>Year</w:t>
            </w:r>
          </w:p>
        </w:tc>
        <w:tc>
          <w:tcPr>
            <w:tcW w:w="1530" w:type="dxa"/>
            <w:vMerge w:val="restart"/>
            <w:shd w:val="clear" w:color="auto" w:fill="D9D9D9" w:themeFill="background1" w:themeFillShade="D9"/>
            <w:vAlign w:val="center"/>
          </w:tcPr>
          <w:p w14:paraId="311BDFDC" w14:textId="34AE521D" w:rsidR="00B931E7" w:rsidRPr="00892656" w:rsidRDefault="00B931E7" w:rsidP="00892656">
            <w:pPr>
              <w:jc w:val="center"/>
              <w:rPr>
                <w:b/>
                <w:bCs/>
                <w:sz w:val="24"/>
                <w:szCs w:val="24"/>
              </w:rPr>
            </w:pPr>
            <w:r>
              <w:rPr>
                <w:b/>
                <w:bCs/>
                <w:sz w:val="24"/>
                <w:szCs w:val="24"/>
              </w:rPr>
              <w:t>Case Count</w:t>
            </w:r>
          </w:p>
        </w:tc>
        <w:tc>
          <w:tcPr>
            <w:tcW w:w="6660" w:type="dxa"/>
            <w:gridSpan w:val="3"/>
            <w:shd w:val="clear" w:color="auto" w:fill="D9D9D9" w:themeFill="background1" w:themeFillShade="D9"/>
            <w:vAlign w:val="center"/>
          </w:tcPr>
          <w:p w14:paraId="23B043D8" w14:textId="08C7144B" w:rsidR="00B931E7" w:rsidRPr="00B931E7" w:rsidRDefault="00B931E7" w:rsidP="00892656">
            <w:pPr>
              <w:jc w:val="center"/>
              <w:rPr>
                <w:b/>
                <w:bCs/>
                <w:sz w:val="24"/>
                <w:szCs w:val="24"/>
                <w:vertAlign w:val="superscript"/>
              </w:rPr>
            </w:pPr>
            <w:r>
              <w:rPr>
                <w:b/>
                <w:bCs/>
                <w:sz w:val="24"/>
                <w:szCs w:val="24"/>
              </w:rPr>
              <w:t>COVID-19 Test Result</w:t>
            </w:r>
          </w:p>
        </w:tc>
      </w:tr>
      <w:tr w:rsidR="00B931E7" w14:paraId="08DFE359" w14:textId="491848D1" w:rsidTr="00B931E7">
        <w:tc>
          <w:tcPr>
            <w:tcW w:w="985" w:type="dxa"/>
            <w:vMerge/>
          </w:tcPr>
          <w:p w14:paraId="53448BCB" w14:textId="77777777" w:rsidR="00B931E7" w:rsidRDefault="00B931E7" w:rsidP="00892656">
            <w:pPr>
              <w:rPr>
                <w:sz w:val="24"/>
                <w:szCs w:val="24"/>
              </w:rPr>
            </w:pPr>
          </w:p>
        </w:tc>
        <w:tc>
          <w:tcPr>
            <w:tcW w:w="1530" w:type="dxa"/>
            <w:vMerge/>
          </w:tcPr>
          <w:p w14:paraId="07B3DCCA" w14:textId="77777777" w:rsidR="00B931E7" w:rsidRDefault="00B931E7" w:rsidP="00892656">
            <w:pPr>
              <w:rPr>
                <w:sz w:val="24"/>
                <w:szCs w:val="24"/>
              </w:rPr>
            </w:pPr>
          </w:p>
        </w:tc>
        <w:tc>
          <w:tcPr>
            <w:tcW w:w="2430" w:type="dxa"/>
            <w:shd w:val="clear" w:color="auto" w:fill="F2F2F2" w:themeFill="background1" w:themeFillShade="F2"/>
            <w:vAlign w:val="center"/>
          </w:tcPr>
          <w:p w14:paraId="1A29F665" w14:textId="7313C36F" w:rsidR="00B931E7" w:rsidRPr="00892656" w:rsidRDefault="00B931E7" w:rsidP="00892656">
            <w:pPr>
              <w:jc w:val="center"/>
              <w:rPr>
                <w:b/>
                <w:bCs/>
                <w:sz w:val="24"/>
                <w:szCs w:val="24"/>
              </w:rPr>
            </w:pPr>
            <w:r w:rsidRPr="00892656">
              <w:rPr>
                <w:b/>
                <w:bCs/>
                <w:sz w:val="24"/>
                <w:szCs w:val="24"/>
              </w:rPr>
              <w:t>Positive</w:t>
            </w:r>
            <w:r w:rsidRPr="00892656">
              <w:rPr>
                <w:b/>
                <w:bCs/>
                <w:sz w:val="24"/>
                <w:szCs w:val="24"/>
              </w:rPr>
              <w:br/>
              <w:t>(%)</w:t>
            </w:r>
          </w:p>
        </w:tc>
        <w:tc>
          <w:tcPr>
            <w:tcW w:w="2160" w:type="dxa"/>
            <w:shd w:val="clear" w:color="auto" w:fill="F2F2F2" w:themeFill="background1" w:themeFillShade="F2"/>
            <w:vAlign w:val="center"/>
          </w:tcPr>
          <w:p w14:paraId="13D966EF" w14:textId="1D7A2925" w:rsidR="00B931E7" w:rsidRPr="00892656" w:rsidRDefault="00B931E7" w:rsidP="00892656">
            <w:pPr>
              <w:jc w:val="center"/>
              <w:rPr>
                <w:b/>
                <w:bCs/>
                <w:sz w:val="24"/>
                <w:szCs w:val="24"/>
              </w:rPr>
            </w:pPr>
            <w:r w:rsidRPr="00892656">
              <w:rPr>
                <w:b/>
                <w:bCs/>
                <w:sz w:val="24"/>
                <w:szCs w:val="24"/>
              </w:rPr>
              <w:t>Negative</w:t>
            </w:r>
          </w:p>
          <w:p w14:paraId="56DE3F55" w14:textId="1D506AB3" w:rsidR="00B931E7" w:rsidRPr="00892656" w:rsidRDefault="00B931E7" w:rsidP="00892656">
            <w:pPr>
              <w:jc w:val="center"/>
              <w:rPr>
                <w:b/>
                <w:bCs/>
                <w:sz w:val="24"/>
                <w:szCs w:val="24"/>
              </w:rPr>
            </w:pPr>
            <w:r w:rsidRPr="00892656">
              <w:rPr>
                <w:b/>
                <w:bCs/>
                <w:sz w:val="24"/>
                <w:szCs w:val="24"/>
              </w:rPr>
              <w:t>(%)</w:t>
            </w:r>
          </w:p>
        </w:tc>
        <w:tc>
          <w:tcPr>
            <w:tcW w:w="2070" w:type="dxa"/>
            <w:shd w:val="clear" w:color="auto" w:fill="F2F2F2" w:themeFill="background1" w:themeFillShade="F2"/>
            <w:vAlign w:val="center"/>
          </w:tcPr>
          <w:p w14:paraId="6BDB0BD9" w14:textId="77777777" w:rsidR="00B931E7" w:rsidRPr="00892656" w:rsidRDefault="00B931E7" w:rsidP="00892656">
            <w:pPr>
              <w:jc w:val="center"/>
              <w:rPr>
                <w:b/>
                <w:bCs/>
                <w:sz w:val="24"/>
                <w:szCs w:val="24"/>
              </w:rPr>
            </w:pPr>
            <w:r w:rsidRPr="00892656">
              <w:rPr>
                <w:b/>
                <w:bCs/>
                <w:sz w:val="24"/>
                <w:szCs w:val="24"/>
              </w:rPr>
              <w:t>Unknown</w:t>
            </w:r>
          </w:p>
          <w:p w14:paraId="27307406" w14:textId="1F9A8FF8" w:rsidR="00B931E7" w:rsidRPr="00892656" w:rsidRDefault="00B931E7" w:rsidP="00892656">
            <w:pPr>
              <w:jc w:val="center"/>
              <w:rPr>
                <w:b/>
                <w:bCs/>
                <w:sz w:val="24"/>
                <w:szCs w:val="24"/>
              </w:rPr>
            </w:pPr>
            <w:r w:rsidRPr="00892656">
              <w:rPr>
                <w:b/>
                <w:bCs/>
                <w:sz w:val="24"/>
                <w:szCs w:val="24"/>
              </w:rPr>
              <w:t>(%)</w:t>
            </w:r>
          </w:p>
        </w:tc>
      </w:tr>
      <w:tr w:rsidR="00B931E7" w14:paraId="001BE51C" w14:textId="119F7A14" w:rsidTr="00B931E7">
        <w:tc>
          <w:tcPr>
            <w:tcW w:w="985" w:type="dxa"/>
            <w:vAlign w:val="center"/>
          </w:tcPr>
          <w:p w14:paraId="102186A8" w14:textId="40677BCE" w:rsidR="00B931E7" w:rsidRDefault="00B931E7" w:rsidP="00892656">
            <w:pPr>
              <w:jc w:val="center"/>
              <w:rPr>
                <w:sz w:val="24"/>
                <w:szCs w:val="24"/>
              </w:rPr>
            </w:pPr>
            <w:r>
              <w:rPr>
                <w:sz w:val="24"/>
                <w:szCs w:val="24"/>
              </w:rPr>
              <w:t>2020</w:t>
            </w:r>
          </w:p>
        </w:tc>
        <w:tc>
          <w:tcPr>
            <w:tcW w:w="1530" w:type="dxa"/>
            <w:vAlign w:val="center"/>
          </w:tcPr>
          <w:p w14:paraId="71378CC8" w14:textId="1FD12082" w:rsidR="00B931E7" w:rsidRDefault="00B931E7" w:rsidP="00892656">
            <w:pPr>
              <w:jc w:val="center"/>
              <w:rPr>
                <w:sz w:val="24"/>
                <w:szCs w:val="24"/>
              </w:rPr>
            </w:pPr>
            <w:r>
              <w:rPr>
                <w:sz w:val="24"/>
                <w:szCs w:val="24"/>
              </w:rPr>
              <w:t>113</w:t>
            </w:r>
          </w:p>
        </w:tc>
        <w:tc>
          <w:tcPr>
            <w:tcW w:w="2430" w:type="dxa"/>
            <w:vAlign w:val="center"/>
          </w:tcPr>
          <w:p w14:paraId="4DB24AAB" w14:textId="4B89F7D0" w:rsidR="00B931E7" w:rsidRPr="00B931E7" w:rsidRDefault="00B931E7" w:rsidP="00B931E7">
            <w:pPr>
              <w:jc w:val="center"/>
              <w:rPr>
                <w:sz w:val="24"/>
                <w:szCs w:val="24"/>
                <w:vertAlign w:val="superscript"/>
              </w:rPr>
            </w:pPr>
            <w:r>
              <w:rPr>
                <w:sz w:val="24"/>
                <w:szCs w:val="24"/>
              </w:rPr>
              <w:t>16</w:t>
            </w:r>
            <w:r>
              <w:rPr>
                <w:rFonts w:cstheme="minorHAnsi"/>
                <w:sz w:val="24"/>
                <w:szCs w:val="24"/>
                <w:vertAlign w:val="superscript"/>
              </w:rPr>
              <w:t>§</w:t>
            </w:r>
          </w:p>
          <w:p w14:paraId="7B20C5DF" w14:textId="53730B4D" w:rsidR="00B931E7" w:rsidRDefault="00B931E7" w:rsidP="00B931E7">
            <w:pPr>
              <w:jc w:val="center"/>
              <w:rPr>
                <w:sz w:val="24"/>
                <w:szCs w:val="24"/>
              </w:rPr>
            </w:pPr>
            <w:r>
              <w:rPr>
                <w:sz w:val="24"/>
                <w:szCs w:val="24"/>
              </w:rPr>
              <w:t>(14.2)</w:t>
            </w:r>
          </w:p>
        </w:tc>
        <w:tc>
          <w:tcPr>
            <w:tcW w:w="2160" w:type="dxa"/>
            <w:vAlign w:val="center"/>
          </w:tcPr>
          <w:p w14:paraId="79DBBAAD" w14:textId="77777777" w:rsidR="00B931E7" w:rsidRDefault="00B931E7" w:rsidP="00892656">
            <w:pPr>
              <w:jc w:val="center"/>
              <w:rPr>
                <w:sz w:val="24"/>
                <w:szCs w:val="24"/>
              </w:rPr>
            </w:pPr>
            <w:r>
              <w:rPr>
                <w:sz w:val="24"/>
                <w:szCs w:val="24"/>
              </w:rPr>
              <w:t>63</w:t>
            </w:r>
          </w:p>
          <w:p w14:paraId="3353E789" w14:textId="2A4303B5" w:rsidR="00B931E7" w:rsidRDefault="00B931E7" w:rsidP="00892656">
            <w:pPr>
              <w:jc w:val="center"/>
              <w:rPr>
                <w:sz w:val="24"/>
                <w:szCs w:val="24"/>
              </w:rPr>
            </w:pPr>
            <w:r>
              <w:rPr>
                <w:sz w:val="24"/>
                <w:szCs w:val="24"/>
              </w:rPr>
              <w:t>(55.8)</w:t>
            </w:r>
          </w:p>
        </w:tc>
        <w:tc>
          <w:tcPr>
            <w:tcW w:w="2070" w:type="dxa"/>
            <w:vAlign w:val="center"/>
          </w:tcPr>
          <w:p w14:paraId="48AAB479" w14:textId="77777777" w:rsidR="00B931E7" w:rsidRDefault="00B931E7" w:rsidP="00892656">
            <w:pPr>
              <w:jc w:val="center"/>
              <w:rPr>
                <w:sz w:val="24"/>
                <w:szCs w:val="24"/>
              </w:rPr>
            </w:pPr>
            <w:r>
              <w:rPr>
                <w:sz w:val="24"/>
                <w:szCs w:val="24"/>
              </w:rPr>
              <w:t>34</w:t>
            </w:r>
          </w:p>
          <w:p w14:paraId="34E63F6C" w14:textId="44D4A2B8" w:rsidR="00B931E7" w:rsidRDefault="00B931E7" w:rsidP="00892656">
            <w:pPr>
              <w:jc w:val="center"/>
              <w:rPr>
                <w:sz w:val="24"/>
                <w:szCs w:val="24"/>
              </w:rPr>
            </w:pPr>
            <w:r>
              <w:rPr>
                <w:sz w:val="24"/>
                <w:szCs w:val="24"/>
              </w:rPr>
              <w:t>(30.1)</w:t>
            </w:r>
          </w:p>
        </w:tc>
      </w:tr>
      <w:tr w:rsidR="00B931E7" w14:paraId="5937286E" w14:textId="5C80AAFB" w:rsidTr="00B931E7">
        <w:tc>
          <w:tcPr>
            <w:tcW w:w="985" w:type="dxa"/>
            <w:vAlign w:val="center"/>
          </w:tcPr>
          <w:p w14:paraId="4931129A" w14:textId="4FB16DCE" w:rsidR="00B931E7" w:rsidRPr="00B931E7" w:rsidRDefault="00B931E7" w:rsidP="00B931E7">
            <w:pPr>
              <w:jc w:val="center"/>
              <w:rPr>
                <w:sz w:val="24"/>
                <w:szCs w:val="24"/>
                <w:vertAlign w:val="superscript"/>
              </w:rPr>
            </w:pPr>
            <w:r>
              <w:rPr>
                <w:sz w:val="24"/>
                <w:szCs w:val="24"/>
              </w:rPr>
              <w:t>2021</w:t>
            </w:r>
            <w:r>
              <w:rPr>
                <w:sz w:val="24"/>
                <w:szCs w:val="24"/>
                <w:vertAlign w:val="superscript"/>
              </w:rPr>
              <w:t>*</w:t>
            </w:r>
          </w:p>
        </w:tc>
        <w:tc>
          <w:tcPr>
            <w:tcW w:w="1530" w:type="dxa"/>
            <w:vAlign w:val="center"/>
          </w:tcPr>
          <w:p w14:paraId="7AA376F5" w14:textId="4224A0BC" w:rsidR="00B931E7" w:rsidRDefault="00B931E7" w:rsidP="00892656">
            <w:pPr>
              <w:jc w:val="center"/>
              <w:rPr>
                <w:sz w:val="24"/>
                <w:szCs w:val="24"/>
              </w:rPr>
            </w:pPr>
            <w:r>
              <w:rPr>
                <w:sz w:val="24"/>
                <w:szCs w:val="24"/>
              </w:rPr>
              <w:t>42</w:t>
            </w:r>
          </w:p>
        </w:tc>
        <w:tc>
          <w:tcPr>
            <w:tcW w:w="2430" w:type="dxa"/>
            <w:vAlign w:val="center"/>
          </w:tcPr>
          <w:p w14:paraId="43B95C54" w14:textId="21474FF6" w:rsidR="00B931E7" w:rsidRPr="00B931E7" w:rsidRDefault="00B931E7" w:rsidP="00892656">
            <w:pPr>
              <w:jc w:val="center"/>
              <w:rPr>
                <w:sz w:val="24"/>
                <w:szCs w:val="24"/>
                <w:vertAlign w:val="superscript"/>
              </w:rPr>
            </w:pPr>
            <w:r>
              <w:rPr>
                <w:sz w:val="24"/>
                <w:szCs w:val="24"/>
              </w:rPr>
              <w:t>6</w:t>
            </w:r>
            <w:r>
              <w:rPr>
                <w:rFonts w:cstheme="minorHAnsi"/>
                <w:sz w:val="24"/>
                <w:szCs w:val="24"/>
                <w:vertAlign w:val="superscript"/>
              </w:rPr>
              <w:t>±</w:t>
            </w:r>
          </w:p>
          <w:p w14:paraId="6C179B7F" w14:textId="2A440326" w:rsidR="00B931E7" w:rsidRDefault="00B931E7" w:rsidP="00892656">
            <w:pPr>
              <w:jc w:val="center"/>
              <w:rPr>
                <w:sz w:val="24"/>
                <w:szCs w:val="24"/>
              </w:rPr>
            </w:pPr>
            <w:r>
              <w:rPr>
                <w:sz w:val="24"/>
                <w:szCs w:val="24"/>
              </w:rPr>
              <w:t>(14.3)</w:t>
            </w:r>
          </w:p>
        </w:tc>
        <w:tc>
          <w:tcPr>
            <w:tcW w:w="2160" w:type="dxa"/>
            <w:vAlign w:val="center"/>
          </w:tcPr>
          <w:p w14:paraId="597E3874" w14:textId="77777777" w:rsidR="00B931E7" w:rsidRDefault="00B931E7" w:rsidP="00892656">
            <w:pPr>
              <w:jc w:val="center"/>
              <w:rPr>
                <w:sz w:val="24"/>
                <w:szCs w:val="24"/>
              </w:rPr>
            </w:pPr>
            <w:r>
              <w:rPr>
                <w:sz w:val="24"/>
                <w:szCs w:val="24"/>
              </w:rPr>
              <w:t>30</w:t>
            </w:r>
          </w:p>
          <w:p w14:paraId="60B55923" w14:textId="1DFBAB15" w:rsidR="00B931E7" w:rsidRDefault="00B931E7" w:rsidP="00892656">
            <w:pPr>
              <w:jc w:val="center"/>
              <w:rPr>
                <w:sz w:val="24"/>
                <w:szCs w:val="24"/>
              </w:rPr>
            </w:pPr>
            <w:r>
              <w:rPr>
                <w:sz w:val="24"/>
                <w:szCs w:val="24"/>
              </w:rPr>
              <w:t>(71.4)</w:t>
            </w:r>
          </w:p>
        </w:tc>
        <w:tc>
          <w:tcPr>
            <w:tcW w:w="2070" w:type="dxa"/>
            <w:vAlign w:val="center"/>
          </w:tcPr>
          <w:p w14:paraId="361CA183" w14:textId="77777777" w:rsidR="00B931E7" w:rsidRDefault="00B931E7" w:rsidP="00892656">
            <w:pPr>
              <w:jc w:val="center"/>
              <w:rPr>
                <w:sz w:val="24"/>
                <w:szCs w:val="24"/>
              </w:rPr>
            </w:pPr>
            <w:r>
              <w:rPr>
                <w:sz w:val="24"/>
                <w:szCs w:val="24"/>
              </w:rPr>
              <w:t>6</w:t>
            </w:r>
          </w:p>
          <w:p w14:paraId="28297340" w14:textId="5A8AFE36" w:rsidR="00B931E7" w:rsidRDefault="00B931E7" w:rsidP="00892656">
            <w:pPr>
              <w:jc w:val="center"/>
              <w:rPr>
                <w:sz w:val="24"/>
                <w:szCs w:val="24"/>
              </w:rPr>
            </w:pPr>
            <w:r>
              <w:rPr>
                <w:sz w:val="24"/>
                <w:szCs w:val="24"/>
              </w:rPr>
              <w:t>(14.3)</w:t>
            </w:r>
          </w:p>
        </w:tc>
      </w:tr>
      <w:tr w:rsidR="00B931E7" w14:paraId="2A12BC41" w14:textId="6FB1000C" w:rsidTr="00B931E7">
        <w:tc>
          <w:tcPr>
            <w:tcW w:w="985" w:type="dxa"/>
            <w:shd w:val="clear" w:color="auto" w:fill="D9D9D9" w:themeFill="background1" w:themeFillShade="D9"/>
            <w:vAlign w:val="center"/>
          </w:tcPr>
          <w:p w14:paraId="3416D70F" w14:textId="158EFDE3" w:rsidR="00B931E7" w:rsidRPr="00B931E7" w:rsidRDefault="00B931E7" w:rsidP="00892656">
            <w:pPr>
              <w:jc w:val="center"/>
              <w:rPr>
                <w:b/>
                <w:bCs/>
                <w:sz w:val="24"/>
                <w:szCs w:val="24"/>
              </w:rPr>
            </w:pPr>
            <w:r>
              <w:rPr>
                <w:b/>
                <w:bCs/>
                <w:sz w:val="24"/>
                <w:szCs w:val="24"/>
              </w:rPr>
              <w:t>TOTAL</w:t>
            </w:r>
          </w:p>
        </w:tc>
        <w:tc>
          <w:tcPr>
            <w:tcW w:w="1530" w:type="dxa"/>
            <w:shd w:val="clear" w:color="auto" w:fill="D9D9D9" w:themeFill="background1" w:themeFillShade="D9"/>
            <w:vAlign w:val="center"/>
          </w:tcPr>
          <w:p w14:paraId="6B451EC8" w14:textId="32B234CA" w:rsidR="00B931E7" w:rsidRPr="00B931E7" w:rsidRDefault="00B931E7" w:rsidP="00892656">
            <w:pPr>
              <w:jc w:val="center"/>
              <w:rPr>
                <w:b/>
                <w:bCs/>
                <w:sz w:val="24"/>
                <w:szCs w:val="24"/>
              </w:rPr>
            </w:pPr>
            <w:r w:rsidRPr="00B931E7">
              <w:rPr>
                <w:b/>
                <w:bCs/>
                <w:sz w:val="24"/>
                <w:szCs w:val="24"/>
              </w:rPr>
              <w:t>155</w:t>
            </w:r>
          </w:p>
        </w:tc>
        <w:tc>
          <w:tcPr>
            <w:tcW w:w="2430" w:type="dxa"/>
            <w:shd w:val="clear" w:color="auto" w:fill="D9D9D9" w:themeFill="background1" w:themeFillShade="D9"/>
            <w:vAlign w:val="center"/>
          </w:tcPr>
          <w:p w14:paraId="5E532B8B" w14:textId="77777777" w:rsidR="00B931E7" w:rsidRDefault="00C76029" w:rsidP="00892656">
            <w:pPr>
              <w:jc w:val="center"/>
              <w:rPr>
                <w:b/>
                <w:bCs/>
                <w:sz w:val="24"/>
                <w:szCs w:val="24"/>
              </w:rPr>
            </w:pPr>
            <w:r>
              <w:rPr>
                <w:b/>
                <w:bCs/>
                <w:sz w:val="24"/>
                <w:szCs w:val="24"/>
              </w:rPr>
              <w:t>22</w:t>
            </w:r>
          </w:p>
          <w:p w14:paraId="55BAD1AC" w14:textId="1387A086" w:rsidR="00C76029" w:rsidRPr="00B931E7" w:rsidRDefault="00C76029" w:rsidP="00892656">
            <w:pPr>
              <w:jc w:val="center"/>
              <w:rPr>
                <w:b/>
                <w:bCs/>
                <w:sz w:val="24"/>
                <w:szCs w:val="24"/>
              </w:rPr>
            </w:pPr>
            <w:r>
              <w:rPr>
                <w:b/>
                <w:bCs/>
                <w:sz w:val="24"/>
                <w:szCs w:val="24"/>
              </w:rPr>
              <w:t>(14.2)</w:t>
            </w:r>
          </w:p>
        </w:tc>
        <w:tc>
          <w:tcPr>
            <w:tcW w:w="2160" w:type="dxa"/>
            <w:shd w:val="clear" w:color="auto" w:fill="D9D9D9" w:themeFill="background1" w:themeFillShade="D9"/>
            <w:vAlign w:val="center"/>
          </w:tcPr>
          <w:p w14:paraId="0FBF0050" w14:textId="77777777" w:rsidR="00B931E7" w:rsidRDefault="00C76029" w:rsidP="00892656">
            <w:pPr>
              <w:jc w:val="center"/>
              <w:rPr>
                <w:b/>
                <w:bCs/>
                <w:sz w:val="24"/>
                <w:szCs w:val="24"/>
              </w:rPr>
            </w:pPr>
            <w:r>
              <w:rPr>
                <w:b/>
                <w:bCs/>
                <w:sz w:val="24"/>
                <w:szCs w:val="24"/>
              </w:rPr>
              <w:t>93</w:t>
            </w:r>
          </w:p>
          <w:p w14:paraId="7B0A866D" w14:textId="41BD3113" w:rsidR="00C76029" w:rsidRPr="00B931E7" w:rsidRDefault="00C76029" w:rsidP="00892656">
            <w:pPr>
              <w:jc w:val="center"/>
              <w:rPr>
                <w:b/>
                <w:bCs/>
                <w:sz w:val="24"/>
                <w:szCs w:val="24"/>
              </w:rPr>
            </w:pPr>
            <w:r>
              <w:rPr>
                <w:b/>
                <w:bCs/>
                <w:sz w:val="24"/>
                <w:szCs w:val="24"/>
              </w:rPr>
              <w:t>(60.0)</w:t>
            </w:r>
          </w:p>
        </w:tc>
        <w:tc>
          <w:tcPr>
            <w:tcW w:w="2070" w:type="dxa"/>
            <w:shd w:val="clear" w:color="auto" w:fill="D9D9D9" w:themeFill="background1" w:themeFillShade="D9"/>
            <w:vAlign w:val="center"/>
          </w:tcPr>
          <w:p w14:paraId="07676F20" w14:textId="77777777" w:rsidR="00B931E7" w:rsidRDefault="00C76029" w:rsidP="00892656">
            <w:pPr>
              <w:jc w:val="center"/>
              <w:rPr>
                <w:b/>
                <w:bCs/>
                <w:sz w:val="24"/>
                <w:szCs w:val="24"/>
              </w:rPr>
            </w:pPr>
            <w:r>
              <w:rPr>
                <w:b/>
                <w:bCs/>
                <w:sz w:val="24"/>
                <w:szCs w:val="24"/>
              </w:rPr>
              <w:t>40</w:t>
            </w:r>
          </w:p>
          <w:p w14:paraId="5DD406B8" w14:textId="5A2E4828" w:rsidR="00C76029" w:rsidRPr="00B931E7" w:rsidRDefault="00C76029" w:rsidP="00892656">
            <w:pPr>
              <w:jc w:val="center"/>
              <w:rPr>
                <w:b/>
                <w:bCs/>
                <w:sz w:val="24"/>
                <w:szCs w:val="24"/>
              </w:rPr>
            </w:pPr>
            <w:r>
              <w:rPr>
                <w:b/>
                <w:bCs/>
                <w:sz w:val="24"/>
                <w:szCs w:val="24"/>
              </w:rPr>
              <w:t>(25.8)</w:t>
            </w:r>
          </w:p>
        </w:tc>
      </w:tr>
    </w:tbl>
    <w:p w14:paraId="6105F62E" w14:textId="77777777" w:rsidR="00892656" w:rsidRDefault="00B931E7" w:rsidP="00C76029">
      <w:pPr>
        <w:spacing w:after="0" w:line="240" w:lineRule="auto"/>
        <w:rPr>
          <w:sz w:val="24"/>
          <w:szCs w:val="24"/>
        </w:rPr>
      </w:pPr>
      <w:r>
        <w:rPr>
          <w:sz w:val="24"/>
          <w:szCs w:val="24"/>
          <w:vertAlign w:val="superscript"/>
        </w:rPr>
        <w:t>*</w:t>
      </w:r>
      <w:r>
        <w:rPr>
          <w:sz w:val="24"/>
          <w:szCs w:val="24"/>
        </w:rPr>
        <w:t>Includes quarters 1 and 2 (January – June 2021)</w:t>
      </w:r>
    </w:p>
    <w:p w14:paraId="7876743A" w14:textId="77777777" w:rsidR="00B931E7" w:rsidRDefault="00B931E7" w:rsidP="00C76029">
      <w:pPr>
        <w:spacing w:after="0" w:line="240" w:lineRule="auto"/>
        <w:rPr>
          <w:sz w:val="24"/>
          <w:szCs w:val="24"/>
        </w:rPr>
      </w:pPr>
      <w:r>
        <w:rPr>
          <w:rFonts w:cstheme="minorHAnsi"/>
          <w:sz w:val="24"/>
          <w:szCs w:val="24"/>
          <w:vertAlign w:val="superscript"/>
        </w:rPr>
        <w:t>§</w:t>
      </w:r>
      <w:r>
        <w:rPr>
          <w:sz w:val="24"/>
          <w:szCs w:val="24"/>
        </w:rPr>
        <w:t>One positive COVID-19 occurred three (3) months prior to the initiation of the TB investigation</w:t>
      </w:r>
    </w:p>
    <w:p w14:paraId="28483C2C" w14:textId="77777777" w:rsidR="00B931E7" w:rsidRDefault="00B931E7" w:rsidP="00C76029">
      <w:pPr>
        <w:spacing w:after="0" w:line="240" w:lineRule="auto"/>
        <w:rPr>
          <w:sz w:val="24"/>
          <w:szCs w:val="24"/>
        </w:rPr>
      </w:pPr>
      <w:r>
        <w:rPr>
          <w:rFonts w:cstheme="minorHAnsi"/>
          <w:sz w:val="24"/>
          <w:szCs w:val="24"/>
          <w:vertAlign w:val="superscript"/>
        </w:rPr>
        <w:t>±</w:t>
      </w:r>
      <w:r>
        <w:rPr>
          <w:sz w:val="24"/>
          <w:szCs w:val="24"/>
        </w:rPr>
        <w:t xml:space="preserve">One positive COVID-19 test result </w:t>
      </w:r>
      <w:r w:rsidR="00C76029">
        <w:rPr>
          <w:sz w:val="24"/>
          <w:szCs w:val="24"/>
        </w:rPr>
        <w:t>occurred 11 months prior to the initiation of the TB investigation, and another COVID-19 test result occurred six (6) months prior to the TB investigation</w:t>
      </w:r>
    </w:p>
    <w:p w14:paraId="3419E967" w14:textId="77777777" w:rsidR="00C76029" w:rsidRDefault="00C76029" w:rsidP="00C76029">
      <w:pPr>
        <w:spacing w:after="0" w:line="240" w:lineRule="auto"/>
        <w:rPr>
          <w:sz w:val="24"/>
          <w:szCs w:val="24"/>
        </w:rPr>
      </w:pPr>
    </w:p>
    <w:p w14:paraId="621E7B84" w14:textId="77777777" w:rsidR="00C76029" w:rsidRDefault="0066238F" w:rsidP="00C76029">
      <w:pPr>
        <w:spacing w:after="0" w:line="360" w:lineRule="auto"/>
        <w:rPr>
          <w:sz w:val="24"/>
          <w:szCs w:val="24"/>
        </w:rPr>
      </w:pPr>
      <w:r>
        <w:rPr>
          <w:sz w:val="24"/>
          <w:szCs w:val="24"/>
        </w:rPr>
        <w:t>In addition, for those patients with confirmed TB that are counted in the state’s morbidity with a positive COVID-19 test have “Other” listed as an additional risk factor, and the CDC nCOVID ID is entered in the “Other” text field per CDC Division of TB Elimination guidance.</w:t>
      </w:r>
    </w:p>
    <w:p w14:paraId="43C11314" w14:textId="77777777" w:rsidR="009263F9" w:rsidRDefault="009263F9" w:rsidP="00C76029">
      <w:pPr>
        <w:spacing w:after="0" w:line="360" w:lineRule="auto"/>
        <w:rPr>
          <w:sz w:val="24"/>
          <w:szCs w:val="24"/>
        </w:rPr>
        <w:sectPr w:rsidR="009263F9" w:rsidSect="00B90B15">
          <w:pgSz w:w="12240" w:h="15840"/>
          <w:pgMar w:top="1440" w:right="1440" w:bottom="1440" w:left="1440" w:header="720" w:footer="720" w:gutter="0"/>
          <w:cols w:space="720"/>
          <w:docGrid w:linePitch="360"/>
        </w:sectPr>
      </w:pPr>
    </w:p>
    <w:p w14:paraId="655084DD" w14:textId="775E80AF" w:rsidR="009263F9" w:rsidRDefault="009263F9" w:rsidP="00C76029">
      <w:pPr>
        <w:spacing w:after="0" w:line="360" w:lineRule="auto"/>
        <w:rPr>
          <w:b/>
          <w:bCs/>
          <w:sz w:val="24"/>
          <w:szCs w:val="24"/>
          <w:u w:val="single"/>
        </w:rPr>
      </w:pPr>
      <w:r>
        <w:rPr>
          <w:b/>
          <w:bCs/>
          <w:sz w:val="24"/>
          <w:szCs w:val="24"/>
          <w:u w:val="single"/>
        </w:rPr>
        <w:lastRenderedPageBreak/>
        <w:t>Tennessee TB Elimination Program, and Nitrosamine Impurities in Rifamycins, and Drug Shortages</w:t>
      </w:r>
    </w:p>
    <w:p w14:paraId="5964144F" w14:textId="77777777" w:rsidR="009263F9" w:rsidRDefault="009263F9" w:rsidP="00C76029">
      <w:pPr>
        <w:spacing w:after="0" w:line="360" w:lineRule="auto"/>
        <w:rPr>
          <w:sz w:val="24"/>
          <w:szCs w:val="24"/>
        </w:rPr>
      </w:pPr>
      <w:r>
        <w:rPr>
          <w:sz w:val="24"/>
          <w:szCs w:val="24"/>
        </w:rPr>
        <w:t xml:space="preserve">On August 26, 2020, the  Food and Drug Administration (FDA) issued a statement related to mitigating shortages of rifampin and rifapentine and its interim guidance to continue using these drugs in the treatment of TB after nitrosamine-class impurities were detected through recently adopted regulatory standards.  </w:t>
      </w:r>
      <w:r w:rsidR="00F34EC5">
        <w:rPr>
          <w:sz w:val="24"/>
          <w:szCs w:val="24"/>
        </w:rPr>
        <w:t xml:space="preserve">In June 2020, shipments of rifapentine were paused after a nitrosamine impurity was found.  In addition, Sanofi announced the discontinuation of three (3) oral rifampin-containing products.  </w:t>
      </w:r>
    </w:p>
    <w:p w14:paraId="3C979EEC" w14:textId="5A66704F" w:rsidR="000A7994" w:rsidRDefault="00F34EC5" w:rsidP="00C76029">
      <w:pPr>
        <w:spacing w:after="0" w:line="360" w:lineRule="auto"/>
        <w:rPr>
          <w:sz w:val="24"/>
          <w:szCs w:val="24"/>
        </w:rPr>
      </w:pPr>
      <w:r>
        <w:rPr>
          <w:sz w:val="24"/>
          <w:szCs w:val="24"/>
        </w:rPr>
        <w:t xml:space="preserve">The TTBEP works closely with the Tennessee Department of Health Director of Pharmacy to monitor medication inventories and expiration dates of medication at regional pharmacies.  Regional TB program staff were made aware of the nitrosamine impurities as well as the possibility of a rifapentine shortage of a statewide program conference call.  During 2020, statewide initiation of the 12-week isoniazid/rifapentine (“3HP”) regimen decreased 76.8% </w:t>
      </w:r>
      <w:r w:rsidR="000C2DC6">
        <w:rPr>
          <w:sz w:val="24"/>
          <w:szCs w:val="24"/>
        </w:rPr>
        <w:t xml:space="preserve">compared to 2019 </w:t>
      </w:r>
      <w:r>
        <w:rPr>
          <w:sz w:val="24"/>
          <w:szCs w:val="24"/>
        </w:rPr>
        <w:t>(</w:t>
      </w:r>
      <w:r w:rsidR="000C2DC6">
        <w:rPr>
          <w:sz w:val="24"/>
          <w:szCs w:val="24"/>
        </w:rPr>
        <w:t xml:space="preserve">89 patients initiated 3HP in 2020 compared to 384 in 2019).  </w:t>
      </w:r>
    </w:p>
    <w:p w14:paraId="4166DC76" w14:textId="26EF5A05" w:rsidR="000C2DC6" w:rsidRDefault="00AA6A8D" w:rsidP="00C76029">
      <w:pPr>
        <w:spacing w:after="0" w:line="360" w:lineRule="auto"/>
        <w:rPr>
          <w:sz w:val="24"/>
          <w:szCs w:val="24"/>
        </w:rPr>
      </w:pPr>
      <w:r>
        <w:rPr>
          <w:sz w:val="24"/>
          <w:szCs w:val="24"/>
        </w:rPr>
        <w:t xml:space="preserve">Interim guidance issued in March 2020 by the TTBEP recommended further prioritizing contact investigations, temporarily suspending the use of 3HP for all new patients diagnosed with TB infection, notifying non-health department providers that referrals for positive TB tests to the public health department should be temporarily deferred, and deferring treatment for TBI in all patients excepts those high-risk patients (i.e., contacts &lt;13 years of age, contacts to MDR-TB, and contacts with an immunocompromising condition or taking immunosuppressive therapy).  </w:t>
      </w:r>
      <w:r w:rsidR="008D4FBF">
        <w:rPr>
          <w:sz w:val="24"/>
          <w:szCs w:val="24"/>
        </w:rPr>
        <w:t xml:space="preserve">In May 2020, the TTBEP issued follow-up interim guidance which lifted the suspension of use of 3HP and instructed that patients could be started on the 3HP regimen after clinical consultation and approval from central office due to the shortage of rifapentine.  Finally, a third iteration of recommendations was released in October 2020 that instructed that patients could be started on the 3HP regimen provided that there was enough stock of medication in the regional pharmacy to initiate the patient on therapy and complete therapy.  Despite removing restrictions for use of 3HP across the state, some clinicians in regional TB programs were still hesitant to offer this 12-week regimen to patients as an option for treatment of TB infection.  </w:t>
      </w:r>
    </w:p>
    <w:p w14:paraId="475D4B0E" w14:textId="77777777" w:rsidR="007B51A2" w:rsidRDefault="007B51A2" w:rsidP="00C76029">
      <w:pPr>
        <w:spacing w:after="0" w:line="360" w:lineRule="auto"/>
        <w:rPr>
          <w:sz w:val="24"/>
          <w:szCs w:val="24"/>
        </w:rPr>
      </w:pPr>
    </w:p>
    <w:p w14:paraId="408CCADF" w14:textId="68918A1B" w:rsidR="00812911" w:rsidRDefault="00812911" w:rsidP="00C76029">
      <w:pPr>
        <w:spacing w:after="0" w:line="360" w:lineRule="auto"/>
        <w:rPr>
          <w:b/>
          <w:bCs/>
          <w:sz w:val="24"/>
          <w:szCs w:val="24"/>
          <w:u w:val="single"/>
        </w:rPr>
      </w:pPr>
      <w:r>
        <w:rPr>
          <w:b/>
          <w:bCs/>
          <w:sz w:val="24"/>
          <w:szCs w:val="24"/>
          <w:u w:val="single"/>
        </w:rPr>
        <w:lastRenderedPageBreak/>
        <w:t xml:space="preserve">Tennessee </w:t>
      </w:r>
      <w:r w:rsidR="001414CB">
        <w:rPr>
          <w:b/>
          <w:bCs/>
          <w:sz w:val="24"/>
          <w:szCs w:val="24"/>
          <w:u w:val="single"/>
        </w:rPr>
        <w:t>TB Elimination Program</w:t>
      </w:r>
      <w:r>
        <w:rPr>
          <w:b/>
          <w:bCs/>
          <w:sz w:val="24"/>
          <w:szCs w:val="24"/>
          <w:u w:val="single"/>
        </w:rPr>
        <w:t xml:space="preserve"> and CDC Direct Assistance</w:t>
      </w:r>
    </w:p>
    <w:p w14:paraId="2AF2EF8D" w14:textId="4857DB19" w:rsidR="001F2DE7" w:rsidRDefault="001F2DE7" w:rsidP="00C76029">
      <w:pPr>
        <w:spacing w:after="0" w:line="360" w:lineRule="auto"/>
        <w:rPr>
          <w:sz w:val="24"/>
          <w:szCs w:val="24"/>
        </w:rPr>
      </w:pPr>
      <w:r>
        <w:rPr>
          <w:sz w:val="24"/>
          <w:szCs w:val="24"/>
        </w:rPr>
        <w:t xml:space="preserve">On October 28, 2020, the Tennessee TB Elimination Program (TTBEP) submitted direct assistance request for isoniazid #300 from the CDC Division of Tuberculosis Elimination (DTBE) stockpile.  </w:t>
      </w:r>
      <w:r w:rsidR="000B4A34">
        <w:rPr>
          <w:sz w:val="24"/>
          <w:szCs w:val="24"/>
        </w:rPr>
        <w:t>A total of 46 bottle of isoniazid were requested from the CDC to be sent to three (3) regional public health pharmacies in Tennessee.  All medication was received by the pharmacies between November 10 – 13, 2020.</w:t>
      </w:r>
    </w:p>
    <w:p w14:paraId="6D7D1A95" w14:textId="26172212" w:rsidR="00041F91" w:rsidRDefault="00041F91" w:rsidP="00C76029">
      <w:pPr>
        <w:spacing w:after="0" w:line="360" w:lineRule="auto"/>
        <w:rPr>
          <w:b/>
          <w:bCs/>
          <w:sz w:val="24"/>
          <w:szCs w:val="24"/>
          <w:u w:val="single"/>
        </w:rPr>
      </w:pPr>
      <w:r>
        <w:rPr>
          <w:b/>
          <w:bCs/>
          <w:sz w:val="24"/>
          <w:szCs w:val="24"/>
          <w:u w:val="single"/>
        </w:rPr>
        <w:t>Tennessee TB Elimination Program and Electronic Directly Observed Therapy (eDOT)</w:t>
      </w:r>
    </w:p>
    <w:p w14:paraId="6082D31F" w14:textId="00C9086D" w:rsidR="00041F91" w:rsidRPr="00F15089" w:rsidRDefault="00041F91" w:rsidP="00C76029">
      <w:pPr>
        <w:spacing w:after="0" w:line="360" w:lineRule="auto"/>
        <w:rPr>
          <w:sz w:val="24"/>
          <w:szCs w:val="24"/>
        </w:rPr>
      </w:pPr>
      <w:r>
        <w:rPr>
          <w:sz w:val="24"/>
          <w:szCs w:val="24"/>
        </w:rPr>
        <w:t>In 2020, the TTBEP piloted the emocha</w:t>
      </w:r>
      <w:r>
        <w:rPr>
          <w:rFonts w:cstheme="minorHAnsi"/>
          <w:sz w:val="24"/>
          <w:szCs w:val="24"/>
          <w:vertAlign w:val="superscript"/>
        </w:rPr>
        <w:t>®</w:t>
      </w:r>
      <w:r>
        <w:rPr>
          <w:sz w:val="24"/>
          <w:szCs w:val="24"/>
        </w:rPr>
        <w:t xml:space="preserve"> video DOT platform with two (2) regional TB programs. In 2021</w:t>
      </w:r>
      <w:r w:rsidR="00E71B6D">
        <w:rPr>
          <w:sz w:val="24"/>
          <w:szCs w:val="24"/>
        </w:rPr>
        <w:t>, the TTBEP purchased additional licenses for up to five (5) TB staff in each regional TB program.  One of the initial pilot regions opted not to use emocha</w:t>
      </w:r>
      <w:r w:rsidR="00E71B6D">
        <w:rPr>
          <w:rFonts w:cstheme="minorHAnsi"/>
          <w:sz w:val="24"/>
          <w:szCs w:val="24"/>
          <w:vertAlign w:val="superscript"/>
        </w:rPr>
        <w:t>®</w:t>
      </w:r>
      <w:r w:rsidR="00E71B6D">
        <w:rPr>
          <w:sz w:val="24"/>
          <w:szCs w:val="24"/>
        </w:rPr>
        <w:t xml:space="preserve"> beginning in 2021.  At the time of this report</w:t>
      </w:r>
      <w:r w:rsidR="00F15089">
        <w:rPr>
          <w:sz w:val="24"/>
          <w:szCs w:val="24"/>
        </w:rPr>
        <w:t>, 15 patients in four (4) counties have utilized emocha</w:t>
      </w:r>
      <w:r w:rsidR="00F15089">
        <w:rPr>
          <w:rFonts w:cstheme="minorHAnsi"/>
          <w:sz w:val="24"/>
          <w:szCs w:val="24"/>
          <w:vertAlign w:val="superscript"/>
        </w:rPr>
        <w:t>®</w:t>
      </w:r>
      <w:r w:rsidR="00F15089">
        <w:rPr>
          <w:sz w:val="24"/>
          <w:szCs w:val="24"/>
        </w:rPr>
        <w:t xml:space="preserve"> during treatment: 11 active TB patients and four (4) patients with TB infection.</w:t>
      </w:r>
    </w:p>
    <w:p w14:paraId="4EF7383D" w14:textId="0D98F422" w:rsidR="001414CB" w:rsidRPr="001414CB" w:rsidRDefault="001414CB" w:rsidP="00C76029">
      <w:pPr>
        <w:spacing w:after="0" w:line="360" w:lineRule="auto"/>
        <w:rPr>
          <w:b/>
          <w:bCs/>
          <w:sz w:val="24"/>
          <w:szCs w:val="24"/>
          <w:u w:val="single"/>
        </w:rPr>
      </w:pPr>
    </w:p>
    <w:p w14:paraId="2D8A9334" w14:textId="77777777" w:rsidR="00812911" w:rsidRDefault="00812911" w:rsidP="00C76029">
      <w:pPr>
        <w:spacing w:after="0" w:line="360" w:lineRule="auto"/>
        <w:rPr>
          <w:b/>
          <w:bCs/>
          <w:sz w:val="24"/>
          <w:szCs w:val="24"/>
          <w:u w:val="single"/>
        </w:rPr>
      </w:pPr>
      <w:r>
        <w:rPr>
          <w:b/>
          <w:bCs/>
          <w:sz w:val="24"/>
          <w:szCs w:val="24"/>
          <w:u w:val="single"/>
        </w:rPr>
        <w:t xml:space="preserve"> </w:t>
      </w:r>
    </w:p>
    <w:p w14:paraId="3AB1AC05" w14:textId="77777777" w:rsidR="00812911" w:rsidRDefault="00812911" w:rsidP="00C76029">
      <w:pPr>
        <w:spacing w:after="0" w:line="360" w:lineRule="auto"/>
        <w:rPr>
          <w:b/>
          <w:bCs/>
          <w:sz w:val="24"/>
          <w:szCs w:val="24"/>
          <w:u w:val="single"/>
        </w:rPr>
      </w:pPr>
    </w:p>
    <w:p w14:paraId="7D382ED5" w14:textId="383DECC9" w:rsidR="00812911" w:rsidRPr="00812911" w:rsidRDefault="00812911" w:rsidP="00C76029">
      <w:pPr>
        <w:spacing w:after="0" w:line="360" w:lineRule="auto"/>
        <w:rPr>
          <w:b/>
          <w:bCs/>
          <w:sz w:val="24"/>
          <w:szCs w:val="24"/>
          <w:u w:val="single"/>
        </w:rPr>
        <w:sectPr w:rsidR="00812911" w:rsidRPr="00812911" w:rsidSect="00B90B15">
          <w:pgSz w:w="12240" w:h="15840"/>
          <w:pgMar w:top="1440" w:right="1440" w:bottom="1440" w:left="1440" w:header="720" w:footer="720" w:gutter="0"/>
          <w:cols w:space="720"/>
          <w:docGrid w:linePitch="360"/>
        </w:sectPr>
      </w:pPr>
    </w:p>
    <w:p w14:paraId="5227E23C" w14:textId="6BD07D2D" w:rsidR="00400658" w:rsidRPr="00D70CCD" w:rsidRDefault="00054B01" w:rsidP="003F5767">
      <w:pPr>
        <w:spacing w:after="0" w:line="240" w:lineRule="auto"/>
        <w:rPr>
          <w:b/>
          <w:bCs/>
          <w:sz w:val="24"/>
          <w:szCs w:val="24"/>
          <w:u w:val="single"/>
        </w:rPr>
      </w:pPr>
      <w:r w:rsidRPr="00D70CCD">
        <w:rPr>
          <w:b/>
          <w:bCs/>
          <w:sz w:val="24"/>
          <w:szCs w:val="24"/>
          <w:u w:val="single"/>
        </w:rPr>
        <w:lastRenderedPageBreak/>
        <w:t>Strategies/Activities/Accomplishments/Barriers</w:t>
      </w:r>
    </w:p>
    <w:p w14:paraId="1356B3D4" w14:textId="77777777" w:rsidR="003F5767" w:rsidRPr="003F5767" w:rsidRDefault="003F5767" w:rsidP="003F5767">
      <w:pPr>
        <w:spacing w:after="0" w:line="240" w:lineRule="auto"/>
        <w:rPr>
          <w:b/>
          <w:bCs/>
          <w:sz w:val="24"/>
          <w:szCs w:val="24"/>
          <w:u w:val="single"/>
        </w:rPr>
      </w:pPr>
    </w:p>
    <w:tbl>
      <w:tblPr>
        <w:tblStyle w:val="TableGrid"/>
        <w:tblW w:w="0" w:type="auto"/>
        <w:tblInd w:w="-5" w:type="dxa"/>
        <w:tblLook w:val="04A0" w:firstRow="1" w:lastRow="0" w:firstColumn="1" w:lastColumn="0" w:noHBand="0" w:noVBand="1"/>
      </w:tblPr>
      <w:tblGrid>
        <w:gridCol w:w="2970"/>
        <w:gridCol w:w="4243"/>
        <w:gridCol w:w="2974"/>
        <w:gridCol w:w="2768"/>
      </w:tblGrid>
      <w:tr w:rsidR="003F5767" w14:paraId="49634B7C" w14:textId="77777777" w:rsidTr="003F5767">
        <w:tc>
          <w:tcPr>
            <w:tcW w:w="12955" w:type="dxa"/>
            <w:gridSpan w:val="4"/>
            <w:shd w:val="clear" w:color="auto" w:fill="D9D9D9" w:themeFill="background1" w:themeFillShade="D9"/>
            <w:vAlign w:val="center"/>
          </w:tcPr>
          <w:p w14:paraId="54292452" w14:textId="4308C5AA" w:rsidR="003F5767" w:rsidRPr="00AB0BFE" w:rsidRDefault="003F5767" w:rsidP="00AB0BFE">
            <w:pPr>
              <w:rPr>
                <w:b/>
                <w:bCs/>
                <w:sz w:val="24"/>
                <w:szCs w:val="24"/>
              </w:rPr>
            </w:pPr>
            <w:r w:rsidRPr="00AB0BFE">
              <w:rPr>
                <w:b/>
                <w:bCs/>
                <w:sz w:val="24"/>
                <w:szCs w:val="24"/>
              </w:rPr>
              <w:t>Strategy/Activity: Diagnosis/treatment of persons with TB disease</w:t>
            </w:r>
          </w:p>
        </w:tc>
      </w:tr>
      <w:tr w:rsidR="003F5767" w14:paraId="3F859A81" w14:textId="77777777" w:rsidTr="00E874C9">
        <w:tc>
          <w:tcPr>
            <w:tcW w:w="2970" w:type="dxa"/>
            <w:shd w:val="clear" w:color="auto" w:fill="F2F2F2" w:themeFill="background1" w:themeFillShade="F2"/>
            <w:vAlign w:val="center"/>
          </w:tcPr>
          <w:p w14:paraId="61A5A293" w14:textId="698FB324" w:rsidR="006A1DDB" w:rsidRPr="006A1DDB" w:rsidRDefault="006A1DDB" w:rsidP="006A1DDB">
            <w:pPr>
              <w:pStyle w:val="ListParagraph"/>
              <w:ind w:left="0"/>
              <w:jc w:val="center"/>
              <w:rPr>
                <w:b/>
                <w:bCs/>
                <w:sz w:val="24"/>
                <w:szCs w:val="24"/>
              </w:rPr>
            </w:pPr>
            <w:bookmarkStart w:id="3" w:name="_Hlk75519529"/>
            <w:r>
              <w:rPr>
                <w:b/>
                <w:bCs/>
                <w:sz w:val="24"/>
                <w:szCs w:val="24"/>
              </w:rPr>
              <w:t>Short-Term Outcome</w:t>
            </w:r>
          </w:p>
        </w:tc>
        <w:tc>
          <w:tcPr>
            <w:tcW w:w="4243" w:type="dxa"/>
            <w:shd w:val="clear" w:color="auto" w:fill="F2F2F2" w:themeFill="background1" w:themeFillShade="F2"/>
            <w:vAlign w:val="center"/>
          </w:tcPr>
          <w:p w14:paraId="2A5ACF66" w14:textId="5463600E" w:rsidR="006A1DDB" w:rsidRPr="006A1DDB" w:rsidRDefault="006A1DDB" w:rsidP="006A1DDB">
            <w:pPr>
              <w:pStyle w:val="ListParagraph"/>
              <w:ind w:left="0"/>
              <w:jc w:val="center"/>
              <w:rPr>
                <w:b/>
                <w:bCs/>
                <w:sz w:val="24"/>
                <w:szCs w:val="24"/>
              </w:rPr>
            </w:pPr>
            <w:r>
              <w:rPr>
                <w:b/>
                <w:bCs/>
                <w:sz w:val="24"/>
                <w:szCs w:val="24"/>
              </w:rPr>
              <w:t>Planned Program Activities</w:t>
            </w:r>
          </w:p>
        </w:tc>
        <w:tc>
          <w:tcPr>
            <w:tcW w:w="2974" w:type="dxa"/>
            <w:shd w:val="clear" w:color="auto" w:fill="F2F2F2" w:themeFill="background1" w:themeFillShade="F2"/>
            <w:vAlign w:val="center"/>
          </w:tcPr>
          <w:p w14:paraId="78D34867" w14:textId="2D823A35" w:rsidR="006A1DDB" w:rsidRPr="006A1DDB" w:rsidRDefault="006A1DDB" w:rsidP="006A1DDB">
            <w:pPr>
              <w:pStyle w:val="ListParagraph"/>
              <w:ind w:left="0"/>
              <w:jc w:val="center"/>
              <w:rPr>
                <w:b/>
                <w:bCs/>
                <w:sz w:val="24"/>
                <w:szCs w:val="24"/>
              </w:rPr>
            </w:pPr>
            <w:r>
              <w:rPr>
                <w:b/>
                <w:bCs/>
                <w:sz w:val="24"/>
                <w:szCs w:val="24"/>
              </w:rPr>
              <w:t>Accomplishments</w:t>
            </w:r>
          </w:p>
        </w:tc>
        <w:tc>
          <w:tcPr>
            <w:tcW w:w="2768" w:type="dxa"/>
            <w:shd w:val="clear" w:color="auto" w:fill="F2F2F2" w:themeFill="background1" w:themeFillShade="F2"/>
            <w:vAlign w:val="center"/>
          </w:tcPr>
          <w:p w14:paraId="5C8D9B24" w14:textId="46F51C21" w:rsidR="006A1DDB" w:rsidRPr="006A1DDB" w:rsidRDefault="006A1DDB" w:rsidP="006A1DDB">
            <w:pPr>
              <w:pStyle w:val="ListParagraph"/>
              <w:ind w:left="0"/>
              <w:jc w:val="center"/>
              <w:rPr>
                <w:b/>
                <w:bCs/>
                <w:sz w:val="24"/>
                <w:szCs w:val="24"/>
              </w:rPr>
            </w:pPr>
            <w:r>
              <w:rPr>
                <w:b/>
                <w:bCs/>
                <w:sz w:val="24"/>
                <w:szCs w:val="24"/>
              </w:rPr>
              <w:t>Barriers</w:t>
            </w:r>
          </w:p>
        </w:tc>
      </w:tr>
      <w:bookmarkEnd w:id="3"/>
      <w:tr w:rsidR="003F5767" w14:paraId="640ED3D8" w14:textId="77777777" w:rsidTr="00117F3F">
        <w:tc>
          <w:tcPr>
            <w:tcW w:w="2970" w:type="dxa"/>
            <w:vAlign w:val="center"/>
          </w:tcPr>
          <w:p w14:paraId="03852C52" w14:textId="27C3DC35" w:rsidR="006A1DDB" w:rsidRPr="006A1DDB" w:rsidRDefault="006A1DDB" w:rsidP="0098395A">
            <w:pPr>
              <w:pStyle w:val="ListParagraph"/>
              <w:ind w:left="0"/>
              <w:rPr>
                <w:sz w:val="24"/>
                <w:szCs w:val="24"/>
              </w:rPr>
            </w:pPr>
            <w:r>
              <w:rPr>
                <w:sz w:val="24"/>
                <w:szCs w:val="24"/>
              </w:rPr>
              <w:t>Increase in cases with HIV and drug susceptibility results</w:t>
            </w:r>
          </w:p>
        </w:tc>
        <w:tc>
          <w:tcPr>
            <w:tcW w:w="4243" w:type="dxa"/>
          </w:tcPr>
          <w:p w14:paraId="2701F705" w14:textId="03E6A011" w:rsidR="006A1DDB" w:rsidRPr="006A1DDB" w:rsidRDefault="003F5767" w:rsidP="006A1DDB">
            <w:pPr>
              <w:pStyle w:val="ListParagraph"/>
              <w:ind w:left="0"/>
              <w:rPr>
                <w:sz w:val="24"/>
                <w:szCs w:val="24"/>
              </w:rPr>
            </w:pPr>
            <w:r>
              <w:rPr>
                <w:sz w:val="24"/>
                <w:szCs w:val="24"/>
              </w:rPr>
              <w:t>Ensure that HIV testing is offered to all confirmed and suspected cases of TB.  For hospitalized patients, health departments should review hospital records for HIV result; if no result, ask hospital to draw HIV or draw HIV at first post-hospital clinic visit.  For culture-positive specimens collected by non-public health entities, ensure that (1) a DST is ordered or (2) a specimen is sent to the state public health lab for DST.  Encourage health department to collect specimen from hospital for transport to state lab, when feasible.</w:t>
            </w:r>
          </w:p>
        </w:tc>
        <w:tc>
          <w:tcPr>
            <w:tcW w:w="2974" w:type="dxa"/>
            <w:vAlign w:val="center"/>
          </w:tcPr>
          <w:p w14:paraId="116E3B42" w14:textId="63ACBDB9" w:rsidR="006A1DDB" w:rsidRPr="006A1DDB" w:rsidRDefault="00DD717B" w:rsidP="00117F3F">
            <w:pPr>
              <w:pStyle w:val="ListParagraph"/>
              <w:ind w:left="0"/>
              <w:rPr>
                <w:sz w:val="24"/>
                <w:szCs w:val="24"/>
              </w:rPr>
            </w:pPr>
            <w:r>
              <w:rPr>
                <w:sz w:val="24"/>
                <w:szCs w:val="24"/>
              </w:rPr>
              <w:t xml:space="preserve">The Tennessee TB Elimination Program (TTBEP) </w:t>
            </w:r>
            <w:r w:rsidR="00DD5F1B">
              <w:rPr>
                <w:sz w:val="24"/>
                <w:szCs w:val="24"/>
              </w:rPr>
              <w:t>has identified gaps in laboratory reporting to focus on as the program evaluation plan in hopes of improving NTIP indicators related to turnaround times (TATs), drug-susceptibility testing (DST), and genotyping.</w:t>
            </w:r>
          </w:p>
        </w:tc>
        <w:tc>
          <w:tcPr>
            <w:tcW w:w="2768" w:type="dxa"/>
          </w:tcPr>
          <w:p w14:paraId="4CE40E8B" w14:textId="0E65109A" w:rsidR="006A1DDB" w:rsidRPr="006A1DDB" w:rsidRDefault="002D5CB0" w:rsidP="006A1DDB">
            <w:pPr>
              <w:pStyle w:val="ListParagraph"/>
              <w:ind w:left="0"/>
              <w:rPr>
                <w:sz w:val="24"/>
                <w:szCs w:val="24"/>
              </w:rPr>
            </w:pPr>
            <w:r>
              <w:rPr>
                <w:sz w:val="24"/>
                <w:szCs w:val="24"/>
              </w:rPr>
              <w:t>Delayed data entry due to TB staff working on COVID-19 pandemic</w:t>
            </w:r>
            <w:r w:rsidR="00B76A77">
              <w:rPr>
                <w:sz w:val="24"/>
                <w:szCs w:val="24"/>
              </w:rPr>
              <w:t xml:space="preserve">.  </w:t>
            </w:r>
            <w:r w:rsidR="000F7599">
              <w:rPr>
                <w:sz w:val="24"/>
                <w:szCs w:val="24"/>
              </w:rPr>
              <w:t>Not all hospital and commercial lab sent positive cultures to the Tennessee Department of Health state lab for confirmation and subsequent DST and genotyping testing.</w:t>
            </w:r>
          </w:p>
        </w:tc>
      </w:tr>
      <w:tr w:rsidR="003F5767" w14:paraId="2A5AFA42" w14:textId="77777777" w:rsidTr="00E874C9">
        <w:tc>
          <w:tcPr>
            <w:tcW w:w="2970" w:type="dxa"/>
            <w:vAlign w:val="center"/>
          </w:tcPr>
          <w:p w14:paraId="27E1EE25" w14:textId="07DA2E6C" w:rsidR="006A1DDB" w:rsidRPr="006A1DDB" w:rsidRDefault="003F5767" w:rsidP="0098395A">
            <w:pPr>
              <w:pStyle w:val="ListParagraph"/>
              <w:ind w:left="0"/>
              <w:rPr>
                <w:sz w:val="24"/>
                <w:szCs w:val="24"/>
              </w:rPr>
            </w:pPr>
            <w:r>
              <w:rPr>
                <w:sz w:val="24"/>
                <w:szCs w:val="24"/>
              </w:rPr>
              <w:t>Increase in patients on/responding to appropriate treatment</w:t>
            </w:r>
          </w:p>
        </w:tc>
        <w:tc>
          <w:tcPr>
            <w:tcW w:w="4243" w:type="dxa"/>
            <w:vAlign w:val="center"/>
          </w:tcPr>
          <w:p w14:paraId="2179D1C4" w14:textId="21066AB6" w:rsidR="001423F0" w:rsidRPr="006A1DDB" w:rsidRDefault="001423F0" w:rsidP="001423F0">
            <w:pPr>
              <w:pStyle w:val="ListParagraph"/>
              <w:ind w:left="0"/>
              <w:rPr>
                <w:sz w:val="24"/>
                <w:szCs w:val="24"/>
              </w:rPr>
            </w:pPr>
            <w:r>
              <w:rPr>
                <w:sz w:val="24"/>
                <w:szCs w:val="24"/>
              </w:rPr>
              <w:t>Continue use of therapeutic drug monitoring (TDM) for patients who are slow to convert AFB smears and cultures and for patients with risk factors for malabsorption.  Use CDC’S MDDR service when drug resistance is suspected, when appropriate.  Expand use of electronic DOT (eDOT).</w:t>
            </w:r>
          </w:p>
        </w:tc>
        <w:tc>
          <w:tcPr>
            <w:tcW w:w="2974" w:type="dxa"/>
          </w:tcPr>
          <w:p w14:paraId="49823BD1" w14:textId="77777777" w:rsidR="00AB208B" w:rsidRDefault="001423F0" w:rsidP="006A1DDB">
            <w:pPr>
              <w:pStyle w:val="ListParagraph"/>
              <w:ind w:left="0"/>
              <w:rPr>
                <w:sz w:val="24"/>
                <w:szCs w:val="24"/>
              </w:rPr>
            </w:pPr>
            <w:r>
              <w:rPr>
                <w:sz w:val="24"/>
                <w:szCs w:val="24"/>
              </w:rPr>
              <w:t>On February 4, 2021 the Tennessee TB Elimination Program</w:t>
            </w:r>
            <w:r w:rsidR="00E848F4">
              <w:rPr>
                <w:sz w:val="24"/>
                <w:szCs w:val="24"/>
              </w:rPr>
              <w:t xml:space="preserve"> (TTBEP)</w:t>
            </w:r>
            <w:r>
              <w:rPr>
                <w:sz w:val="24"/>
                <w:szCs w:val="24"/>
              </w:rPr>
              <w:t xml:space="preserve"> recommended using TDM for all adult (</w:t>
            </w:r>
            <w:r>
              <w:rPr>
                <w:rFonts w:cstheme="minorHAnsi"/>
                <w:sz w:val="24"/>
                <w:szCs w:val="24"/>
              </w:rPr>
              <w:t>≥</w:t>
            </w:r>
            <w:r>
              <w:rPr>
                <w:sz w:val="24"/>
                <w:szCs w:val="24"/>
              </w:rPr>
              <w:t>18 years of age) persons with suspected or confirmed TB disease after receiving initial two (2) weeks of TB treatment</w:t>
            </w:r>
            <w:r w:rsidR="00AA66C6">
              <w:rPr>
                <w:sz w:val="24"/>
                <w:szCs w:val="24"/>
              </w:rPr>
              <w:t xml:space="preserve">.  </w:t>
            </w:r>
          </w:p>
          <w:p w14:paraId="6C6F6B77" w14:textId="33D0671E" w:rsidR="00AB208B" w:rsidRDefault="00AB208B" w:rsidP="006A1DDB">
            <w:pPr>
              <w:pStyle w:val="ListParagraph"/>
              <w:ind w:left="0"/>
              <w:rPr>
                <w:sz w:val="24"/>
                <w:szCs w:val="24"/>
              </w:rPr>
            </w:pPr>
            <w:r>
              <w:rPr>
                <w:sz w:val="24"/>
                <w:szCs w:val="24"/>
              </w:rPr>
              <w:t xml:space="preserve">In 2020, specimens on 15 patients were sent for MDDR testing and </w:t>
            </w:r>
            <w:r>
              <w:rPr>
                <w:sz w:val="24"/>
                <w:szCs w:val="24"/>
              </w:rPr>
              <w:lastRenderedPageBreak/>
              <w:t>resistance was identified in four (26.7%).  In the first six months of 2021, specimens on five (5) patients were sent and resistance was detected on one (20.0%).</w:t>
            </w:r>
          </w:p>
          <w:p w14:paraId="59711B40" w14:textId="243DA854" w:rsidR="006A1DDB" w:rsidRPr="00E848F4" w:rsidRDefault="00E848F4" w:rsidP="006A1DDB">
            <w:pPr>
              <w:pStyle w:val="ListParagraph"/>
              <w:ind w:left="0"/>
              <w:rPr>
                <w:sz w:val="24"/>
                <w:szCs w:val="24"/>
              </w:rPr>
            </w:pPr>
            <w:r>
              <w:rPr>
                <w:sz w:val="24"/>
                <w:szCs w:val="24"/>
              </w:rPr>
              <w:t>In 2020, the Tennessee TB Elimination Program purchases licenses for emocha</w:t>
            </w:r>
            <w:r>
              <w:rPr>
                <w:rFonts w:cstheme="minorHAnsi"/>
                <w:sz w:val="24"/>
                <w:szCs w:val="24"/>
                <w:vertAlign w:val="superscript"/>
              </w:rPr>
              <w:t>®</w:t>
            </w:r>
            <w:r>
              <w:rPr>
                <w:sz w:val="24"/>
                <w:szCs w:val="24"/>
              </w:rPr>
              <w:t xml:space="preserve"> for synchronous and asynchronous eDOT.  Two (2) regional TB programs piloted this platform.  In 2021, the TTBEP purchased additional licenses for statewide implementation.</w:t>
            </w:r>
          </w:p>
        </w:tc>
        <w:tc>
          <w:tcPr>
            <w:tcW w:w="2768" w:type="dxa"/>
          </w:tcPr>
          <w:p w14:paraId="632F584A" w14:textId="3F526AAE" w:rsidR="006A1DDB" w:rsidRPr="006A1DDB" w:rsidRDefault="009D450B" w:rsidP="006A1DDB">
            <w:pPr>
              <w:pStyle w:val="ListParagraph"/>
              <w:ind w:left="0"/>
              <w:rPr>
                <w:sz w:val="24"/>
                <w:szCs w:val="24"/>
              </w:rPr>
            </w:pPr>
            <w:r>
              <w:rPr>
                <w:sz w:val="24"/>
                <w:szCs w:val="24"/>
              </w:rPr>
              <w:lastRenderedPageBreak/>
              <w:t>Several logistical issues were encountered during collection and shipment of specimens for TDM to Florida throughout this APR time period.  These issues included specimens being lost in transit, delivered to the wrong address, and lab closure due to weather (i.e., tropical storms and hurricanes)</w:t>
            </w:r>
          </w:p>
        </w:tc>
      </w:tr>
      <w:tr w:rsidR="00700D7C" w14:paraId="18EAD646" w14:textId="77777777" w:rsidTr="00700D7C">
        <w:tc>
          <w:tcPr>
            <w:tcW w:w="12955" w:type="dxa"/>
            <w:gridSpan w:val="4"/>
            <w:shd w:val="clear" w:color="auto" w:fill="D9D9D9" w:themeFill="background1" w:themeFillShade="D9"/>
          </w:tcPr>
          <w:p w14:paraId="22D678F3" w14:textId="23281A98" w:rsidR="00700D7C" w:rsidRPr="00AB0BFE" w:rsidRDefault="00AB0BFE" w:rsidP="00AB0BFE">
            <w:pPr>
              <w:rPr>
                <w:b/>
                <w:bCs/>
                <w:sz w:val="24"/>
                <w:szCs w:val="24"/>
              </w:rPr>
            </w:pPr>
            <w:r>
              <w:rPr>
                <w:b/>
                <w:bCs/>
                <w:sz w:val="24"/>
                <w:szCs w:val="24"/>
              </w:rPr>
              <w:t>Strategy/Activity: Diagnosis/treatment of persons with latent TB infection (TBI)</w:t>
            </w:r>
          </w:p>
        </w:tc>
      </w:tr>
      <w:tr w:rsidR="00AB0BFE" w:rsidRPr="006A1DDB" w14:paraId="03A7DEF1" w14:textId="77777777" w:rsidTr="00E874C9">
        <w:tc>
          <w:tcPr>
            <w:tcW w:w="2970" w:type="dxa"/>
            <w:shd w:val="clear" w:color="auto" w:fill="F2F2F2" w:themeFill="background1" w:themeFillShade="F2"/>
            <w:vAlign w:val="center"/>
          </w:tcPr>
          <w:p w14:paraId="62F6CA87" w14:textId="77777777" w:rsidR="00AB0BFE" w:rsidRPr="006A1DDB" w:rsidRDefault="00AB0BFE" w:rsidP="0021319E">
            <w:pPr>
              <w:pStyle w:val="ListParagraph"/>
              <w:ind w:left="0"/>
              <w:jc w:val="center"/>
              <w:rPr>
                <w:b/>
                <w:bCs/>
                <w:sz w:val="24"/>
                <w:szCs w:val="24"/>
              </w:rPr>
            </w:pPr>
            <w:bookmarkStart w:id="4" w:name="_Hlk75520623"/>
            <w:r>
              <w:rPr>
                <w:b/>
                <w:bCs/>
                <w:sz w:val="24"/>
                <w:szCs w:val="24"/>
              </w:rPr>
              <w:t>Short-Term Outcome</w:t>
            </w:r>
          </w:p>
        </w:tc>
        <w:tc>
          <w:tcPr>
            <w:tcW w:w="4243" w:type="dxa"/>
            <w:shd w:val="clear" w:color="auto" w:fill="F2F2F2" w:themeFill="background1" w:themeFillShade="F2"/>
            <w:vAlign w:val="center"/>
          </w:tcPr>
          <w:p w14:paraId="30C49AB3" w14:textId="77777777" w:rsidR="00AB0BFE" w:rsidRPr="006A1DDB" w:rsidRDefault="00AB0BFE" w:rsidP="0021319E">
            <w:pPr>
              <w:pStyle w:val="ListParagraph"/>
              <w:ind w:left="0"/>
              <w:jc w:val="center"/>
              <w:rPr>
                <w:b/>
                <w:bCs/>
                <w:sz w:val="24"/>
                <w:szCs w:val="24"/>
              </w:rPr>
            </w:pPr>
            <w:r>
              <w:rPr>
                <w:b/>
                <w:bCs/>
                <w:sz w:val="24"/>
                <w:szCs w:val="24"/>
              </w:rPr>
              <w:t>Planned Program Activities</w:t>
            </w:r>
          </w:p>
        </w:tc>
        <w:tc>
          <w:tcPr>
            <w:tcW w:w="2974" w:type="dxa"/>
            <w:shd w:val="clear" w:color="auto" w:fill="F2F2F2" w:themeFill="background1" w:themeFillShade="F2"/>
            <w:vAlign w:val="center"/>
          </w:tcPr>
          <w:p w14:paraId="016F8FF6" w14:textId="77777777" w:rsidR="00AB0BFE" w:rsidRPr="006A1DDB" w:rsidRDefault="00AB0BFE" w:rsidP="0021319E">
            <w:pPr>
              <w:pStyle w:val="ListParagraph"/>
              <w:ind w:left="0"/>
              <w:jc w:val="center"/>
              <w:rPr>
                <w:b/>
                <w:bCs/>
                <w:sz w:val="24"/>
                <w:szCs w:val="24"/>
              </w:rPr>
            </w:pPr>
            <w:r>
              <w:rPr>
                <w:b/>
                <w:bCs/>
                <w:sz w:val="24"/>
                <w:szCs w:val="24"/>
              </w:rPr>
              <w:t>Accomplishments</w:t>
            </w:r>
          </w:p>
        </w:tc>
        <w:tc>
          <w:tcPr>
            <w:tcW w:w="2768" w:type="dxa"/>
            <w:shd w:val="clear" w:color="auto" w:fill="F2F2F2" w:themeFill="background1" w:themeFillShade="F2"/>
            <w:vAlign w:val="center"/>
          </w:tcPr>
          <w:p w14:paraId="2FF2760F" w14:textId="77777777" w:rsidR="00AB0BFE" w:rsidRPr="006A1DDB" w:rsidRDefault="00AB0BFE" w:rsidP="0021319E">
            <w:pPr>
              <w:pStyle w:val="ListParagraph"/>
              <w:ind w:left="0"/>
              <w:jc w:val="center"/>
              <w:rPr>
                <w:b/>
                <w:bCs/>
                <w:sz w:val="24"/>
                <w:szCs w:val="24"/>
              </w:rPr>
            </w:pPr>
            <w:r>
              <w:rPr>
                <w:b/>
                <w:bCs/>
                <w:sz w:val="24"/>
                <w:szCs w:val="24"/>
              </w:rPr>
              <w:t>Barriers</w:t>
            </w:r>
          </w:p>
        </w:tc>
      </w:tr>
      <w:bookmarkEnd w:id="4"/>
      <w:tr w:rsidR="003647DF" w14:paraId="35BD50D2" w14:textId="77777777" w:rsidTr="00E874C9">
        <w:tc>
          <w:tcPr>
            <w:tcW w:w="2970" w:type="dxa"/>
            <w:vAlign w:val="center"/>
          </w:tcPr>
          <w:p w14:paraId="1FCBF837" w14:textId="1E08A550" w:rsidR="003647DF" w:rsidRPr="006A1DDB" w:rsidRDefault="003647DF" w:rsidP="0098395A">
            <w:pPr>
              <w:pStyle w:val="ListParagraph"/>
              <w:ind w:left="0"/>
              <w:rPr>
                <w:sz w:val="24"/>
                <w:szCs w:val="24"/>
              </w:rPr>
            </w:pPr>
            <w:r>
              <w:rPr>
                <w:sz w:val="24"/>
                <w:szCs w:val="24"/>
              </w:rPr>
              <w:t>Increase in the number of contacts elicited/examined (contacts to infectious TB cases)</w:t>
            </w:r>
          </w:p>
        </w:tc>
        <w:tc>
          <w:tcPr>
            <w:tcW w:w="4243" w:type="dxa"/>
          </w:tcPr>
          <w:p w14:paraId="6EFE264D" w14:textId="58C7549F" w:rsidR="003647DF" w:rsidRPr="006A1DDB" w:rsidRDefault="00852ECA" w:rsidP="006A1DDB">
            <w:pPr>
              <w:pStyle w:val="ListParagraph"/>
              <w:ind w:left="0"/>
              <w:rPr>
                <w:sz w:val="24"/>
                <w:szCs w:val="24"/>
              </w:rPr>
            </w:pPr>
            <w:r>
              <w:rPr>
                <w:sz w:val="24"/>
                <w:szCs w:val="24"/>
              </w:rPr>
              <w:t>Reiterate the importance of identification of contacts to smear-positive TB patients and the criteria for expanding a contact investigation.</w:t>
            </w:r>
          </w:p>
        </w:tc>
        <w:tc>
          <w:tcPr>
            <w:tcW w:w="2974" w:type="dxa"/>
          </w:tcPr>
          <w:p w14:paraId="27104D63" w14:textId="58E3D473" w:rsidR="003647DF" w:rsidRPr="006A1DDB" w:rsidRDefault="00852ECA" w:rsidP="006A1DDB">
            <w:pPr>
              <w:pStyle w:val="ListParagraph"/>
              <w:ind w:left="0"/>
              <w:rPr>
                <w:sz w:val="24"/>
                <w:szCs w:val="24"/>
              </w:rPr>
            </w:pPr>
            <w:r>
              <w:rPr>
                <w:sz w:val="24"/>
                <w:szCs w:val="24"/>
              </w:rPr>
              <w:t>Contact investigations are reviewed during cohort reviews, annual programmatic assessments, and during data collection for ARPEs.  Staff are reminded during these of the importance of contact elicitation.</w:t>
            </w:r>
          </w:p>
        </w:tc>
        <w:tc>
          <w:tcPr>
            <w:tcW w:w="2768" w:type="dxa"/>
            <w:vMerge w:val="restart"/>
          </w:tcPr>
          <w:p w14:paraId="37759AB8" w14:textId="6D26604E" w:rsidR="003647DF" w:rsidRPr="006A1DDB" w:rsidRDefault="003647DF" w:rsidP="006A1DDB">
            <w:pPr>
              <w:pStyle w:val="ListParagraph"/>
              <w:ind w:left="0"/>
              <w:rPr>
                <w:sz w:val="24"/>
                <w:szCs w:val="24"/>
              </w:rPr>
            </w:pPr>
            <w:r>
              <w:rPr>
                <w:sz w:val="24"/>
                <w:szCs w:val="24"/>
              </w:rPr>
              <w:t xml:space="preserve">During the COVID-19 pandemic, the Tennessee TB Elimination Program issued interim recommendations for TB programs that recommended prioritization of contact investigations as well as prioritizing high-risk contacts to limit face-to-face contact with </w:t>
            </w:r>
            <w:r>
              <w:rPr>
                <w:sz w:val="24"/>
                <w:szCs w:val="24"/>
              </w:rPr>
              <w:lastRenderedPageBreak/>
              <w:t>individuals.  In addition, due to regional TB being assigned to the COVID-19 response, ma</w:t>
            </w:r>
            <w:r w:rsidR="008E5A16">
              <w:rPr>
                <w:sz w:val="24"/>
                <w:szCs w:val="24"/>
              </w:rPr>
              <w:t>n</w:t>
            </w:r>
            <w:r>
              <w:rPr>
                <w:sz w:val="24"/>
                <w:szCs w:val="24"/>
              </w:rPr>
              <w:t>y regional TB programs reduced the number of schedule</w:t>
            </w:r>
            <w:r w:rsidR="008E5A16">
              <w:rPr>
                <w:sz w:val="24"/>
                <w:szCs w:val="24"/>
              </w:rPr>
              <w:t>d</w:t>
            </w:r>
            <w:r>
              <w:rPr>
                <w:sz w:val="24"/>
                <w:szCs w:val="24"/>
              </w:rPr>
              <w:t xml:space="preserve"> TB clinics held.</w:t>
            </w:r>
          </w:p>
        </w:tc>
      </w:tr>
      <w:tr w:rsidR="003647DF" w14:paraId="01080462" w14:textId="77777777" w:rsidTr="00E874C9">
        <w:tc>
          <w:tcPr>
            <w:tcW w:w="2970" w:type="dxa"/>
            <w:vAlign w:val="center"/>
          </w:tcPr>
          <w:p w14:paraId="2740C754" w14:textId="7FE41924" w:rsidR="003647DF" w:rsidRPr="006A1DDB" w:rsidRDefault="003647DF" w:rsidP="0098395A">
            <w:pPr>
              <w:pStyle w:val="ListParagraph"/>
              <w:ind w:left="0"/>
              <w:rPr>
                <w:sz w:val="24"/>
                <w:szCs w:val="24"/>
              </w:rPr>
            </w:pPr>
            <w:r>
              <w:rPr>
                <w:sz w:val="24"/>
                <w:szCs w:val="24"/>
              </w:rPr>
              <w:t xml:space="preserve">Increase in treatment initiation for patients with LTBI who are recommended </w:t>
            </w:r>
            <w:r>
              <w:rPr>
                <w:sz w:val="24"/>
                <w:szCs w:val="24"/>
              </w:rPr>
              <w:lastRenderedPageBreak/>
              <w:t>for treatment (contacts to infectious TB cases)</w:t>
            </w:r>
          </w:p>
        </w:tc>
        <w:tc>
          <w:tcPr>
            <w:tcW w:w="4243" w:type="dxa"/>
          </w:tcPr>
          <w:p w14:paraId="7B2B9AD5" w14:textId="50564580" w:rsidR="003647DF" w:rsidRPr="006A1DDB" w:rsidRDefault="003647DF" w:rsidP="006A1DDB">
            <w:pPr>
              <w:pStyle w:val="ListParagraph"/>
              <w:ind w:left="0"/>
              <w:rPr>
                <w:sz w:val="24"/>
                <w:szCs w:val="24"/>
              </w:rPr>
            </w:pPr>
            <w:r>
              <w:rPr>
                <w:sz w:val="24"/>
                <w:szCs w:val="24"/>
              </w:rPr>
              <w:lastRenderedPageBreak/>
              <w:t xml:space="preserve">Increase the availability of electronic DOT (eDOT) for use of 12-week isoniazid/rifapentine (“3HP”) regimen.  </w:t>
            </w:r>
          </w:p>
        </w:tc>
        <w:tc>
          <w:tcPr>
            <w:tcW w:w="2974" w:type="dxa"/>
          </w:tcPr>
          <w:p w14:paraId="52DFDBDB" w14:textId="26AA142F" w:rsidR="003647DF" w:rsidRPr="0098395A" w:rsidRDefault="003647DF" w:rsidP="006A1DDB">
            <w:pPr>
              <w:pStyle w:val="ListParagraph"/>
              <w:ind w:left="0"/>
              <w:rPr>
                <w:sz w:val="24"/>
                <w:szCs w:val="24"/>
              </w:rPr>
            </w:pPr>
            <w:r>
              <w:rPr>
                <w:sz w:val="24"/>
                <w:szCs w:val="24"/>
              </w:rPr>
              <w:t>Two (2) public health regions piloted emocha</w:t>
            </w:r>
            <w:r>
              <w:rPr>
                <w:rFonts w:cstheme="minorHAnsi"/>
                <w:sz w:val="24"/>
                <w:szCs w:val="24"/>
                <w:vertAlign w:val="superscript"/>
              </w:rPr>
              <w:t>®</w:t>
            </w:r>
            <w:r>
              <w:rPr>
                <w:sz w:val="24"/>
                <w:szCs w:val="24"/>
              </w:rPr>
              <w:t xml:space="preserve"> for asynchronous eDOT in </w:t>
            </w:r>
            <w:r>
              <w:rPr>
                <w:sz w:val="24"/>
                <w:szCs w:val="24"/>
              </w:rPr>
              <w:lastRenderedPageBreak/>
              <w:t>2020.  Licenses for emocha</w:t>
            </w:r>
            <w:r>
              <w:rPr>
                <w:rFonts w:cstheme="minorHAnsi"/>
                <w:sz w:val="24"/>
                <w:szCs w:val="24"/>
                <w:vertAlign w:val="superscript"/>
              </w:rPr>
              <w:t xml:space="preserve">® </w:t>
            </w:r>
            <w:r>
              <w:rPr>
                <w:sz w:val="24"/>
                <w:szCs w:val="24"/>
              </w:rPr>
              <w:t>were purchased for staff in each regional TB program in early 2021.</w:t>
            </w:r>
          </w:p>
        </w:tc>
        <w:tc>
          <w:tcPr>
            <w:tcW w:w="2768" w:type="dxa"/>
            <w:vMerge/>
          </w:tcPr>
          <w:p w14:paraId="710251C6" w14:textId="77777777" w:rsidR="003647DF" w:rsidRPr="006A1DDB" w:rsidRDefault="003647DF" w:rsidP="006A1DDB">
            <w:pPr>
              <w:pStyle w:val="ListParagraph"/>
              <w:ind w:left="0"/>
              <w:rPr>
                <w:sz w:val="24"/>
                <w:szCs w:val="24"/>
              </w:rPr>
            </w:pPr>
          </w:p>
        </w:tc>
      </w:tr>
      <w:tr w:rsidR="003F5767" w14:paraId="564AFFA0" w14:textId="77777777" w:rsidTr="00117F3F">
        <w:tc>
          <w:tcPr>
            <w:tcW w:w="2970" w:type="dxa"/>
            <w:vAlign w:val="center"/>
          </w:tcPr>
          <w:p w14:paraId="51416949" w14:textId="4AF8D9B9" w:rsidR="003F5767" w:rsidRPr="006A1DDB" w:rsidRDefault="004973E7" w:rsidP="0098395A">
            <w:pPr>
              <w:pStyle w:val="ListParagraph"/>
              <w:ind w:left="0"/>
              <w:rPr>
                <w:sz w:val="24"/>
                <w:szCs w:val="24"/>
              </w:rPr>
            </w:pPr>
            <w:r>
              <w:rPr>
                <w:sz w:val="24"/>
                <w:szCs w:val="24"/>
              </w:rPr>
              <w:t>Increase in treatment initiation for patients with LTBI/prior pulmonary TB who are recommended for treatment (Class B notifications)</w:t>
            </w:r>
          </w:p>
        </w:tc>
        <w:tc>
          <w:tcPr>
            <w:tcW w:w="4243" w:type="dxa"/>
            <w:vAlign w:val="center"/>
          </w:tcPr>
          <w:p w14:paraId="557103BD" w14:textId="6DAF7C26" w:rsidR="003F5767" w:rsidRPr="006A1DDB" w:rsidRDefault="006067CB" w:rsidP="00117F3F">
            <w:pPr>
              <w:pStyle w:val="ListParagraph"/>
              <w:ind w:left="0"/>
              <w:rPr>
                <w:sz w:val="24"/>
                <w:szCs w:val="24"/>
              </w:rPr>
            </w:pPr>
            <w:r>
              <w:rPr>
                <w:sz w:val="24"/>
                <w:szCs w:val="24"/>
              </w:rPr>
              <w:t>Increase the use of shorter course regimens for TB infection (</w:t>
            </w:r>
            <w:r w:rsidR="008E21C5">
              <w:rPr>
                <w:sz w:val="24"/>
                <w:szCs w:val="24"/>
              </w:rPr>
              <w:t>i.e.</w:t>
            </w:r>
            <w:r>
              <w:rPr>
                <w:sz w:val="24"/>
                <w:szCs w:val="24"/>
              </w:rPr>
              <w:t>, 12-week isoniazid/rifapentine and three-month isoniazid/rifampin) for Class B notifications.</w:t>
            </w:r>
          </w:p>
        </w:tc>
        <w:tc>
          <w:tcPr>
            <w:tcW w:w="2974" w:type="dxa"/>
            <w:vAlign w:val="center"/>
          </w:tcPr>
          <w:p w14:paraId="6BA94AEA" w14:textId="3D1EC6B7" w:rsidR="003F5767" w:rsidRPr="006A1DDB" w:rsidRDefault="0009754E" w:rsidP="00117F3F">
            <w:pPr>
              <w:pStyle w:val="ListParagraph"/>
              <w:ind w:left="0"/>
              <w:rPr>
                <w:sz w:val="24"/>
                <w:szCs w:val="24"/>
              </w:rPr>
            </w:pPr>
            <w:r>
              <w:rPr>
                <w:sz w:val="24"/>
                <w:szCs w:val="24"/>
              </w:rPr>
              <w:t>The shorter course regimens for TB infection and guidance for using these regimens was included in the 2020/2021 TB Manual revisions.</w:t>
            </w:r>
          </w:p>
        </w:tc>
        <w:tc>
          <w:tcPr>
            <w:tcW w:w="2768" w:type="dxa"/>
          </w:tcPr>
          <w:p w14:paraId="58ABEA5E" w14:textId="6E8F7B51" w:rsidR="003F5767" w:rsidRPr="006A1DDB" w:rsidRDefault="006067CB" w:rsidP="006A1DDB">
            <w:pPr>
              <w:pStyle w:val="ListParagraph"/>
              <w:ind w:left="0"/>
              <w:rPr>
                <w:sz w:val="24"/>
                <w:szCs w:val="24"/>
              </w:rPr>
            </w:pPr>
            <w:r>
              <w:rPr>
                <w:sz w:val="24"/>
                <w:szCs w:val="24"/>
              </w:rPr>
              <w:t>The number of Class B notifications received by the Tennessee TB Elimination Program in 2020 decreased 77.0% from 2019.  Due to regional TB staff being reassigned to the COVID-19 responses and the reduction in the number of scheduled TB clinics, evaluation of Class B notifications was delayed in many regions.</w:t>
            </w:r>
          </w:p>
        </w:tc>
      </w:tr>
      <w:tr w:rsidR="003F5767" w14:paraId="758D7DC6" w14:textId="77777777" w:rsidTr="00E874C9">
        <w:tc>
          <w:tcPr>
            <w:tcW w:w="2970" w:type="dxa"/>
          </w:tcPr>
          <w:p w14:paraId="7A1D5932" w14:textId="5D09C11A" w:rsidR="003F5767" w:rsidRPr="006A1DDB" w:rsidRDefault="00BB2417" w:rsidP="006A1DDB">
            <w:pPr>
              <w:pStyle w:val="ListParagraph"/>
              <w:ind w:left="0"/>
              <w:rPr>
                <w:sz w:val="24"/>
                <w:szCs w:val="24"/>
              </w:rPr>
            </w:pPr>
            <w:r>
              <w:rPr>
                <w:sz w:val="24"/>
                <w:szCs w:val="24"/>
              </w:rPr>
              <w:t>Targeted Testing and treatment of TB infection (TBI) in high-risk populations</w:t>
            </w:r>
          </w:p>
        </w:tc>
        <w:tc>
          <w:tcPr>
            <w:tcW w:w="4243" w:type="dxa"/>
          </w:tcPr>
          <w:p w14:paraId="52F3D610" w14:textId="4125CEEE" w:rsidR="003F5767" w:rsidRPr="006A1DDB" w:rsidRDefault="008E5A16" w:rsidP="006A1DDB">
            <w:pPr>
              <w:pStyle w:val="ListParagraph"/>
              <w:ind w:left="0"/>
              <w:rPr>
                <w:sz w:val="24"/>
                <w:szCs w:val="24"/>
              </w:rPr>
            </w:pPr>
            <w:r>
              <w:rPr>
                <w:sz w:val="24"/>
                <w:szCs w:val="24"/>
              </w:rPr>
              <w:t>Re-visit the Community Partnerships to End TB (CPETB) initiative with regional TB programs.</w:t>
            </w:r>
          </w:p>
        </w:tc>
        <w:tc>
          <w:tcPr>
            <w:tcW w:w="2974" w:type="dxa"/>
          </w:tcPr>
          <w:p w14:paraId="6F680A3D" w14:textId="1583DBB6" w:rsidR="003F5767" w:rsidRPr="006A1DDB" w:rsidRDefault="008E5A16" w:rsidP="006A1DDB">
            <w:pPr>
              <w:pStyle w:val="ListParagraph"/>
              <w:ind w:left="0"/>
              <w:rPr>
                <w:sz w:val="24"/>
                <w:szCs w:val="24"/>
              </w:rPr>
            </w:pPr>
            <w:r>
              <w:rPr>
                <w:sz w:val="24"/>
                <w:szCs w:val="24"/>
              </w:rPr>
              <w:t>The initiative was re-introduced on statewide TB program call in 2021 with an anticipated relaunch date in early 2022.</w:t>
            </w:r>
          </w:p>
        </w:tc>
        <w:tc>
          <w:tcPr>
            <w:tcW w:w="2768" w:type="dxa"/>
          </w:tcPr>
          <w:p w14:paraId="055DAB9E" w14:textId="2E390B17" w:rsidR="003F5767" w:rsidRPr="006A1DDB" w:rsidRDefault="008E5A16" w:rsidP="006A1DDB">
            <w:pPr>
              <w:pStyle w:val="ListParagraph"/>
              <w:ind w:left="0"/>
              <w:rPr>
                <w:sz w:val="24"/>
                <w:szCs w:val="24"/>
              </w:rPr>
            </w:pPr>
            <w:r>
              <w:rPr>
                <w:sz w:val="24"/>
                <w:szCs w:val="24"/>
              </w:rPr>
              <w:t xml:space="preserve">The COVID-19 pandemic </w:t>
            </w:r>
            <w:r w:rsidR="002B5A27">
              <w:rPr>
                <w:sz w:val="24"/>
                <w:szCs w:val="24"/>
              </w:rPr>
              <w:t>paused all non-essential TB program activities throughout the state.</w:t>
            </w:r>
          </w:p>
        </w:tc>
      </w:tr>
      <w:tr w:rsidR="00BB2417" w14:paraId="0A90FDC6" w14:textId="77777777" w:rsidTr="00BB2417">
        <w:tc>
          <w:tcPr>
            <w:tcW w:w="12955" w:type="dxa"/>
            <w:gridSpan w:val="4"/>
            <w:shd w:val="clear" w:color="auto" w:fill="D9D9D9" w:themeFill="background1" w:themeFillShade="D9"/>
          </w:tcPr>
          <w:p w14:paraId="20CD99C6" w14:textId="0322590B" w:rsidR="00BB2417" w:rsidRPr="00BB2417" w:rsidRDefault="00BB2417" w:rsidP="00BB2417">
            <w:pPr>
              <w:pStyle w:val="ListParagraph"/>
              <w:ind w:left="0"/>
              <w:jc w:val="both"/>
              <w:rPr>
                <w:b/>
                <w:bCs/>
                <w:sz w:val="24"/>
                <w:szCs w:val="24"/>
              </w:rPr>
            </w:pPr>
            <w:r>
              <w:rPr>
                <w:b/>
                <w:bCs/>
                <w:sz w:val="24"/>
                <w:szCs w:val="24"/>
              </w:rPr>
              <w:t xml:space="preserve">Strategy/Activity: Program planning, </w:t>
            </w:r>
            <w:r w:rsidR="00B76A77">
              <w:rPr>
                <w:b/>
                <w:bCs/>
                <w:sz w:val="24"/>
                <w:szCs w:val="24"/>
              </w:rPr>
              <w:t>evaluation,</w:t>
            </w:r>
            <w:r>
              <w:rPr>
                <w:b/>
                <w:bCs/>
                <w:sz w:val="24"/>
                <w:szCs w:val="24"/>
              </w:rPr>
              <w:t xml:space="preserve"> and improvement</w:t>
            </w:r>
          </w:p>
        </w:tc>
      </w:tr>
      <w:tr w:rsidR="00BB2417" w:rsidRPr="006A1DDB" w14:paraId="789EB89F" w14:textId="77777777" w:rsidTr="00E874C9">
        <w:tc>
          <w:tcPr>
            <w:tcW w:w="2970" w:type="dxa"/>
            <w:shd w:val="clear" w:color="auto" w:fill="F2F2F2" w:themeFill="background1" w:themeFillShade="F2"/>
            <w:vAlign w:val="center"/>
          </w:tcPr>
          <w:p w14:paraId="58A5A03E" w14:textId="77777777" w:rsidR="00BB2417" w:rsidRPr="006A1DDB" w:rsidRDefault="00BB2417" w:rsidP="0021319E">
            <w:pPr>
              <w:pStyle w:val="ListParagraph"/>
              <w:ind w:left="0"/>
              <w:jc w:val="center"/>
              <w:rPr>
                <w:b/>
                <w:bCs/>
                <w:sz w:val="24"/>
                <w:szCs w:val="24"/>
              </w:rPr>
            </w:pPr>
            <w:r>
              <w:rPr>
                <w:b/>
                <w:bCs/>
                <w:sz w:val="24"/>
                <w:szCs w:val="24"/>
              </w:rPr>
              <w:t>Short-Term Outcome</w:t>
            </w:r>
          </w:p>
        </w:tc>
        <w:tc>
          <w:tcPr>
            <w:tcW w:w="4243" w:type="dxa"/>
            <w:shd w:val="clear" w:color="auto" w:fill="F2F2F2" w:themeFill="background1" w:themeFillShade="F2"/>
            <w:vAlign w:val="center"/>
          </w:tcPr>
          <w:p w14:paraId="650149FB" w14:textId="77777777" w:rsidR="00BB2417" w:rsidRPr="006A1DDB" w:rsidRDefault="00BB2417" w:rsidP="0021319E">
            <w:pPr>
              <w:pStyle w:val="ListParagraph"/>
              <w:ind w:left="0"/>
              <w:jc w:val="center"/>
              <w:rPr>
                <w:b/>
                <w:bCs/>
                <w:sz w:val="24"/>
                <w:szCs w:val="24"/>
              </w:rPr>
            </w:pPr>
            <w:r>
              <w:rPr>
                <w:b/>
                <w:bCs/>
                <w:sz w:val="24"/>
                <w:szCs w:val="24"/>
              </w:rPr>
              <w:t>Planned Program Activities</w:t>
            </w:r>
          </w:p>
        </w:tc>
        <w:tc>
          <w:tcPr>
            <w:tcW w:w="2974" w:type="dxa"/>
            <w:shd w:val="clear" w:color="auto" w:fill="F2F2F2" w:themeFill="background1" w:themeFillShade="F2"/>
            <w:vAlign w:val="center"/>
          </w:tcPr>
          <w:p w14:paraId="7D800BC1" w14:textId="77777777" w:rsidR="00BB2417" w:rsidRPr="006A1DDB" w:rsidRDefault="00BB2417" w:rsidP="0021319E">
            <w:pPr>
              <w:pStyle w:val="ListParagraph"/>
              <w:ind w:left="0"/>
              <w:jc w:val="center"/>
              <w:rPr>
                <w:b/>
                <w:bCs/>
                <w:sz w:val="24"/>
                <w:szCs w:val="24"/>
              </w:rPr>
            </w:pPr>
            <w:r>
              <w:rPr>
                <w:b/>
                <w:bCs/>
                <w:sz w:val="24"/>
                <w:szCs w:val="24"/>
              </w:rPr>
              <w:t>Accomplishments</w:t>
            </w:r>
          </w:p>
        </w:tc>
        <w:tc>
          <w:tcPr>
            <w:tcW w:w="2768" w:type="dxa"/>
            <w:shd w:val="clear" w:color="auto" w:fill="F2F2F2" w:themeFill="background1" w:themeFillShade="F2"/>
            <w:vAlign w:val="center"/>
          </w:tcPr>
          <w:p w14:paraId="344FE8B2" w14:textId="77777777" w:rsidR="00BB2417" w:rsidRPr="006A1DDB" w:rsidRDefault="00BB2417" w:rsidP="0021319E">
            <w:pPr>
              <w:pStyle w:val="ListParagraph"/>
              <w:ind w:left="0"/>
              <w:jc w:val="center"/>
              <w:rPr>
                <w:b/>
                <w:bCs/>
                <w:sz w:val="24"/>
                <w:szCs w:val="24"/>
              </w:rPr>
            </w:pPr>
            <w:r>
              <w:rPr>
                <w:b/>
                <w:bCs/>
                <w:sz w:val="24"/>
                <w:szCs w:val="24"/>
              </w:rPr>
              <w:t>Barriers</w:t>
            </w:r>
          </w:p>
        </w:tc>
      </w:tr>
      <w:tr w:rsidR="00BB2417" w14:paraId="23D425A4" w14:textId="77777777" w:rsidTr="00E874C9">
        <w:tc>
          <w:tcPr>
            <w:tcW w:w="2970" w:type="dxa"/>
          </w:tcPr>
          <w:p w14:paraId="1E67BB60" w14:textId="42D55573" w:rsidR="00BB2417" w:rsidRPr="006A1DDB" w:rsidRDefault="00E874C9" w:rsidP="006A1DDB">
            <w:pPr>
              <w:pStyle w:val="ListParagraph"/>
              <w:ind w:left="0"/>
              <w:rPr>
                <w:sz w:val="24"/>
                <w:szCs w:val="24"/>
              </w:rPr>
            </w:pPr>
            <w:r>
              <w:rPr>
                <w:sz w:val="24"/>
                <w:szCs w:val="24"/>
              </w:rPr>
              <w:t xml:space="preserve">Increase in identification/dissemination of best practices within and </w:t>
            </w:r>
            <w:r>
              <w:rPr>
                <w:sz w:val="24"/>
                <w:szCs w:val="24"/>
              </w:rPr>
              <w:lastRenderedPageBreak/>
              <w:t>between state/local programs</w:t>
            </w:r>
          </w:p>
        </w:tc>
        <w:tc>
          <w:tcPr>
            <w:tcW w:w="4243" w:type="dxa"/>
          </w:tcPr>
          <w:p w14:paraId="0C8C22A7" w14:textId="06AA97F3" w:rsidR="00BB2417" w:rsidRPr="006A1DDB" w:rsidRDefault="00382524" w:rsidP="006A1DDB">
            <w:pPr>
              <w:pStyle w:val="ListParagraph"/>
              <w:ind w:left="0"/>
              <w:rPr>
                <w:sz w:val="24"/>
                <w:szCs w:val="24"/>
              </w:rPr>
            </w:pPr>
            <w:r>
              <w:rPr>
                <w:sz w:val="24"/>
                <w:szCs w:val="24"/>
              </w:rPr>
              <w:lastRenderedPageBreak/>
              <w:t xml:space="preserve">Participate in TB PEN and TB ETN calls; participate in NTCA Community of Practice (CoP) calls; </w:t>
            </w:r>
          </w:p>
        </w:tc>
        <w:tc>
          <w:tcPr>
            <w:tcW w:w="2974" w:type="dxa"/>
          </w:tcPr>
          <w:p w14:paraId="771A0CCC" w14:textId="636661DE" w:rsidR="00BB2417" w:rsidRPr="006A1DDB" w:rsidRDefault="00852ECA" w:rsidP="006A1DDB">
            <w:pPr>
              <w:pStyle w:val="ListParagraph"/>
              <w:ind w:left="0"/>
              <w:rPr>
                <w:sz w:val="24"/>
                <w:szCs w:val="24"/>
              </w:rPr>
            </w:pPr>
            <w:r>
              <w:rPr>
                <w:sz w:val="24"/>
                <w:szCs w:val="24"/>
              </w:rPr>
              <w:t xml:space="preserve">Staff from the state and regional TB program participate on statewide </w:t>
            </w:r>
            <w:r>
              <w:rPr>
                <w:sz w:val="24"/>
                <w:szCs w:val="24"/>
              </w:rPr>
              <w:lastRenderedPageBreak/>
              <w:t>and national educational calls and webinars.</w:t>
            </w:r>
          </w:p>
        </w:tc>
        <w:tc>
          <w:tcPr>
            <w:tcW w:w="2768" w:type="dxa"/>
          </w:tcPr>
          <w:p w14:paraId="3D69EDCA" w14:textId="4B980BF5" w:rsidR="00BB2417" w:rsidRPr="006A1DDB" w:rsidRDefault="00852ECA" w:rsidP="006A1DDB">
            <w:pPr>
              <w:pStyle w:val="ListParagraph"/>
              <w:ind w:left="0"/>
              <w:rPr>
                <w:sz w:val="24"/>
                <w:szCs w:val="24"/>
              </w:rPr>
            </w:pPr>
            <w:r>
              <w:rPr>
                <w:sz w:val="24"/>
                <w:szCs w:val="24"/>
              </w:rPr>
              <w:lastRenderedPageBreak/>
              <w:t>None identified.</w:t>
            </w:r>
          </w:p>
        </w:tc>
      </w:tr>
      <w:tr w:rsidR="00E874C9" w14:paraId="25ADD45F" w14:textId="77777777" w:rsidTr="00E874C9">
        <w:tc>
          <w:tcPr>
            <w:tcW w:w="12955" w:type="dxa"/>
            <w:gridSpan w:val="4"/>
            <w:shd w:val="clear" w:color="auto" w:fill="D9D9D9" w:themeFill="background1" w:themeFillShade="D9"/>
          </w:tcPr>
          <w:p w14:paraId="5EC77A5B" w14:textId="5F5658B6" w:rsidR="00E874C9" w:rsidRPr="00E874C9" w:rsidRDefault="00E874C9" w:rsidP="00E874C9">
            <w:pPr>
              <w:pStyle w:val="ListParagraph"/>
              <w:ind w:left="0"/>
              <w:jc w:val="both"/>
              <w:rPr>
                <w:b/>
                <w:bCs/>
                <w:sz w:val="24"/>
                <w:szCs w:val="24"/>
              </w:rPr>
            </w:pPr>
            <w:r>
              <w:rPr>
                <w:b/>
                <w:bCs/>
                <w:sz w:val="24"/>
                <w:szCs w:val="24"/>
              </w:rPr>
              <w:t>Strategy/Activity: Surveillance</w:t>
            </w:r>
          </w:p>
        </w:tc>
      </w:tr>
      <w:tr w:rsidR="00E874C9" w:rsidRPr="006A1DDB" w14:paraId="785E7773" w14:textId="77777777" w:rsidTr="00587797">
        <w:tc>
          <w:tcPr>
            <w:tcW w:w="2970" w:type="dxa"/>
            <w:shd w:val="clear" w:color="auto" w:fill="F2F2F2" w:themeFill="background1" w:themeFillShade="F2"/>
            <w:vAlign w:val="center"/>
          </w:tcPr>
          <w:p w14:paraId="6B0228B7" w14:textId="77777777" w:rsidR="00E874C9" w:rsidRPr="006A1DDB" w:rsidRDefault="00E874C9" w:rsidP="0021319E">
            <w:pPr>
              <w:pStyle w:val="ListParagraph"/>
              <w:ind w:left="0"/>
              <w:jc w:val="center"/>
              <w:rPr>
                <w:b/>
                <w:bCs/>
                <w:sz w:val="24"/>
                <w:szCs w:val="24"/>
              </w:rPr>
            </w:pPr>
            <w:r>
              <w:rPr>
                <w:b/>
                <w:bCs/>
                <w:sz w:val="24"/>
                <w:szCs w:val="24"/>
              </w:rPr>
              <w:t>Short-Term Outcome</w:t>
            </w:r>
          </w:p>
        </w:tc>
        <w:tc>
          <w:tcPr>
            <w:tcW w:w="4243" w:type="dxa"/>
            <w:shd w:val="clear" w:color="auto" w:fill="F2F2F2" w:themeFill="background1" w:themeFillShade="F2"/>
            <w:vAlign w:val="center"/>
          </w:tcPr>
          <w:p w14:paraId="4CE0D80F" w14:textId="77777777" w:rsidR="00E874C9" w:rsidRPr="006A1DDB" w:rsidRDefault="00E874C9" w:rsidP="0021319E">
            <w:pPr>
              <w:pStyle w:val="ListParagraph"/>
              <w:ind w:left="0"/>
              <w:jc w:val="center"/>
              <w:rPr>
                <w:b/>
                <w:bCs/>
                <w:sz w:val="24"/>
                <w:szCs w:val="24"/>
              </w:rPr>
            </w:pPr>
            <w:r>
              <w:rPr>
                <w:b/>
                <w:bCs/>
                <w:sz w:val="24"/>
                <w:szCs w:val="24"/>
              </w:rPr>
              <w:t>Planned Program Activities</w:t>
            </w:r>
          </w:p>
        </w:tc>
        <w:tc>
          <w:tcPr>
            <w:tcW w:w="2974" w:type="dxa"/>
            <w:shd w:val="clear" w:color="auto" w:fill="F2F2F2" w:themeFill="background1" w:themeFillShade="F2"/>
            <w:vAlign w:val="center"/>
          </w:tcPr>
          <w:p w14:paraId="68CDA0B9" w14:textId="77777777" w:rsidR="00E874C9" w:rsidRPr="006A1DDB" w:rsidRDefault="00E874C9" w:rsidP="0021319E">
            <w:pPr>
              <w:pStyle w:val="ListParagraph"/>
              <w:ind w:left="0"/>
              <w:jc w:val="center"/>
              <w:rPr>
                <w:b/>
                <w:bCs/>
                <w:sz w:val="24"/>
                <w:szCs w:val="24"/>
              </w:rPr>
            </w:pPr>
            <w:r>
              <w:rPr>
                <w:b/>
                <w:bCs/>
                <w:sz w:val="24"/>
                <w:szCs w:val="24"/>
              </w:rPr>
              <w:t>Accomplishments</w:t>
            </w:r>
          </w:p>
        </w:tc>
        <w:tc>
          <w:tcPr>
            <w:tcW w:w="2768" w:type="dxa"/>
            <w:shd w:val="clear" w:color="auto" w:fill="F2F2F2" w:themeFill="background1" w:themeFillShade="F2"/>
            <w:vAlign w:val="center"/>
          </w:tcPr>
          <w:p w14:paraId="339BBAEA" w14:textId="77777777" w:rsidR="00E874C9" w:rsidRPr="006A1DDB" w:rsidRDefault="00E874C9" w:rsidP="0021319E">
            <w:pPr>
              <w:pStyle w:val="ListParagraph"/>
              <w:ind w:left="0"/>
              <w:jc w:val="center"/>
              <w:rPr>
                <w:b/>
                <w:bCs/>
                <w:sz w:val="24"/>
                <w:szCs w:val="24"/>
              </w:rPr>
            </w:pPr>
            <w:r>
              <w:rPr>
                <w:b/>
                <w:bCs/>
                <w:sz w:val="24"/>
                <w:szCs w:val="24"/>
              </w:rPr>
              <w:t>Barriers</w:t>
            </w:r>
          </w:p>
        </w:tc>
      </w:tr>
      <w:tr w:rsidR="00BB2417" w14:paraId="46E7198E" w14:textId="77777777" w:rsidTr="00E874C9">
        <w:tc>
          <w:tcPr>
            <w:tcW w:w="2970" w:type="dxa"/>
          </w:tcPr>
          <w:p w14:paraId="0EB27C1C" w14:textId="36A71ACA" w:rsidR="00BB2417" w:rsidRPr="006A1DDB" w:rsidRDefault="00587797" w:rsidP="006A1DDB">
            <w:pPr>
              <w:pStyle w:val="ListParagraph"/>
              <w:ind w:left="0"/>
              <w:rPr>
                <w:sz w:val="24"/>
                <w:szCs w:val="24"/>
              </w:rPr>
            </w:pPr>
            <w:r>
              <w:rPr>
                <w:sz w:val="24"/>
                <w:szCs w:val="24"/>
              </w:rPr>
              <w:t>Increase in national accuracy and completeness of surveillance, genotyping, and whole-genome sequencing data</w:t>
            </w:r>
          </w:p>
        </w:tc>
        <w:tc>
          <w:tcPr>
            <w:tcW w:w="4243" w:type="dxa"/>
          </w:tcPr>
          <w:p w14:paraId="704FE7FB" w14:textId="5EFA4588" w:rsidR="00BB2417" w:rsidRPr="006A1DDB" w:rsidRDefault="00B67F36" w:rsidP="006A1DDB">
            <w:pPr>
              <w:pStyle w:val="ListParagraph"/>
              <w:ind w:left="0"/>
              <w:rPr>
                <w:sz w:val="24"/>
                <w:szCs w:val="24"/>
              </w:rPr>
            </w:pPr>
            <w:r>
              <w:rPr>
                <w:sz w:val="24"/>
                <w:szCs w:val="24"/>
              </w:rPr>
              <w:t xml:space="preserve">Perform more frequent data quality </w:t>
            </w:r>
            <w:r w:rsidR="0009754E">
              <w:rPr>
                <w:sz w:val="24"/>
                <w:szCs w:val="24"/>
              </w:rPr>
              <w:t>assurance</w:t>
            </w:r>
            <w:r w:rsidR="00F27A3E">
              <w:rPr>
                <w:sz w:val="24"/>
                <w:szCs w:val="24"/>
              </w:rPr>
              <w:t xml:space="preserve"> </w:t>
            </w:r>
            <w:r w:rsidR="0009754E">
              <w:rPr>
                <w:sz w:val="24"/>
                <w:szCs w:val="24"/>
              </w:rPr>
              <w:t>(QA).</w:t>
            </w:r>
            <w:r>
              <w:rPr>
                <w:sz w:val="24"/>
                <w:szCs w:val="24"/>
              </w:rPr>
              <w:t xml:space="preserve"> </w:t>
            </w:r>
          </w:p>
        </w:tc>
        <w:tc>
          <w:tcPr>
            <w:tcW w:w="2974" w:type="dxa"/>
          </w:tcPr>
          <w:p w14:paraId="44836FA9" w14:textId="6FC5DCFA" w:rsidR="00BB2417" w:rsidRPr="006A1DDB" w:rsidRDefault="00F27A3E" w:rsidP="006A1DDB">
            <w:pPr>
              <w:pStyle w:val="ListParagraph"/>
              <w:ind w:left="0"/>
              <w:rPr>
                <w:sz w:val="24"/>
                <w:szCs w:val="24"/>
              </w:rPr>
            </w:pPr>
            <w:r>
              <w:rPr>
                <w:sz w:val="24"/>
                <w:szCs w:val="24"/>
              </w:rPr>
              <w:t>Utilization of NTIP line list reports of cases not meeting indicators prompted a thorough review of all cases not meeting each indicator.  This review resulted in the identification of 33 cases that did not meet seven (7) single or multiple NTIP indicators due to missing or incorrect data.  Data were added or corrected which resulted in these cases meeting the particular indicator(s).</w:t>
            </w:r>
          </w:p>
        </w:tc>
        <w:tc>
          <w:tcPr>
            <w:tcW w:w="2768" w:type="dxa"/>
          </w:tcPr>
          <w:p w14:paraId="015F7A65" w14:textId="3200EC08" w:rsidR="00BB2417" w:rsidRPr="006A1DDB" w:rsidRDefault="0009754E" w:rsidP="006A1DDB">
            <w:pPr>
              <w:pStyle w:val="ListParagraph"/>
              <w:ind w:left="0"/>
              <w:rPr>
                <w:sz w:val="24"/>
                <w:szCs w:val="24"/>
              </w:rPr>
            </w:pPr>
            <w:r>
              <w:rPr>
                <w:sz w:val="24"/>
                <w:szCs w:val="24"/>
              </w:rPr>
              <w:t xml:space="preserve">Data </w:t>
            </w:r>
            <w:r w:rsidR="00F27A3E">
              <w:rPr>
                <w:sz w:val="24"/>
                <w:szCs w:val="24"/>
              </w:rPr>
              <w:t>QA is performed by state TTBEP epidemiologists.  During the COVID-19 pandemic, central office TB staff were assigned to the COVID-19 response and routine data QA was not performed.</w:t>
            </w:r>
          </w:p>
        </w:tc>
      </w:tr>
      <w:tr w:rsidR="00BB2417" w14:paraId="5BBF6BD1" w14:textId="77777777" w:rsidTr="00E874C9">
        <w:tc>
          <w:tcPr>
            <w:tcW w:w="2970" w:type="dxa"/>
          </w:tcPr>
          <w:p w14:paraId="4DD270E5" w14:textId="0A79D09C" w:rsidR="00BB2417" w:rsidRPr="006A1DDB" w:rsidRDefault="00587797" w:rsidP="006A1DDB">
            <w:pPr>
              <w:pStyle w:val="ListParagraph"/>
              <w:ind w:left="0"/>
              <w:rPr>
                <w:sz w:val="24"/>
                <w:szCs w:val="24"/>
              </w:rPr>
            </w:pPr>
            <w:r>
              <w:rPr>
                <w:sz w:val="24"/>
                <w:szCs w:val="24"/>
              </w:rPr>
              <w:t>Increase in cases genotyped and linked to surveillance data</w:t>
            </w:r>
          </w:p>
        </w:tc>
        <w:tc>
          <w:tcPr>
            <w:tcW w:w="4243" w:type="dxa"/>
          </w:tcPr>
          <w:p w14:paraId="1D41F170" w14:textId="16AA31F6" w:rsidR="00BB2417" w:rsidRPr="006A1DDB" w:rsidRDefault="00875419" w:rsidP="006A1DDB">
            <w:pPr>
              <w:pStyle w:val="ListParagraph"/>
              <w:ind w:left="0"/>
              <w:rPr>
                <w:sz w:val="24"/>
                <w:szCs w:val="24"/>
              </w:rPr>
            </w:pPr>
            <w:r>
              <w:rPr>
                <w:sz w:val="24"/>
                <w:szCs w:val="24"/>
              </w:rPr>
              <w:t xml:space="preserve">Early identification of culture-positive cases for which a reference isolate was not received by the Tennessee Department of Health, Division of Laboratory Services. </w:t>
            </w:r>
          </w:p>
        </w:tc>
        <w:tc>
          <w:tcPr>
            <w:tcW w:w="2974" w:type="dxa"/>
          </w:tcPr>
          <w:p w14:paraId="05D823EB" w14:textId="0E2A0F1E" w:rsidR="00BB2417" w:rsidRPr="00875419" w:rsidRDefault="00875419" w:rsidP="006A1DDB">
            <w:pPr>
              <w:pStyle w:val="ListParagraph"/>
              <w:ind w:left="0"/>
              <w:rPr>
                <w:i/>
                <w:iCs/>
                <w:sz w:val="24"/>
                <w:szCs w:val="24"/>
              </w:rPr>
            </w:pPr>
            <w:r>
              <w:rPr>
                <w:sz w:val="24"/>
                <w:szCs w:val="24"/>
              </w:rPr>
              <w:t>A database was created that identifies all culture positive cases whose culture was processed and identified as M. tb from a non-public health laboratory.</w:t>
            </w:r>
          </w:p>
        </w:tc>
        <w:tc>
          <w:tcPr>
            <w:tcW w:w="2768" w:type="dxa"/>
          </w:tcPr>
          <w:p w14:paraId="3EFA4629" w14:textId="77777777" w:rsidR="00BB2417" w:rsidRDefault="00875419" w:rsidP="006A1DDB">
            <w:pPr>
              <w:pStyle w:val="ListParagraph"/>
              <w:ind w:left="0"/>
              <w:rPr>
                <w:sz w:val="24"/>
                <w:szCs w:val="24"/>
              </w:rPr>
            </w:pPr>
            <w:r>
              <w:rPr>
                <w:sz w:val="24"/>
                <w:szCs w:val="24"/>
              </w:rPr>
              <w:t xml:space="preserve">Due to the COVID-19 pandemic, follow-up with non-public health laboratories regarding the </w:t>
            </w:r>
            <w:r w:rsidR="005A1837">
              <w:rPr>
                <w:sz w:val="24"/>
                <w:szCs w:val="24"/>
              </w:rPr>
              <w:t xml:space="preserve">requirements for sending a reference isolate for confirmation, DST, and genotyping was not done. </w:t>
            </w:r>
          </w:p>
          <w:p w14:paraId="3587B33F" w14:textId="77777777" w:rsidR="005A1837" w:rsidRDefault="005A1837" w:rsidP="006A1DDB">
            <w:pPr>
              <w:pStyle w:val="ListParagraph"/>
              <w:ind w:left="0"/>
              <w:rPr>
                <w:sz w:val="24"/>
                <w:szCs w:val="24"/>
              </w:rPr>
            </w:pPr>
          </w:p>
          <w:p w14:paraId="018085D2" w14:textId="77777777" w:rsidR="005A1837" w:rsidRDefault="005A1837" w:rsidP="006A1DDB">
            <w:pPr>
              <w:pStyle w:val="ListParagraph"/>
              <w:ind w:left="0"/>
              <w:rPr>
                <w:sz w:val="24"/>
                <w:szCs w:val="24"/>
              </w:rPr>
            </w:pPr>
          </w:p>
          <w:p w14:paraId="4FE693C2" w14:textId="31F43ACD" w:rsidR="005A1837" w:rsidRPr="006A1DDB" w:rsidRDefault="005A1837" w:rsidP="006A1DDB">
            <w:pPr>
              <w:pStyle w:val="ListParagraph"/>
              <w:ind w:left="0"/>
              <w:rPr>
                <w:sz w:val="24"/>
                <w:szCs w:val="24"/>
              </w:rPr>
            </w:pPr>
          </w:p>
        </w:tc>
      </w:tr>
      <w:tr w:rsidR="00587797" w14:paraId="1695800D" w14:textId="77777777" w:rsidTr="00587797">
        <w:tc>
          <w:tcPr>
            <w:tcW w:w="12955" w:type="dxa"/>
            <w:gridSpan w:val="4"/>
            <w:shd w:val="clear" w:color="auto" w:fill="D9D9D9" w:themeFill="background1" w:themeFillShade="D9"/>
          </w:tcPr>
          <w:p w14:paraId="1A5A55AD" w14:textId="049C2175" w:rsidR="00587797" w:rsidRPr="00587797" w:rsidRDefault="00587797" w:rsidP="00587797">
            <w:pPr>
              <w:pStyle w:val="ListParagraph"/>
              <w:ind w:left="0"/>
              <w:jc w:val="both"/>
              <w:rPr>
                <w:b/>
                <w:bCs/>
                <w:sz w:val="24"/>
                <w:szCs w:val="24"/>
              </w:rPr>
            </w:pPr>
            <w:r>
              <w:rPr>
                <w:b/>
                <w:bCs/>
                <w:sz w:val="24"/>
                <w:szCs w:val="24"/>
              </w:rPr>
              <w:lastRenderedPageBreak/>
              <w:t>Strategy/Activity: Human resources development (HRD) and partnerships</w:t>
            </w:r>
          </w:p>
        </w:tc>
      </w:tr>
      <w:tr w:rsidR="00587797" w:rsidRPr="006A1DDB" w14:paraId="0E14F930" w14:textId="77777777" w:rsidTr="00587797">
        <w:tc>
          <w:tcPr>
            <w:tcW w:w="2970" w:type="dxa"/>
            <w:shd w:val="clear" w:color="auto" w:fill="F2F2F2" w:themeFill="background1" w:themeFillShade="F2"/>
            <w:vAlign w:val="center"/>
          </w:tcPr>
          <w:p w14:paraId="74BC274B" w14:textId="77777777" w:rsidR="00587797" w:rsidRPr="006A1DDB" w:rsidRDefault="00587797" w:rsidP="0021319E">
            <w:pPr>
              <w:pStyle w:val="ListParagraph"/>
              <w:ind w:left="0"/>
              <w:jc w:val="center"/>
              <w:rPr>
                <w:b/>
                <w:bCs/>
                <w:sz w:val="24"/>
                <w:szCs w:val="24"/>
              </w:rPr>
            </w:pPr>
            <w:r>
              <w:rPr>
                <w:b/>
                <w:bCs/>
                <w:sz w:val="24"/>
                <w:szCs w:val="24"/>
              </w:rPr>
              <w:t>Short-Term Outcome</w:t>
            </w:r>
          </w:p>
        </w:tc>
        <w:tc>
          <w:tcPr>
            <w:tcW w:w="4243" w:type="dxa"/>
            <w:shd w:val="clear" w:color="auto" w:fill="F2F2F2" w:themeFill="background1" w:themeFillShade="F2"/>
            <w:vAlign w:val="center"/>
          </w:tcPr>
          <w:p w14:paraId="713C6560" w14:textId="77777777" w:rsidR="00587797" w:rsidRPr="006A1DDB" w:rsidRDefault="00587797" w:rsidP="0021319E">
            <w:pPr>
              <w:pStyle w:val="ListParagraph"/>
              <w:ind w:left="0"/>
              <w:jc w:val="center"/>
              <w:rPr>
                <w:b/>
                <w:bCs/>
                <w:sz w:val="24"/>
                <w:szCs w:val="24"/>
              </w:rPr>
            </w:pPr>
            <w:r>
              <w:rPr>
                <w:b/>
                <w:bCs/>
                <w:sz w:val="24"/>
                <w:szCs w:val="24"/>
              </w:rPr>
              <w:t>Planned Program Activities</w:t>
            </w:r>
          </w:p>
        </w:tc>
        <w:tc>
          <w:tcPr>
            <w:tcW w:w="2974" w:type="dxa"/>
            <w:shd w:val="clear" w:color="auto" w:fill="F2F2F2" w:themeFill="background1" w:themeFillShade="F2"/>
            <w:vAlign w:val="center"/>
          </w:tcPr>
          <w:p w14:paraId="3509FAE7" w14:textId="77777777" w:rsidR="00587797" w:rsidRPr="006A1DDB" w:rsidRDefault="00587797" w:rsidP="0021319E">
            <w:pPr>
              <w:pStyle w:val="ListParagraph"/>
              <w:ind w:left="0"/>
              <w:jc w:val="center"/>
              <w:rPr>
                <w:b/>
                <w:bCs/>
                <w:sz w:val="24"/>
                <w:szCs w:val="24"/>
              </w:rPr>
            </w:pPr>
            <w:r>
              <w:rPr>
                <w:b/>
                <w:bCs/>
                <w:sz w:val="24"/>
                <w:szCs w:val="24"/>
              </w:rPr>
              <w:t>Accomplishments</w:t>
            </w:r>
          </w:p>
        </w:tc>
        <w:tc>
          <w:tcPr>
            <w:tcW w:w="2768" w:type="dxa"/>
            <w:shd w:val="clear" w:color="auto" w:fill="F2F2F2" w:themeFill="background1" w:themeFillShade="F2"/>
            <w:vAlign w:val="center"/>
          </w:tcPr>
          <w:p w14:paraId="5AEB4077" w14:textId="77777777" w:rsidR="00587797" w:rsidRPr="006A1DDB" w:rsidRDefault="00587797" w:rsidP="0021319E">
            <w:pPr>
              <w:pStyle w:val="ListParagraph"/>
              <w:ind w:left="0"/>
              <w:jc w:val="center"/>
              <w:rPr>
                <w:b/>
                <w:bCs/>
                <w:sz w:val="24"/>
                <w:szCs w:val="24"/>
              </w:rPr>
            </w:pPr>
            <w:r>
              <w:rPr>
                <w:b/>
                <w:bCs/>
                <w:sz w:val="24"/>
                <w:szCs w:val="24"/>
              </w:rPr>
              <w:t>Barriers</w:t>
            </w:r>
          </w:p>
        </w:tc>
      </w:tr>
      <w:tr w:rsidR="00587797" w14:paraId="6CD25C28" w14:textId="77777777" w:rsidTr="00E874C9">
        <w:tc>
          <w:tcPr>
            <w:tcW w:w="2970" w:type="dxa"/>
          </w:tcPr>
          <w:p w14:paraId="68B28916" w14:textId="77777777" w:rsidR="00587797" w:rsidRDefault="00022DC6" w:rsidP="006A1DDB">
            <w:pPr>
              <w:pStyle w:val="ListParagraph"/>
              <w:ind w:left="0"/>
              <w:rPr>
                <w:sz w:val="24"/>
                <w:szCs w:val="24"/>
              </w:rPr>
            </w:pPr>
            <w:r>
              <w:rPr>
                <w:sz w:val="24"/>
                <w:szCs w:val="24"/>
              </w:rPr>
              <w:t>Increase in availability/accessibility of competency-based education/training</w:t>
            </w:r>
          </w:p>
          <w:p w14:paraId="3D85189B" w14:textId="2A67BC60" w:rsidR="00022DC6" w:rsidRPr="006A1DDB" w:rsidRDefault="00022DC6" w:rsidP="006A1DDB">
            <w:pPr>
              <w:pStyle w:val="ListParagraph"/>
              <w:ind w:left="0"/>
              <w:rPr>
                <w:sz w:val="24"/>
                <w:szCs w:val="24"/>
              </w:rPr>
            </w:pPr>
          </w:p>
        </w:tc>
        <w:tc>
          <w:tcPr>
            <w:tcW w:w="4243" w:type="dxa"/>
          </w:tcPr>
          <w:p w14:paraId="360DC1BC" w14:textId="3F4B78AB" w:rsidR="00587797" w:rsidRPr="006A1DDB" w:rsidRDefault="00AA4677" w:rsidP="006A1DDB">
            <w:pPr>
              <w:pStyle w:val="ListParagraph"/>
              <w:ind w:left="0"/>
              <w:rPr>
                <w:sz w:val="24"/>
                <w:szCs w:val="24"/>
              </w:rPr>
            </w:pPr>
            <w:r>
              <w:rPr>
                <w:sz w:val="24"/>
                <w:szCs w:val="24"/>
              </w:rPr>
              <w:t xml:space="preserve">Continue to identify educational opportunities for state, regional, and local TB staff. </w:t>
            </w:r>
          </w:p>
        </w:tc>
        <w:tc>
          <w:tcPr>
            <w:tcW w:w="2974" w:type="dxa"/>
          </w:tcPr>
          <w:p w14:paraId="48CE1174" w14:textId="2151B68E" w:rsidR="00587797" w:rsidRPr="006A1DDB" w:rsidRDefault="00AA4677" w:rsidP="006A1DDB">
            <w:pPr>
              <w:pStyle w:val="ListParagraph"/>
              <w:ind w:left="0"/>
              <w:rPr>
                <w:sz w:val="24"/>
                <w:szCs w:val="24"/>
              </w:rPr>
            </w:pPr>
            <w:r>
              <w:rPr>
                <w:sz w:val="24"/>
                <w:szCs w:val="24"/>
              </w:rPr>
              <w:t>The TTBEP education focal point is on the list serve for educational opportunities from all Centers of Excellence as well as other national partners.</w:t>
            </w:r>
          </w:p>
        </w:tc>
        <w:tc>
          <w:tcPr>
            <w:tcW w:w="2768" w:type="dxa"/>
          </w:tcPr>
          <w:p w14:paraId="248065E9" w14:textId="6FC6C09A" w:rsidR="00587797" w:rsidRPr="006A1DDB" w:rsidRDefault="00AA4677" w:rsidP="006A1DDB">
            <w:pPr>
              <w:pStyle w:val="ListParagraph"/>
              <w:ind w:left="0"/>
              <w:rPr>
                <w:sz w:val="24"/>
                <w:szCs w:val="24"/>
              </w:rPr>
            </w:pPr>
            <w:r>
              <w:rPr>
                <w:sz w:val="24"/>
                <w:szCs w:val="24"/>
              </w:rPr>
              <w:t>Due to the COVID-19 pandemic, the availability and participation of state, regional, and local TB staff in educational opportunities decreased throughout 2020 and into 2021.</w:t>
            </w:r>
          </w:p>
        </w:tc>
      </w:tr>
      <w:tr w:rsidR="00022DC6" w14:paraId="33C35989" w14:textId="77777777" w:rsidTr="00022DC6">
        <w:tc>
          <w:tcPr>
            <w:tcW w:w="12955" w:type="dxa"/>
            <w:gridSpan w:val="4"/>
            <w:shd w:val="clear" w:color="auto" w:fill="D9D9D9" w:themeFill="background1" w:themeFillShade="D9"/>
          </w:tcPr>
          <w:p w14:paraId="22FBDFBF" w14:textId="2ADAA4CE" w:rsidR="00022DC6" w:rsidRPr="00022DC6" w:rsidRDefault="00022DC6" w:rsidP="006A1DDB">
            <w:pPr>
              <w:pStyle w:val="ListParagraph"/>
              <w:ind w:left="0"/>
              <w:rPr>
                <w:b/>
                <w:bCs/>
                <w:sz w:val="24"/>
                <w:szCs w:val="24"/>
              </w:rPr>
            </w:pPr>
            <w:r>
              <w:rPr>
                <w:b/>
                <w:bCs/>
                <w:sz w:val="24"/>
                <w:szCs w:val="24"/>
              </w:rPr>
              <w:t>Strategy/Activity: Laboratory Strengthening</w:t>
            </w:r>
          </w:p>
        </w:tc>
      </w:tr>
      <w:tr w:rsidR="00022DC6" w:rsidRPr="006A1DDB" w14:paraId="408B0022" w14:textId="77777777" w:rsidTr="00022DC6">
        <w:tc>
          <w:tcPr>
            <w:tcW w:w="2970" w:type="dxa"/>
            <w:shd w:val="clear" w:color="auto" w:fill="F2F2F2" w:themeFill="background1" w:themeFillShade="F2"/>
            <w:vAlign w:val="center"/>
          </w:tcPr>
          <w:p w14:paraId="59903893" w14:textId="77777777" w:rsidR="00022DC6" w:rsidRPr="006A1DDB" w:rsidRDefault="00022DC6" w:rsidP="0021319E">
            <w:pPr>
              <w:pStyle w:val="ListParagraph"/>
              <w:ind w:left="0"/>
              <w:jc w:val="center"/>
              <w:rPr>
                <w:b/>
                <w:bCs/>
                <w:sz w:val="24"/>
                <w:szCs w:val="24"/>
              </w:rPr>
            </w:pPr>
            <w:r>
              <w:rPr>
                <w:b/>
                <w:bCs/>
                <w:sz w:val="24"/>
                <w:szCs w:val="24"/>
              </w:rPr>
              <w:t>Short-Term Outcome</w:t>
            </w:r>
          </w:p>
        </w:tc>
        <w:tc>
          <w:tcPr>
            <w:tcW w:w="4243" w:type="dxa"/>
            <w:shd w:val="clear" w:color="auto" w:fill="F2F2F2" w:themeFill="background1" w:themeFillShade="F2"/>
            <w:vAlign w:val="center"/>
          </w:tcPr>
          <w:p w14:paraId="0CD74768" w14:textId="77777777" w:rsidR="00022DC6" w:rsidRPr="006A1DDB" w:rsidRDefault="00022DC6" w:rsidP="0021319E">
            <w:pPr>
              <w:pStyle w:val="ListParagraph"/>
              <w:ind w:left="0"/>
              <w:jc w:val="center"/>
              <w:rPr>
                <w:b/>
                <w:bCs/>
                <w:sz w:val="24"/>
                <w:szCs w:val="24"/>
              </w:rPr>
            </w:pPr>
            <w:r>
              <w:rPr>
                <w:b/>
                <w:bCs/>
                <w:sz w:val="24"/>
                <w:szCs w:val="24"/>
              </w:rPr>
              <w:t>Planned Program Activities</w:t>
            </w:r>
          </w:p>
        </w:tc>
        <w:tc>
          <w:tcPr>
            <w:tcW w:w="2974" w:type="dxa"/>
            <w:shd w:val="clear" w:color="auto" w:fill="F2F2F2" w:themeFill="background1" w:themeFillShade="F2"/>
            <w:vAlign w:val="center"/>
          </w:tcPr>
          <w:p w14:paraId="39DB18C1" w14:textId="77777777" w:rsidR="00022DC6" w:rsidRPr="006A1DDB" w:rsidRDefault="00022DC6" w:rsidP="0021319E">
            <w:pPr>
              <w:pStyle w:val="ListParagraph"/>
              <w:ind w:left="0"/>
              <w:jc w:val="center"/>
              <w:rPr>
                <w:b/>
                <w:bCs/>
                <w:sz w:val="24"/>
                <w:szCs w:val="24"/>
              </w:rPr>
            </w:pPr>
            <w:r>
              <w:rPr>
                <w:b/>
                <w:bCs/>
                <w:sz w:val="24"/>
                <w:szCs w:val="24"/>
              </w:rPr>
              <w:t>Accomplishments</w:t>
            </w:r>
          </w:p>
        </w:tc>
        <w:tc>
          <w:tcPr>
            <w:tcW w:w="2768" w:type="dxa"/>
            <w:shd w:val="clear" w:color="auto" w:fill="F2F2F2" w:themeFill="background1" w:themeFillShade="F2"/>
            <w:vAlign w:val="center"/>
          </w:tcPr>
          <w:p w14:paraId="255171E4" w14:textId="77777777" w:rsidR="00022DC6" w:rsidRPr="006A1DDB" w:rsidRDefault="00022DC6" w:rsidP="0021319E">
            <w:pPr>
              <w:pStyle w:val="ListParagraph"/>
              <w:ind w:left="0"/>
              <w:jc w:val="center"/>
              <w:rPr>
                <w:b/>
                <w:bCs/>
                <w:sz w:val="24"/>
                <w:szCs w:val="24"/>
              </w:rPr>
            </w:pPr>
            <w:r>
              <w:rPr>
                <w:b/>
                <w:bCs/>
                <w:sz w:val="24"/>
                <w:szCs w:val="24"/>
              </w:rPr>
              <w:t>Barriers</w:t>
            </w:r>
          </w:p>
        </w:tc>
      </w:tr>
      <w:tr w:rsidR="00587797" w14:paraId="17CB9CE2" w14:textId="77777777" w:rsidTr="00E874C9">
        <w:tc>
          <w:tcPr>
            <w:tcW w:w="2970" w:type="dxa"/>
          </w:tcPr>
          <w:p w14:paraId="11098D05" w14:textId="59EC8B45" w:rsidR="00587797" w:rsidRPr="006A1DDB" w:rsidRDefault="004A531F" w:rsidP="006A1DDB">
            <w:pPr>
              <w:pStyle w:val="ListParagraph"/>
              <w:ind w:left="0"/>
              <w:rPr>
                <w:sz w:val="24"/>
                <w:szCs w:val="24"/>
              </w:rPr>
            </w:pPr>
            <w:r>
              <w:rPr>
                <w:sz w:val="24"/>
                <w:szCs w:val="24"/>
              </w:rPr>
              <w:t>Decrease in TATs for specimen receipt, acid-fast bacillus smear, NAA identification, identification of MTBC, and growth-based or molecular drug-susceptibility testing</w:t>
            </w:r>
          </w:p>
        </w:tc>
        <w:tc>
          <w:tcPr>
            <w:tcW w:w="4243" w:type="dxa"/>
          </w:tcPr>
          <w:p w14:paraId="3673C266" w14:textId="7795D7CF" w:rsidR="00587797" w:rsidRPr="006A1DDB" w:rsidRDefault="00074A62" w:rsidP="006A1DDB">
            <w:pPr>
              <w:pStyle w:val="ListParagraph"/>
              <w:ind w:left="0"/>
              <w:rPr>
                <w:sz w:val="24"/>
                <w:szCs w:val="24"/>
              </w:rPr>
            </w:pPr>
            <w:r>
              <w:rPr>
                <w:sz w:val="24"/>
                <w:szCs w:val="24"/>
              </w:rPr>
              <w:t>Identify specimens above the established thresholds for TATs.  Identify opportunities for improvement in TATs.</w:t>
            </w:r>
          </w:p>
        </w:tc>
        <w:tc>
          <w:tcPr>
            <w:tcW w:w="2974" w:type="dxa"/>
          </w:tcPr>
          <w:p w14:paraId="11F584C5" w14:textId="18384FD9" w:rsidR="00587797" w:rsidRPr="006A1DDB" w:rsidRDefault="008A03CD" w:rsidP="006A1DDB">
            <w:pPr>
              <w:pStyle w:val="ListParagraph"/>
              <w:ind w:left="0"/>
              <w:rPr>
                <w:sz w:val="24"/>
                <w:szCs w:val="24"/>
              </w:rPr>
            </w:pPr>
            <w:r>
              <w:rPr>
                <w:sz w:val="24"/>
                <w:szCs w:val="24"/>
              </w:rPr>
              <w:t>The Tennessee Department of Health, Division of Laboratory services sends a quarterly TAT report to the TTBEP program manager for review.</w:t>
            </w:r>
          </w:p>
        </w:tc>
        <w:tc>
          <w:tcPr>
            <w:tcW w:w="2768" w:type="dxa"/>
          </w:tcPr>
          <w:p w14:paraId="12F33882" w14:textId="229090F5" w:rsidR="00587797" w:rsidRPr="006A1DDB" w:rsidRDefault="008A03CD" w:rsidP="006A1DDB">
            <w:pPr>
              <w:pStyle w:val="ListParagraph"/>
              <w:ind w:left="0"/>
              <w:rPr>
                <w:sz w:val="24"/>
                <w:szCs w:val="24"/>
              </w:rPr>
            </w:pPr>
            <w:r>
              <w:rPr>
                <w:sz w:val="24"/>
                <w:szCs w:val="24"/>
              </w:rPr>
              <w:t>The COVID-19 pandemic caused delays in specimen collection and receipt at the lab which resulted in an increase in TATs.</w:t>
            </w:r>
          </w:p>
        </w:tc>
      </w:tr>
    </w:tbl>
    <w:p w14:paraId="085E580F" w14:textId="77777777" w:rsidR="008E52B2" w:rsidRDefault="008E52B2" w:rsidP="00054B01">
      <w:pPr>
        <w:spacing w:after="0" w:line="240" w:lineRule="auto"/>
        <w:rPr>
          <w:b/>
          <w:bCs/>
          <w:sz w:val="24"/>
          <w:szCs w:val="24"/>
        </w:rPr>
      </w:pPr>
    </w:p>
    <w:p w14:paraId="342D6B40" w14:textId="77777777" w:rsidR="00054B01" w:rsidRDefault="00054B01" w:rsidP="00054B01">
      <w:pPr>
        <w:spacing w:after="0" w:line="240" w:lineRule="auto"/>
        <w:rPr>
          <w:b/>
          <w:bCs/>
          <w:sz w:val="24"/>
          <w:szCs w:val="24"/>
          <w:u w:val="single"/>
        </w:rPr>
      </w:pPr>
      <w:r>
        <w:rPr>
          <w:b/>
          <w:bCs/>
          <w:sz w:val="24"/>
          <w:szCs w:val="24"/>
          <w:u w:val="single"/>
        </w:rPr>
        <w:t>Collaborations</w:t>
      </w:r>
    </w:p>
    <w:tbl>
      <w:tblPr>
        <w:tblStyle w:val="TableGrid"/>
        <w:tblW w:w="0" w:type="auto"/>
        <w:tblInd w:w="-5" w:type="dxa"/>
        <w:tblLook w:val="04A0" w:firstRow="1" w:lastRow="0" w:firstColumn="1" w:lastColumn="0" w:noHBand="0" w:noVBand="1"/>
      </w:tblPr>
      <w:tblGrid>
        <w:gridCol w:w="2965"/>
        <w:gridCol w:w="4230"/>
        <w:gridCol w:w="3060"/>
        <w:gridCol w:w="2700"/>
      </w:tblGrid>
      <w:tr w:rsidR="00131116" w:rsidRPr="006A1DDB" w14:paraId="2A03CA87" w14:textId="77777777" w:rsidTr="00131116">
        <w:tc>
          <w:tcPr>
            <w:tcW w:w="2965" w:type="dxa"/>
            <w:shd w:val="clear" w:color="auto" w:fill="F2F2F2" w:themeFill="background1" w:themeFillShade="F2"/>
            <w:vAlign w:val="center"/>
          </w:tcPr>
          <w:p w14:paraId="5CC963C6" w14:textId="303B7492" w:rsidR="00131116" w:rsidRPr="006A1DDB" w:rsidRDefault="00131116" w:rsidP="0021319E">
            <w:pPr>
              <w:pStyle w:val="ListParagraph"/>
              <w:ind w:left="0"/>
              <w:jc w:val="center"/>
              <w:rPr>
                <w:b/>
                <w:bCs/>
                <w:sz w:val="24"/>
                <w:szCs w:val="24"/>
              </w:rPr>
            </w:pPr>
            <w:bookmarkStart w:id="5" w:name="_Hlk75521701"/>
            <w:r>
              <w:rPr>
                <w:b/>
                <w:bCs/>
                <w:sz w:val="24"/>
                <w:szCs w:val="24"/>
              </w:rPr>
              <w:t xml:space="preserve">Outcome </w:t>
            </w:r>
          </w:p>
        </w:tc>
        <w:tc>
          <w:tcPr>
            <w:tcW w:w="4230" w:type="dxa"/>
            <w:shd w:val="clear" w:color="auto" w:fill="F2F2F2" w:themeFill="background1" w:themeFillShade="F2"/>
            <w:vAlign w:val="center"/>
          </w:tcPr>
          <w:p w14:paraId="35057979" w14:textId="77777777" w:rsidR="00131116" w:rsidRPr="006A1DDB" w:rsidRDefault="00131116" w:rsidP="0021319E">
            <w:pPr>
              <w:pStyle w:val="ListParagraph"/>
              <w:ind w:left="0"/>
              <w:jc w:val="center"/>
              <w:rPr>
                <w:b/>
                <w:bCs/>
                <w:sz w:val="24"/>
                <w:szCs w:val="24"/>
              </w:rPr>
            </w:pPr>
            <w:r>
              <w:rPr>
                <w:b/>
                <w:bCs/>
                <w:sz w:val="24"/>
                <w:szCs w:val="24"/>
              </w:rPr>
              <w:t>Planned Program Activities</w:t>
            </w:r>
          </w:p>
        </w:tc>
        <w:tc>
          <w:tcPr>
            <w:tcW w:w="3060" w:type="dxa"/>
            <w:shd w:val="clear" w:color="auto" w:fill="F2F2F2" w:themeFill="background1" w:themeFillShade="F2"/>
            <w:vAlign w:val="center"/>
          </w:tcPr>
          <w:p w14:paraId="2E11E8EE" w14:textId="77777777" w:rsidR="00131116" w:rsidRPr="006A1DDB" w:rsidRDefault="00131116" w:rsidP="0021319E">
            <w:pPr>
              <w:pStyle w:val="ListParagraph"/>
              <w:ind w:left="0"/>
              <w:jc w:val="center"/>
              <w:rPr>
                <w:b/>
                <w:bCs/>
                <w:sz w:val="24"/>
                <w:szCs w:val="24"/>
              </w:rPr>
            </w:pPr>
            <w:r>
              <w:rPr>
                <w:b/>
                <w:bCs/>
                <w:sz w:val="24"/>
                <w:szCs w:val="24"/>
              </w:rPr>
              <w:t>Accomplishments</w:t>
            </w:r>
          </w:p>
        </w:tc>
        <w:tc>
          <w:tcPr>
            <w:tcW w:w="2700" w:type="dxa"/>
            <w:shd w:val="clear" w:color="auto" w:fill="F2F2F2" w:themeFill="background1" w:themeFillShade="F2"/>
            <w:vAlign w:val="center"/>
          </w:tcPr>
          <w:p w14:paraId="0021C15D" w14:textId="77777777" w:rsidR="00131116" w:rsidRPr="006A1DDB" w:rsidRDefault="00131116" w:rsidP="0021319E">
            <w:pPr>
              <w:pStyle w:val="ListParagraph"/>
              <w:ind w:left="0"/>
              <w:jc w:val="center"/>
              <w:rPr>
                <w:b/>
                <w:bCs/>
                <w:sz w:val="24"/>
                <w:szCs w:val="24"/>
              </w:rPr>
            </w:pPr>
            <w:r>
              <w:rPr>
                <w:b/>
                <w:bCs/>
                <w:sz w:val="24"/>
                <w:szCs w:val="24"/>
              </w:rPr>
              <w:t>Barriers</w:t>
            </w:r>
          </w:p>
        </w:tc>
      </w:tr>
      <w:tr w:rsidR="00131116" w14:paraId="09A26A7C" w14:textId="77777777" w:rsidTr="00131116">
        <w:tc>
          <w:tcPr>
            <w:tcW w:w="2965" w:type="dxa"/>
          </w:tcPr>
          <w:p w14:paraId="7A47D634" w14:textId="486D312A" w:rsidR="00131116" w:rsidRDefault="00131116" w:rsidP="00054B01">
            <w:pPr>
              <w:rPr>
                <w:sz w:val="24"/>
                <w:szCs w:val="24"/>
              </w:rPr>
            </w:pPr>
            <w:r>
              <w:rPr>
                <w:sz w:val="24"/>
                <w:szCs w:val="24"/>
              </w:rPr>
              <w:t>Collaborate with CDC programs and CDC-funded organizations</w:t>
            </w:r>
          </w:p>
        </w:tc>
        <w:tc>
          <w:tcPr>
            <w:tcW w:w="4230" w:type="dxa"/>
          </w:tcPr>
          <w:p w14:paraId="30F191C9" w14:textId="272788AD" w:rsidR="00131116" w:rsidRDefault="005D16A4" w:rsidP="00054B01">
            <w:pPr>
              <w:rPr>
                <w:sz w:val="24"/>
                <w:szCs w:val="24"/>
              </w:rPr>
            </w:pPr>
            <w:r>
              <w:rPr>
                <w:sz w:val="24"/>
                <w:szCs w:val="24"/>
              </w:rPr>
              <w:t>Identify opportunities to collaborate with other CDC-funded organizations.</w:t>
            </w:r>
          </w:p>
        </w:tc>
        <w:tc>
          <w:tcPr>
            <w:tcW w:w="3060" w:type="dxa"/>
          </w:tcPr>
          <w:p w14:paraId="3E72A077" w14:textId="1AB31580" w:rsidR="00131116" w:rsidRDefault="005D16A4" w:rsidP="00054B01">
            <w:pPr>
              <w:rPr>
                <w:sz w:val="24"/>
                <w:szCs w:val="24"/>
              </w:rPr>
            </w:pPr>
            <w:r>
              <w:rPr>
                <w:sz w:val="24"/>
                <w:szCs w:val="24"/>
              </w:rPr>
              <w:t>The TTBEP met with the Tennessee Department of Health HIV/STD/Viral Hepatitis medical director and STD director to discuss opportunities to utilize funding for DIS and cross-training of DIS across the state in both programs.</w:t>
            </w:r>
          </w:p>
        </w:tc>
        <w:tc>
          <w:tcPr>
            <w:tcW w:w="2700" w:type="dxa"/>
          </w:tcPr>
          <w:p w14:paraId="4E82C3E8" w14:textId="003AA536" w:rsidR="00131116" w:rsidRDefault="00A31A67" w:rsidP="00054B01">
            <w:pPr>
              <w:rPr>
                <w:sz w:val="24"/>
                <w:szCs w:val="24"/>
              </w:rPr>
            </w:pPr>
            <w:r>
              <w:rPr>
                <w:sz w:val="24"/>
                <w:szCs w:val="24"/>
              </w:rPr>
              <w:t>Opportunities to collaborate with other organizations were decreased during the COVID-19 and not identified as core TB functions during the pandemic which were given higher priority.</w:t>
            </w:r>
          </w:p>
        </w:tc>
      </w:tr>
      <w:tr w:rsidR="00131116" w14:paraId="6D1553CC" w14:textId="77777777" w:rsidTr="00131116">
        <w:tc>
          <w:tcPr>
            <w:tcW w:w="2965" w:type="dxa"/>
          </w:tcPr>
          <w:p w14:paraId="319A2048" w14:textId="168150ED" w:rsidR="00131116" w:rsidRDefault="00131116" w:rsidP="00054B01">
            <w:pPr>
              <w:rPr>
                <w:sz w:val="24"/>
                <w:szCs w:val="24"/>
              </w:rPr>
            </w:pPr>
            <w:r>
              <w:rPr>
                <w:sz w:val="24"/>
                <w:szCs w:val="24"/>
              </w:rPr>
              <w:lastRenderedPageBreak/>
              <w:t>Collaborate with organizations not funded by CDC</w:t>
            </w:r>
          </w:p>
        </w:tc>
        <w:tc>
          <w:tcPr>
            <w:tcW w:w="4230" w:type="dxa"/>
          </w:tcPr>
          <w:p w14:paraId="00D526B4" w14:textId="62587061" w:rsidR="00131116" w:rsidRDefault="000738B5" w:rsidP="00054B01">
            <w:pPr>
              <w:rPr>
                <w:sz w:val="24"/>
                <w:szCs w:val="24"/>
              </w:rPr>
            </w:pPr>
            <w:r>
              <w:rPr>
                <w:sz w:val="24"/>
                <w:szCs w:val="24"/>
              </w:rPr>
              <w:t>Continue to partner with the Tennessee Department of Correction.  Explore opportunities to collaborate with other state partners such as the Tennessee Sheriffs Association, Federally Qualified Health Centers (FQHCs), and the Tennessee Academy of Family Physicians (TNAFP).</w:t>
            </w:r>
          </w:p>
        </w:tc>
        <w:tc>
          <w:tcPr>
            <w:tcW w:w="3060" w:type="dxa"/>
          </w:tcPr>
          <w:p w14:paraId="0C3A71E1" w14:textId="6488A9E9" w:rsidR="00131116" w:rsidRDefault="00F407BB" w:rsidP="00054B01">
            <w:pPr>
              <w:rPr>
                <w:sz w:val="24"/>
                <w:szCs w:val="24"/>
              </w:rPr>
            </w:pPr>
            <w:r>
              <w:rPr>
                <w:sz w:val="24"/>
                <w:szCs w:val="24"/>
              </w:rPr>
              <w:t>The TTBEP medical director gave a presentation on TB during the annual meeting of the Tennessee Sheriffs Association.</w:t>
            </w:r>
          </w:p>
        </w:tc>
        <w:tc>
          <w:tcPr>
            <w:tcW w:w="2700" w:type="dxa"/>
          </w:tcPr>
          <w:p w14:paraId="392F77D7" w14:textId="6C2F1573" w:rsidR="00131116" w:rsidRDefault="00F407BB" w:rsidP="00054B01">
            <w:pPr>
              <w:rPr>
                <w:sz w:val="24"/>
                <w:szCs w:val="24"/>
              </w:rPr>
            </w:pPr>
            <w:r>
              <w:rPr>
                <w:sz w:val="24"/>
                <w:szCs w:val="24"/>
              </w:rPr>
              <w:t>The COVID-19 pandemic limited the opportunities for collaborations with other partners throughout the state.</w:t>
            </w:r>
          </w:p>
        </w:tc>
      </w:tr>
      <w:bookmarkEnd w:id="5"/>
    </w:tbl>
    <w:p w14:paraId="1C09EF81" w14:textId="211BB27E" w:rsidR="00054B01" w:rsidRPr="00131116" w:rsidRDefault="00054B01" w:rsidP="00054B01">
      <w:pPr>
        <w:spacing w:after="0" w:line="240" w:lineRule="auto"/>
        <w:rPr>
          <w:sz w:val="24"/>
          <w:szCs w:val="24"/>
        </w:rPr>
      </w:pPr>
    </w:p>
    <w:p w14:paraId="3E9B4E63" w14:textId="77777777" w:rsidR="00131116" w:rsidRDefault="00131116" w:rsidP="00054B01">
      <w:pPr>
        <w:spacing w:after="0" w:line="240" w:lineRule="auto"/>
        <w:rPr>
          <w:b/>
          <w:bCs/>
          <w:sz w:val="24"/>
          <w:szCs w:val="24"/>
          <w:u w:val="single"/>
        </w:rPr>
      </w:pPr>
    </w:p>
    <w:p w14:paraId="41452B28" w14:textId="77777777" w:rsidR="00054B01" w:rsidRDefault="00054B01" w:rsidP="00054B01">
      <w:pPr>
        <w:spacing w:after="0" w:line="240" w:lineRule="auto"/>
        <w:rPr>
          <w:b/>
          <w:bCs/>
          <w:sz w:val="24"/>
          <w:szCs w:val="24"/>
          <w:u w:val="single"/>
        </w:rPr>
      </w:pPr>
      <w:r>
        <w:rPr>
          <w:b/>
          <w:bCs/>
          <w:sz w:val="24"/>
          <w:szCs w:val="24"/>
          <w:u w:val="single"/>
        </w:rPr>
        <w:t>Target Populations and Health Disparities</w:t>
      </w:r>
    </w:p>
    <w:tbl>
      <w:tblPr>
        <w:tblStyle w:val="TableGrid"/>
        <w:tblW w:w="0" w:type="auto"/>
        <w:tblInd w:w="-5" w:type="dxa"/>
        <w:tblLook w:val="04A0" w:firstRow="1" w:lastRow="0" w:firstColumn="1" w:lastColumn="0" w:noHBand="0" w:noVBand="1"/>
      </w:tblPr>
      <w:tblGrid>
        <w:gridCol w:w="2965"/>
        <w:gridCol w:w="4230"/>
        <w:gridCol w:w="3060"/>
        <w:gridCol w:w="2700"/>
      </w:tblGrid>
      <w:tr w:rsidR="00131116" w:rsidRPr="006A1DDB" w14:paraId="6433EB4D" w14:textId="77777777" w:rsidTr="0021319E">
        <w:tc>
          <w:tcPr>
            <w:tcW w:w="2965" w:type="dxa"/>
            <w:shd w:val="clear" w:color="auto" w:fill="F2F2F2" w:themeFill="background1" w:themeFillShade="F2"/>
            <w:vAlign w:val="center"/>
          </w:tcPr>
          <w:p w14:paraId="11C4B5A3" w14:textId="77777777" w:rsidR="00131116" w:rsidRPr="006A1DDB" w:rsidRDefault="00131116" w:rsidP="0021319E">
            <w:pPr>
              <w:pStyle w:val="ListParagraph"/>
              <w:ind w:left="0"/>
              <w:jc w:val="center"/>
              <w:rPr>
                <w:b/>
                <w:bCs/>
                <w:sz w:val="24"/>
                <w:szCs w:val="24"/>
              </w:rPr>
            </w:pPr>
            <w:r>
              <w:rPr>
                <w:b/>
                <w:bCs/>
                <w:sz w:val="24"/>
                <w:szCs w:val="24"/>
              </w:rPr>
              <w:t xml:space="preserve">Outcome </w:t>
            </w:r>
          </w:p>
        </w:tc>
        <w:tc>
          <w:tcPr>
            <w:tcW w:w="4230" w:type="dxa"/>
            <w:shd w:val="clear" w:color="auto" w:fill="F2F2F2" w:themeFill="background1" w:themeFillShade="F2"/>
            <w:vAlign w:val="center"/>
          </w:tcPr>
          <w:p w14:paraId="4278F326" w14:textId="77777777" w:rsidR="00131116" w:rsidRPr="006A1DDB" w:rsidRDefault="00131116" w:rsidP="0021319E">
            <w:pPr>
              <w:pStyle w:val="ListParagraph"/>
              <w:ind w:left="0"/>
              <w:jc w:val="center"/>
              <w:rPr>
                <w:b/>
                <w:bCs/>
                <w:sz w:val="24"/>
                <w:szCs w:val="24"/>
              </w:rPr>
            </w:pPr>
            <w:r>
              <w:rPr>
                <w:b/>
                <w:bCs/>
                <w:sz w:val="24"/>
                <w:szCs w:val="24"/>
              </w:rPr>
              <w:t>Planned Program Activities</w:t>
            </w:r>
          </w:p>
        </w:tc>
        <w:tc>
          <w:tcPr>
            <w:tcW w:w="3060" w:type="dxa"/>
            <w:shd w:val="clear" w:color="auto" w:fill="F2F2F2" w:themeFill="background1" w:themeFillShade="F2"/>
            <w:vAlign w:val="center"/>
          </w:tcPr>
          <w:p w14:paraId="3514D6D7" w14:textId="77777777" w:rsidR="00131116" w:rsidRPr="006A1DDB" w:rsidRDefault="00131116" w:rsidP="0021319E">
            <w:pPr>
              <w:pStyle w:val="ListParagraph"/>
              <w:ind w:left="0"/>
              <w:jc w:val="center"/>
              <w:rPr>
                <w:b/>
                <w:bCs/>
                <w:sz w:val="24"/>
                <w:szCs w:val="24"/>
              </w:rPr>
            </w:pPr>
            <w:r>
              <w:rPr>
                <w:b/>
                <w:bCs/>
                <w:sz w:val="24"/>
                <w:szCs w:val="24"/>
              </w:rPr>
              <w:t>Accomplishments</w:t>
            </w:r>
          </w:p>
        </w:tc>
        <w:tc>
          <w:tcPr>
            <w:tcW w:w="2700" w:type="dxa"/>
            <w:shd w:val="clear" w:color="auto" w:fill="F2F2F2" w:themeFill="background1" w:themeFillShade="F2"/>
            <w:vAlign w:val="center"/>
          </w:tcPr>
          <w:p w14:paraId="7B82CE5E" w14:textId="77777777" w:rsidR="00131116" w:rsidRPr="006A1DDB" w:rsidRDefault="00131116" w:rsidP="0021319E">
            <w:pPr>
              <w:pStyle w:val="ListParagraph"/>
              <w:ind w:left="0"/>
              <w:jc w:val="center"/>
              <w:rPr>
                <w:b/>
                <w:bCs/>
                <w:sz w:val="24"/>
                <w:szCs w:val="24"/>
              </w:rPr>
            </w:pPr>
            <w:r>
              <w:rPr>
                <w:b/>
                <w:bCs/>
                <w:sz w:val="24"/>
                <w:szCs w:val="24"/>
              </w:rPr>
              <w:t>Barriers</w:t>
            </w:r>
          </w:p>
        </w:tc>
      </w:tr>
      <w:tr w:rsidR="00131116" w14:paraId="53350B01" w14:textId="77777777" w:rsidTr="00D32B9A">
        <w:tc>
          <w:tcPr>
            <w:tcW w:w="2965" w:type="dxa"/>
            <w:vAlign w:val="center"/>
          </w:tcPr>
          <w:p w14:paraId="36D6CC41" w14:textId="440E1C00" w:rsidR="00131116" w:rsidRDefault="00131116" w:rsidP="00D32B9A">
            <w:pPr>
              <w:rPr>
                <w:sz w:val="24"/>
                <w:szCs w:val="24"/>
              </w:rPr>
            </w:pPr>
            <w:r>
              <w:rPr>
                <w:sz w:val="24"/>
                <w:szCs w:val="24"/>
              </w:rPr>
              <w:t>Collaborate with partners throughout Tennessee that serve high-risk populations</w:t>
            </w:r>
          </w:p>
        </w:tc>
        <w:tc>
          <w:tcPr>
            <w:tcW w:w="4230" w:type="dxa"/>
            <w:vAlign w:val="center"/>
          </w:tcPr>
          <w:p w14:paraId="6966A6F0" w14:textId="34F6DEE2" w:rsidR="00131116" w:rsidRDefault="00D15B03" w:rsidP="00D32B9A">
            <w:pPr>
              <w:rPr>
                <w:sz w:val="24"/>
                <w:szCs w:val="24"/>
              </w:rPr>
            </w:pPr>
            <w:r>
              <w:rPr>
                <w:sz w:val="24"/>
                <w:szCs w:val="24"/>
              </w:rPr>
              <w:t>Facilitate the partnership between the Metro Public Health Department of Nashville and Davidson County and Siloam Family Health Center.  Identify other partners throughout the state that serve high-risk populations.</w:t>
            </w:r>
          </w:p>
        </w:tc>
        <w:tc>
          <w:tcPr>
            <w:tcW w:w="3060" w:type="dxa"/>
            <w:vAlign w:val="center"/>
          </w:tcPr>
          <w:p w14:paraId="221F3069" w14:textId="0102295B" w:rsidR="00131116" w:rsidRDefault="00EC150A" w:rsidP="00D32B9A">
            <w:pPr>
              <w:rPr>
                <w:sz w:val="24"/>
                <w:szCs w:val="24"/>
              </w:rPr>
            </w:pPr>
            <w:r>
              <w:rPr>
                <w:sz w:val="24"/>
                <w:szCs w:val="24"/>
              </w:rPr>
              <w:t xml:space="preserve">The TTBEP medical director and program manager met with the Tennessee Department of Mental Health and Substance Abuse (TDMHSA) to review and update TB policies.  The TTBEP program manager worked with the Tennessee Department of Correction (TDOC) to </w:t>
            </w:r>
            <w:r w:rsidR="00D53DF9">
              <w:rPr>
                <w:sz w:val="24"/>
                <w:szCs w:val="24"/>
              </w:rPr>
              <w:t>revise</w:t>
            </w:r>
            <w:r>
              <w:rPr>
                <w:sz w:val="24"/>
                <w:szCs w:val="24"/>
              </w:rPr>
              <w:t xml:space="preserve"> the TDOC TB Prevention and Treatment Guidelines. </w:t>
            </w:r>
          </w:p>
        </w:tc>
        <w:tc>
          <w:tcPr>
            <w:tcW w:w="2700" w:type="dxa"/>
          </w:tcPr>
          <w:p w14:paraId="21910337" w14:textId="2CAD5514" w:rsidR="00131116" w:rsidRDefault="00D53DF9" w:rsidP="0021319E">
            <w:pPr>
              <w:rPr>
                <w:sz w:val="24"/>
                <w:szCs w:val="24"/>
              </w:rPr>
            </w:pPr>
            <w:r>
              <w:rPr>
                <w:sz w:val="24"/>
                <w:szCs w:val="24"/>
              </w:rPr>
              <w:t>Due to the COVID-19 pandemic, Siloam Family Health Center paused collaborative efforts with the Metro Public Health Department of Nashville and Davidson County, but it expected to resume in fall 2021 and will result in a Metro Public Health Department employee visiting Siloam Family Health Center to assist with evaluation (including a chest X-ray) and initiation of treatment for refugees who visit the clinic.</w:t>
            </w:r>
          </w:p>
        </w:tc>
      </w:tr>
      <w:tr w:rsidR="00131116" w14:paraId="69C59823" w14:textId="77777777" w:rsidTr="00D32B9A">
        <w:tc>
          <w:tcPr>
            <w:tcW w:w="2965" w:type="dxa"/>
          </w:tcPr>
          <w:p w14:paraId="34F3FDC8" w14:textId="494C2FFD" w:rsidR="00131116" w:rsidRDefault="00131116" w:rsidP="0021319E">
            <w:pPr>
              <w:rPr>
                <w:sz w:val="24"/>
                <w:szCs w:val="24"/>
              </w:rPr>
            </w:pPr>
            <w:r>
              <w:rPr>
                <w:sz w:val="24"/>
                <w:szCs w:val="24"/>
              </w:rPr>
              <w:lastRenderedPageBreak/>
              <w:t>Provide plain language educational materials in 10 most commonly spoken languages of TB and TBI patients</w:t>
            </w:r>
          </w:p>
        </w:tc>
        <w:tc>
          <w:tcPr>
            <w:tcW w:w="4230" w:type="dxa"/>
            <w:vAlign w:val="center"/>
          </w:tcPr>
          <w:p w14:paraId="0F5BA206" w14:textId="2D8B9514" w:rsidR="00131116" w:rsidRDefault="00D15B03" w:rsidP="00D32B9A">
            <w:pPr>
              <w:rPr>
                <w:sz w:val="24"/>
                <w:szCs w:val="24"/>
              </w:rPr>
            </w:pPr>
            <w:r>
              <w:rPr>
                <w:sz w:val="24"/>
                <w:szCs w:val="24"/>
              </w:rPr>
              <w:t xml:space="preserve">Review current and historic data to identify the 10 most commonly spoken languages of TB and TBI patients in Tennessee. </w:t>
            </w:r>
          </w:p>
        </w:tc>
        <w:tc>
          <w:tcPr>
            <w:tcW w:w="3060" w:type="dxa"/>
            <w:vAlign w:val="center"/>
          </w:tcPr>
          <w:p w14:paraId="496374C7" w14:textId="6E971B14" w:rsidR="00131116" w:rsidRDefault="00432EEA" w:rsidP="00D32B9A">
            <w:pPr>
              <w:rPr>
                <w:sz w:val="24"/>
                <w:szCs w:val="24"/>
              </w:rPr>
            </w:pPr>
            <w:r>
              <w:rPr>
                <w:sz w:val="24"/>
                <w:szCs w:val="24"/>
              </w:rPr>
              <w:t>None</w:t>
            </w:r>
            <w:r w:rsidR="00D32B9A">
              <w:rPr>
                <w:sz w:val="24"/>
                <w:szCs w:val="24"/>
              </w:rPr>
              <w:t>.</w:t>
            </w:r>
          </w:p>
        </w:tc>
        <w:tc>
          <w:tcPr>
            <w:tcW w:w="2700" w:type="dxa"/>
            <w:vAlign w:val="center"/>
          </w:tcPr>
          <w:p w14:paraId="0783E3C4" w14:textId="02D44D24" w:rsidR="00131116" w:rsidRDefault="00432EEA" w:rsidP="00D32B9A">
            <w:pPr>
              <w:rPr>
                <w:sz w:val="24"/>
                <w:szCs w:val="24"/>
              </w:rPr>
            </w:pPr>
            <w:r>
              <w:rPr>
                <w:sz w:val="24"/>
                <w:szCs w:val="24"/>
              </w:rPr>
              <w:t>Due to the COVID-19 pandemic, this initiative/project was considered a lower priority TB activity.</w:t>
            </w:r>
          </w:p>
        </w:tc>
      </w:tr>
    </w:tbl>
    <w:p w14:paraId="277CE6EF" w14:textId="77777777" w:rsidR="00131116" w:rsidRDefault="00131116" w:rsidP="00054B01">
      <w:pPr>
        <w:spacing w:after="0" w:line="240" w:lineRule="auto"/>
        <w:rPr>
          <w:sz w:val="24"/>
          <w:szCs w:val="24"/>
        </w:rPr>
      </w:pPr>
    </w:p>
    <w:p w14:paraId="5CAF5D61" w14:textId="77777777" w:rsidR="00703B74" w:rsidRDefault="00703B74" w:rsidP="00054B01">
      <w:pPr>
        <w:spacing w:after="0" w:line="240" w:lineRule="auto"/>
        <w:rPr>
          <w:b/>
          <w:bCs/>
          <w:sz w:val="24"/>
          <w:szCs w:val="24"/>
          <w:u w:val="single"/>
        </w:rPr>
        <w:sectPr w:rsidR="00703B74" w:rsidSect="00AF1F47">
          <w:headerReference w:type="default" r:id="rId10"/>
          <w:pgSz w:w="15840" w:h="12240" w:orient="landscape"/>
          <w:pgMar w:top="1440" w:right="1440" w:bottom="1440" w:left="1440" w:header="720" w:footer="720" w:gutter="0"/>
          <w:cols w:space="720"/>
          <w:docGrid w:linePitch="360"/>
        </w:sectPr>
      </w:pPr>
    </w:p>
    <w:p w14:paraId="0682C888" w14:textId="1B9BF6C3" w:rsidR="0056720D" w:rsidRDefault="0056720D" w:rsidP="00054B01">
      <w:pPr>
        <w:spacing w:after="0" w:line="240" w:lineRule="auto"/>
        <w:rPr>
          <w:b/>
          <w:bCs/>
          <w:sz w:val="24"/>
          <w:szCs w:val="24"/>
          <w:u w:val="single"/>
        </w:rPr>
      </w:pPr>
      <w:r>
        <w:rPr>
          <w:b/>
          <w:bCs/>
          <w:sz w:val="24"/>
          <w:szCs w:val="24"/>
          <w:u w:val="single"/>
        </w:rPr>
        <w:lastRenderedPageBreak/>
        <w:t>Work Plan</w:t>
      </w:r>
    </w:p>
    <w:p w14:paraId="4956673D" w14:textId="77777777" w:rsidR="00DB3CAD" w:rsidRDefault="00DB3CAD" w:rsidP="00054B01">
      <w:pPr>
        <w:spacing w:after="0" w:line="240" w:lineRule="auto"/>
        <w:rPr>
          <w:b/>
          <w:bCs/>
          <w:sz w:val="24"/>
          <w:szCs w:val="24"/>
          <w:u w:val="single"/>
        </w:rPr>
      </w:pPr>
    </w:p>
    <w:tbl>
      <w:tblPr>
        <w:tblStyle w:val="TableGrid"/>
        <w:tblW w:w="0" w:type="auto"/>
        <w:tblLayout w:type="fixed"/>
        <w:tblLook w:val="04A0" w:firstRow="1" w:lastRow="0" w:firstColumn="1" w:lastColumn="0" w:noHBand="0" w:noVBand="1"/>
      </w:tblPr>
      <w:tblGrid>
        <w:gridCol w:w="2590"/>
        <w:gridCol w:w="2590"/>
        <w:gridCol w:w="2590"/>
        <w:gridCol w:w="2590"/>
        <w:gridCol w:w="2590"/>
      </w:tblGrid>
      <w:tr w:rsidR="00780541" w14:paraId="70576CCC" w14:textId="77777777" w:rsidTr="00C21B6F">
        <w:tc>
          <w:tcPr>
            <w:tcW w:w="12950" w:type="dxa"/>
            <w:gridSpan w:val="5"/>
            <w:shd w:val="clear" w:color="auto" w:fill="D9D9D9" w:themeFill="background1" w:themeFillShade="D9"/>
          </w:tcPr>
          <w:p w14:paraId="08639BAA" w14:textId="56AF65CA" w:rsidR="00780541" w:rsidRPr="00780541" w:rsidRDefault="00780541" w:rsidP="00054B01">
            <w:pPr>
              <w:rPr>
                <w:b/>
                <w:bCs/>
                <w:sz w:val="24"/>
                <w:szCs w:val="24"/>
              </w:rPr>
            </w:pPr>
            <w:r>
              <w:rPr>
                <w:b/>
                <w:bCs/>
                <w:sz w:val="24"/>
                <w:szCs w:val="24"/>
              </w:rPr>
              <w:t>Strategy 1: Diagnosis/Treatment of Persons with TB Disease</w:t>
            </w:r>
          </w:p>
        </w:tc>
      </w:tr>
      <w:tr w:rsidR="00780541" w14:paraId="09CB2A3C" w14:textId="77777777" w:rsidTr="00C21B6F">
        <w:tc>
          <w:tcPr>
            <w:tcW w:w="5180" w:type="dxa"/>
            <w:gridSpan w:val="2"/>
            <w:shd w:val="clear" w:color="auto" w:fill="F2F2F2" w:themeFill="background1" w:themeFillShade="F2"/>
          </w:tcPr>
          <w:p w14:paraId="41582E82" w14:textId="53440AA9" w:rsidR="00780541" w:rsidRPr="00780541" w:rsidRDefault="00780541" w:rsidP="00780541">
            <w:pPr>
              <w:jc w:val="center"/>
              <w:rPr>
                <w:b/>
                <w:bCs/>
                <w:sz w:val="24"/>
                <w:szCs w:val="24"/>
              </w:rPr>
            </w:pPr>
            <w:r w:rsidRPr="00780541">
              <w:rPr>
                <w:b/>
                <w:bCs/>
                <w:sz w:val="24"/>
                <w:szCs w:val="24"/>
              </w:rPr>
              <w:t>Related Outcome</w:t>
            </w:r>
          </w:p>
        </w:tc>
        <w:tc>
          <w:tcPr>
            <w:tcW w:w="7770" w:type="dxa"/>
            <w:gridSpan w:val="3"/>
            <w:shd w:val="clear" w:color="auto" w:fill="F2F2F2" w:themeFill="background1" w:themeFillShade="F2"/>
          </w:tcPr>
          <w:p w14:paraId="081431E7" w14:textId="5E604145" w:rsidR="00780541" w:rsidRPr="00780541" w:rsidRDefault="00780541" w:rsidP="00780541">
            <w:pPr>
              <w:jc w:val="center"/>
              <w:rPr>
                <w:b/>
                <w:bCs/>
                <w:sz w:val="24"/>
                <w:szCs w:val="24"/>
              </w:rPr>
            </w:pPr>
            <w:r>
              <w:rPr>
                <w:b/>
                <w:bCs/>
                <w:sz w:val="24"/>
                <w:szCs w:val="24"/>
              </w:rPr>
              <w:t>Measure of Success</w:t>
            </w:r>
          </w:p>
        </w:tc>
      </w:tr>
      <w:tr w:rsidR="00780541" w14:paraId="66A2A883" w14:textId="77777777" w:rsidTr="00C21B6F">
        <w:tc>
          <w:tcPr>
            <w:tcW w:w="5180" w:type="dxa"/>
            <w:gridSpan w:val="2"/>
          </w:tcPr>
          <w:p w14:paraId="319055E7" w14:textId="7508C8E1" w:rsidR="00780541" w:rsidRPr="00780541" w:rsidRDefault="00780541" w:rsidP="00114B41">
            <w:pPr>
              <w:pStyle w:val="ListParagraph"/>
              <w:numPr>
                <w:ilvl w:val="0"/>
                <w:numId w:val="2"/>
              </w:numPr>
              <w:ind w:left="330"/>
              <w:rPr>
                <w:sz w:val="24"/>
                <w:szCs w:val="24"/>
              </w:rPr>
            </w:pPr>
            <w:r>
              <w:rPr>
                <w:sz w:val="24"/>
                <w:szCs w:val="24"/>
              </w:rPr>
              <w:t>Earlier patient diagnosis; (2) increase in TB cases with HIV results; (3) cases with drug-susceptibility testing (DST) results; (4) patients on/responding to appropriate treatment</w:t>
            </w:r>
          </w:p>
        </w:tc>
        <w:tc>
          <w:tcPr>
            <w:tcW w:w="7770" w:type="dxa"/>
            <w:gridSpan w:val="3"/>
          </w:tcPr>
          <w:p w14:paraId="157C8FBB" w14:textId="46116CC9" w:rsidR="00780541" w:rsidRDefault="00780541" w:rsidP="00054B01">
            <w:pPr>
              <w:rPr>
                <w:sz w:val="24"/>
                <w:szCs w:val="24"/>
              </w:rPr>
            </w:pPr>
            <w:r>
              <w:rPr>
                <w:sz w:val="24"/>
                <w:szCs w:val="24"/>
              </w:rPr>
              <w:t xml:space="preserve">National TB Indicator Project (NTIP) objectives for case management and treatment can be accessed at: </w:t>
            </w:r>
            <w:hyperlink r:id="rId11" w:history="1">
              <w:r w:rsidRPr="00A33505">
                <w:rPr>
                  <w:rStyle w:val="Hyperlink"/>
                  <w:sz w:val="24"/>
                  <w:szCs w:val="24"/>
                </w:rPr>
                <w:t>https://www.cdc.gov/tb/programs/evaluation/indicators/default.htm</w:t>
              </w:r>
            </w:hyperlink>
            <w:r>
              <w:rPr>
                <w:sz w:val="24"/>
                <w:szCs w:val="24"/>
              </w:rPr>
              <w:t xml:space="preserve"> </w:t>
            </w:r>
          </w:p>
        </w:tc>
      </w:tr>
      <w:tr w:rsidR="0076132E" w14:paraId="1C212678" w14:textId="77777777" w:rsidTr="00C21B6F">
        <w:tc>
          <w:tcPr>
            <w:tcW w:w="2590" w:type="dxa"/>
            <w:shd w:val="clear" w:color="auto" w:fill="F2F2F2" w:themeFill="background1" w:themeFillShade="F2"/>
          </w:tcPr>
          <w:p w14:paraId="0927908C" w14:textId="15F345B6" w:rsidR="0076132E" w:rsidRPr="002E25CE" w:rsidRDefault="002E25CE" w:rsidP="002E25CE">
            <w:pPr>
              <w:jc w:val="center"/>
              <w:rPr>
                <w:b/>
                <w:bCs/>
                <w:sz w:val="24"/>
                <w:szCs w:val="24"/>
              </w:rPr>
            </w:pPr>
            <w:r>
              <w:rPr>
                <w:b/>
                <w:bCs/>
                <w:sz w:val="24"/>
                <w:szCs w:val="24"/>
              </w:rPr>
              <w:t>Objectives</w:t>
            </w:r>
          </w:p>
        </w:tc>
        <w:tc>
          <w:tcPr>
            <w:tcW w:w="2590" w:type="dxa"/>
            <w:shd w:val="clear" w:color="auto" w:fill="F2F2F2" w:themeFill="background1" w:themeFillShade="F2"/>
          </w:tcPr>
          <w:p w14:paraId="4DE0EE00" w14:textId="47561820" w:rsidR="0076132E" w:rsidRPr="002E25CE" w:rsidRDefault="002E25CE" w:rsidP="002E25CE">
            <w:pPr>
              <w:jc w:val="center"/>
              <w:rPr>
                <w:b/>
                <w:bCs/>
                <w:sz w:val="24"/>
                <w:szCs w:val="24"/>
              </w:rPr>
            </w:pPr>
            <w:r>
              <w:rPr>
                <w:b/>
                <w:bCs/>
                <w:sz w:val="24"/>
                <w:szCs w:val="24"/>
              </w:rPr>
              <w:t>Activities</w:t>
            </w:r>
          </w:p>
        </w:tc>
        <w:tc>
          <w:tcPr>
            <w:tcW w:w="2590" w:type="dxa"/>
            <w:shd w:val="clear" w:color="auto" w:fill="F2F2F2" w:themeFill="background1" w:themeFillShade="F2"/>
          </w:tcPr>
          <w:p w14:paraId="4917571B" w14:textId="2932BA66" w:rsidR="0076132E" w:rsidRPr="002E25CE" w:rsidRDefault="002E25CE" w:rsidP="002E25CE">
            <w:pPr>
              <w:jc w:val="center"/>
              <w:rPr>
                <w:b/>
                <w:bCs/>
                <w:sz w:val="24"/>
                <w:szCs w:val="24"/>
              </w:rPr>
            </w:pPr>
            <w:r>
              <w:rPr>
                <w:b/>
                <w:bCs/>
                <w:sz w:val="24"/>
                <w:szCs w:val="24"/>
              </w:rPr>
              <w:t>Timeline</w:t>
            </w:r>
          </w:p>
        </w:tc>
        <w:tc>
          <w:tcPr>
            <w:tcW w:w="2590" w:type="dxa"/>
            <w:shd w:val="clear" w:color="auto" w:fill="F2F2F2" w:themeFill="background1" w:themeFillShade="F2"/>
          </w:tcPr>
          <w:p w14:paraId="1F75903C" w14:textId="78DF848C" w:rsidR="0076132E" w:rsidRPr="002E25CE" w:rsidRDefault="002E25CE" w:rsidP="002E25CE">
            <w:pPr>
              <w:jc w:val="center"/>
              <w:rPr>
                <w:b/>
                <w:bCs/>
                <w:sz w:val="24"/>
                <w:szCs w:val="24"/>
              </w:rPr>
            </w:pPr>
            <w:r>
              <w:rPr>
                <w:b/>
                <w:bCs/>
                <w:sz w:val="24"/>
                <w:szCs w:val="24"/>
              </w:rPr>
              <w:t>Success</w:t>
            </w:r>
          </w:p>
        </w:tc>
        <w:tc>
          <w:tcPr>
            <w:tcW w:w="2590" w:type="dxa"/>
            <w:shd w:val="clear" w:color="auto" w:fill="F2F2F2" w:themeFill="background1" w:themeFillShade="F2"/>
          </w:tcPr>
          <w:p w14:paraId="7C2B1713" w14:textId="59D1E294" w:rsidR="0076132E" w:rsidRPr="002E25CE" w:rsidRDefault="002E25CE" w:rsidP="002E25CE">
            <w:pPr>
              <w:jc w:val="center"/>
              <w:rPr>
                <w:b/>
                <w:bCs/>
                <w:sz w:val="24"/>
                <w:szCs w:val="24"/>
              </w:rPr>
            </w:pPr>
            <w:r>
              <w:rPr>
                <w:b/>
                <w:bCs/>
                <w:sz w:val="24"/>
                <w:szCs w:val="24"/>
              </w:rPr>
              <w:t>Barriers</w:t>
            </w:r>
          </w:p>
        </w:tc>
      </w:tr>
      <w:tr w:rsidR="0076132E" w14:paraId="315A1F92" w14:textId="77777777" w:rsidTr="00C21B6F">
        <w:tc>
          <w:tcPr>
            <w:tcW w:w="2590" w:type="dxa"/>
            <w:vAlign w:val="center"/>
          </w:tcPr>
          <w:p w14:paraId="3ECD9918" w14:textId="34F33041" w:rsidR="0076132E" w:rsidRDefault="00C02A0F" w:rsidP="00C02A0F">
            <w:pPr>
              <w:rPr>
                <w:sz w:val="24"/>
                <w:szCs w:val="24"/>
              </w:rPr>
            </w:pPr>
            <w:r>
              <w:rPr>
                <w:sz w:val="24"/>
                <w:szCs w:val="24"/>
              </w:rPr>
              <w:t xml:space="preserve">For patients with newly diagnosed TB disease for whom </w:t>
            </w:r>
            <w:r>
              <w:rPr>
                <w:rFonts w:cstheme="minorHAnsi"/>
                <w:sz w:val="24"/>
                <w:szCs w:val="24"/>
              </w:rPr>
              <w:t>≤</w:t>
            </w:r>
            <w:r>
              <w:rPr>
                <w:sz w:val="24"/>
                <w:szCs w:val="24"/>
              </w:rPr>
              <w:t>12 months of treatment is indicated, increase the proportion who complete treatment within 12 months.</w:t>
            </w:r>
          </w:p>
        </w:tc>
        <w:tc>
          <w:tcPr>
            <w:tcW w:w="2590" w:type="dxa"/>
            <w:vAlign w:val="center"/>
          </w:tcPr>
          <w:p w14:paraId="7076FCD7" w14:textId="3192E112" w:rsidR="0076132E" w:rsidRDefault="00C02A0F" w:rsidP="00CF2E39">
            <w:pPr>
              <w:rPr>
                <w:sz w:val="24"/>
                <w:szCs w:val="24"/>
              </w:rPr>
            </w:pPr>
            <w:r>
              <w:rPr>
                <w:sz w:val="24"/>
                <w:szCs w:val="24"/>
              </w:rPr>
              <w:t>Review all case records; identify opportunities for use of incentives and enablers; cohort review with two (2) public health regions; review NTIP quarterly ensure case management of all TB patients; utilize eDOT; utilize therapeutic drug monitoring (TDM)</w:t>
            </w:r>
          </w:p>
        </w:tc>
        <w:tc>
          <w:tcPr>
            <w:tcW w:w="2590" w:type="dxa"/>
            <w:vAlign w:val="center"/>
          </w:tcPr>
          <w:p w14:paraId="1FCEBD1E" w14:textId="0CAB482A" w:rsidR="0076132E" w:rsidRDefault="00C02A0F" w:rsidP="00C02A0F">
            <w:pPr>
              <w:jc w:val="center"/>
              <w:rPr>
                <w:sz w:val="24"/>
                <w:szCs w:val="24"/>
              </w:rPr>
            </w:pPr>
            <w:r>
              <w:rPr>
                <w:sz w:val="24"/>
                <w:szCs w:val="24"/>
              </w:rPr>
              <w:t>95% by 202</w:t>
            </w:r>
            <w:r w:rsidR="00772B80">
              <w:rPr>
                <w:sz w:val="24"/>
                <w:szCs w:val="24"/>
              </w:rPr>
              <w:t>5</w:t>
            </w:r>
          </w:p>
        </w:tc>
        <w:tc>
          <w:tcPr>
            <w:tcW w:w="2590" w:type="dxa"/>
          </w:tcPr>
          <w:p w14:paraId="095D37D0" w14:textId="77777777" w:rsidR="00CF2E39" w:rsidRDefault="00C02A0F" w:rsidP="00114B41">
            <w:pPr>
              <w:pStyle w:val="ListParagraph"/>
              <w:numPr>
                <w:ilvl w:val="0"/>
                <w:numId w:val="4"/>
              </w:numPr>
              <w:ind w:left="301"/>
              <w:rPr>
                <w:sz w:val="24"/>
                <w:szCs w:val="24"/>
              </w:rPr>
            </w:pPr>
            <w:r w:rsidRPr="00CF2E39">
              <w:rPr>
                <w:sz w:val="24"/>
                <w:szCs w:val="24"/>
              </w:rPr>
              <w:t>Weekly report is</w:t>
            </w:r>
            <w:r w:rsidR="00CF2E39">
              <w:rPr>
                <w:sz w:val="24"/>
                <w:szCs w:val="24"/>
              </w:rPr>
              <w:t xml:space="preserve"> </w:t>
            </w:r>
          </w:p>
          <w:p w14:paraId="7175A143" w14:textId="77777777" w:rsidR="0076132E" w:rsidRDefault="00C02A0F" w:rsidP="00CF2E39">
            <w:pPr>
              <w:ind w:left="-59"/>
              <w:rPr>
                <w:sz w:val="24"/>
                <w:szCs w:val="24"/>
              </w:rPr>
            </w:pPr>
            <w:r w:rsidRPr="00CF2E39">
              <w:rPr>
                <w:sz w:val="24"/>
                <w:szCs w:val="24"/>
              </w:rPr>
              <w:t xml:space="preserve">generated to monitor treatment progress at 3-, 6-, 9-, and 12-month intervals; </w:t>
            </w:r>
            <w:r w:rsidR="00CF2E39">
              <w:rPr>
                <w:sz w:val="24"/>
                <w:szCs w:val="24"/>
              </w:rPr>
              <w:t xml:space="preserve">(2) </w:t>
            </w:r>
            <w:r w:rsidRPr="00CF2E39">
              <w:rPr>
                <w:sz w:val="24"/>
                <w:szCs w:val="24"/>
              </w:rPr>
              <w:t xml:space="preserve">cohort review held with one regional TB program; </w:t>
            </w:r>
            <w:r w:rsidR="00CF2E39">
              <w:rPr>
                <w:sz w:val="24"/>
                <w:szCs w:val="24"/>
              </w:rPr>
              <w:t xml:space="preserve">(3) 2/4/21: </w:t>
            </w:r>
            <w:r w:rsidRPr="00CF2E39">
              <w:rPr>
                <w:sz w:val="24"/>
                <w:szCs w:val="24"/>
              </w:rPr>
              <w:t xml:space="preserve">recommended use of TDM for all adults with suspected and confirmed TB disease after receiving two weeks of treatment; </w:t>
            </w:r>
            <w:r w:rsidR="00CF2E39">
              <w:rPr>
                <w:sz w:val="24"/>
                <w:szCs w:val="24"/>
              </w:rPr>
              <w:t>piloting of emocha</w:t>
            </w:r>
            <w:r w:rsidR="00CF2E39">
              <w:rPr>
                <w:rFonts w:cstheme="minorHAnsi"/>
                <w:sz w:val="24"/>
                <w:szCs w:val="24"/>
                <w:vertAlign w:val="superscript"/>
              </w:rPr>
              <w:t>®</w:t>
            </w:r>
            <w:r w:rsidR="00CF2E39">
              <w:rPr>
                <w:sz w:val="24"/>
                <w:szCs w:val="24"/>
              </w:rPr>
              <w:t xml:space="preserve"> asynchronous eDOT platform with two public health regions in 2020  (4) </w:t>
            </w:r>
            <w:r w:rsidRPr="00CF2E39">
              <w:rPr>
                <w:sz w:val="24"/>
                <w:szCs w:val="24"/>
              </w:rPr>
              <w:t>statewide implementation of emocha</w:t>
            </w:r>
            <w:r w:rsidR="00CF2E39" w:rsidRPr="00CF2E39">
              <w:rPr>
                <w:rFonts w:cstheme="minorHAnsi"/>
                <w:sz w:val="24"/>
                <w:szCs w:val="24"/>
                <w:vertAlign w:val="superscript"/>
              </w:rPr>
              <w:t>®</w:t>
            </w:r>
            <w:r w:rsidRPr="00CF2E39">
              <w:rPr>
                <w:sz w:val="24"/>
                <w:szCs w:val="24"/>
              </w:rPr>
              <w:t xml:space="preserve"> </w:t>
            </w:r>
          </w:p>
          <w:p w14:paraId="66D6580A" w14:textId="77777777" w:rsidR="00A00BB3" w:rsidRDefault="00A00BB3" w:rsidP="00CF2E39">
            <w:pPr>
              <w:ind w:left="-59"/>
              <w:rPr>
                <w:sz w:val="24"/>
                <w:szCs w:val="24"/>
              </w:rPr>
            </w:pPr>
          </w:p>
          <w:p w14:paraId="3815E660" w14:textId="77777777" w:rsidR="00A00BB3" w:rsidRDefault="00A00BB3" w:rsidP="00CF2E39">
            <w:pPr>
              <w:ind w:left="-59"/>
              <w:rPr>
                <w:sz w:val="24"/>
                <w:szCs w:val="24"/>
              </w:rPr>
            </w:pPr>
          </w:p>
          <w:p w14:paraId="5939E8DC" w14:textId="47FC60AF" w:rsidR="00A00BB3" w:rsidRPr="00CF2E39" w:rsidRDefault="00A00BB3" w:rsidP="00CF2E39">
            <w:pPr>
              <w:ind w:left="-59"/>
              <w:rPr>
                <w:sz w:val="24"/>
                <w:szCs w:val="24"/>
              </w:rPr>
            </w:pPr>
          </w:p>
        </w:tc>
        <w:tc>
          <w:tcPr>
            <w:tcW w:w="2590" w:type="dxa"/>
          </w:tcPr>
          <w:p w14:paraId="1DA72C45" w14:textId="5F13FBE6" w:rsidR="0076132E" w:rsidRPr="00255CEB" w:rsidRDefault="008D4195" w:rsidP="00054B01">
            <w:pPr>
              <w:rPr>
                <w:sz w:val="24"/>
                <w:szCs w:val="24"/>
              </w:rPr>
            </w:pPr>
            <w:r>
              <w:rPr>
                <w:sz w:val="24"/>
                <w:szCs w:val="24"/>
              </w:rPr>
              <w:lastRenderedPageBreak/>
              <w:t>Statewide and regional TB staff were involved in the COVID-19 response; one regional TB program was unable to conduct a cohort review due to the COVID-19 pandemic</w:t>
            </w:r>
            <w:r w:rsidR="00A00701">
              <w:rPr>
                <w:sz w:val="24"/>
                <w:szCs w:val="24"/>
              </w:rPr>
              <w:t>; operational hours of the University of Florida pharmacokinetics lab (e.g., during tropical storms/hurricanes) and transport issues were barriers to collecting TDMs; technological issues with emocha</w:t>
            </w:r>
            <w:r w:rsidR="00A00701">
              <w:rPr>
                <w:rFonts w:cstheme="minorHAnsi"/>
                <w:sz w:val="24"/>
                <w:szCs w:val="24"/>
                <w:vertAlign w:val="superscript"/>
              </w:rPr>
              <w:t>®</w:t>
            </w:r>
            <w:r w:rsidR="00255CEB">
              <w:rPr>
                <w:rFonts w:cstheme="minorHAnsi"/>
                <w:sz w:val="24"/>
                <w:szCs w:val="24"/>
              </w:rPr>
              <w:t xml:space="preserve">; utilization of CDC’s MDDR lab services for early detection of resistance to ensure </w:t>
            </w:r>
            <w:r w:rsidR="00255CEB">
              <w:rPr>
                <w:rFonts w:cstheme="minorHAnsi"/>
                <w:sz w:val="24"/>
                <w:szCs w:val="24"/>
              </w:rPr>
              <w:lastRenderedPageBreak/>
              <w:t>proper treatment regimen</w:t>
            </w:r>
          </w:p>
        </w:tc>
      </w:tr>
      <w:tr w:rsidR="002E25CE" w14:paraId="33645615" w14:textId="77777777" w:rsidTr="00C21B6F">
        <w:tc>
          <w:tcPr>
            <w:tcW w:w="2590" w:type="dxa"/>
            <w:vAlign w:val="center"/>
          </w:tcPr>
          <w:p w14:paraId="25CD368D" w14:textId="3D2F1D12" w:rsidR="002E25CE" w:rsidRDefault="00A00BB3" w:rsidP="002213D6">
            <w:pPr>
              <w:rPr>
                <w:sz w:val="24"/>
                <w:szCs w:val="24"/>
              </w:rPr>
            </w:pPr>
            <w:r>
              <w:rPr>
                <w:sz w:val="24"/>
                <w:szCs w:val="24"/>
              </w:rPr>
              <w:lastRenderedPageBreak/>
              <w:t>For TB patients with positive AFB sputum smear results, increase the proportion who initiated treatment within 7 days of specimen collection</w:t>
            </w:r>
          </w:p>
        </w:tc>
        <w:tc>
          <w:tcPr>
            <w:tcW w:w="2590" w:type="dxa"/>
            <w:vAlign w:val="center"/>
          </w:tcPr>
          <w:p w14:paraId="4CB27A7E" w14:textId="4178F25D" w:rsidR="002E25CE" w:rsidRDefault="00EC7FA3" w:rsidP="003B22B3">
            <w:pPr>
              <w:rPr>
                <w:sz w:val="24"/>
                <w:szCs w:val="24"/>
              </w:rPr>
            </w:pPr>
            <w:r>
              <w:rPr>
                <w:sz w:val="24"/>
                <w:szCs w:val="24"/>
              </w:rPr>
              <w:t xml:space="preserve">Identify providers/entities that do not start patients on treatment within 7 days of specimen collection; ensure case management </w:t>
            </w:r>
            <w:r w:rsidR="002213D6">
              <w:rPr>
                <w:sz w:val="24"/>
                <w:szCs w:val="24"/>
              </w:rPr>
              <w:t>of all persons with suspected or confirmed TB; review NTIP quarterly</w:t>
            </w:r>
          </w:p>
        </w:tc>
        <w:tc>
          <w:tcPr>
            <w:tcW w:w="2590" w:type="dxa"/>
            <w:vAlign w:val="center"/>
          </w:tcPr>
          <w:p w14:paraId="7612013F" w14:textId="70BA9AC9" w:rsidR="002E25CE" w:rsidRDefault="008A7B7A" w:rsidP="008A7B7A">
            <w:pPr>
              <w:jc w:val="center"/>
              <w:rPr>
                <w:sz w:val="24"/>
                <w:szCs w:val="24"/>
              </w:rPr>
            </w:pPr>
            <w:r>
              <w:rPr>
                <w:sz w:val="24"/>
                <w:szCs w:val="24"/>
              </w:rPr>
              <w:t>96% by 202</w:t>
            </w:r>
            <w:r w:rsidR="00772B80">
              <w:rPr>
                <w:sz w:val="24"/>
                <w:szCs w:val="24"/>
              </w:rPr>
              <w:t>5</w:t>
            </w:r>
          </w:p>
        </w:tc>
        <w:tc>
          <w:tcPr>
            <w:tcW w:w="2590" w:type="dxa"/>
          </w:tcPr>
          <w:p w14:paraId="2BC6C70C" w14:textId="36FFD524" w:rsidR="002E25CE" w:rsidRDefault="008A7B7A" w:rsidP="00054B01">
            <w:pPr>
              <w:rPr>
                <w:sz w:val="24"/>
                <w:szCs w:val="24"/>
              </w:rPr>
            </w:pPr>
            <w:r>
              <w:rPr>
                <w:sz w:val="24"/>
                <w:szCs w:val="24"/>
              </w:rPr>
              <w:t xml:space="preserve">Upon notification of a person with suspected or confirmed TB disease that is hospitalized, regional TB case managers have increase efficiency in collecting a specimen for testing at the state public health lab and </w:t>
            </w:r>
            <w:r w:rsidR="003B22B3">
              <w:rPr>
                <w:sz w:val="24"/>
                <w:szCs w:val="24"/>
              </w:rPr>
              <w:t>educating providers on the importance of initiating treatment when TB is suspected</w:t>
            </w:r>
          </w:p>
        </w:tc>
        <w:tc>
          <w:tcPr>
            <w:tcW w:w="2590" w:type="dxa"/>
            <w:vAlign w:val="center"/>
          </w:tcPr>
          <w:p w14:paraId="03CEE643" w14:textId="5DD72166" w:rsidR="002E25CE" w:rsidRDefault="00EC7FA3" w:rsidP="003B22B3">
            <w:pPr>
              <w:rPr>
                <w:sz w:val="24"/>
                <w:szCs w:val="24"/>
              </w:rPr>
            </w:pPr>
            <w:r>
              <w:rPr>
                <w:sz w:val="24"/>
                <w:szCs w:val="24"/>
              </w:rPr>
              <w:t>Delayed notification of persons with suspected or confirmed TB disease to health departments from non-public health providers</w:t>
            </w:r>
            <w:r w:rsidR="008A7B7A">
              <w:rPr>
                <w:sz w:val="24"/>
                <w:szCs w:val="24"/>
              </w:rPr>
              <w:t>; COVID-19 possibly resulted in delayed diagnosis and treatment initiation</w:t>
            </w:r>
            <w:r w:rsidR="004975A0">
              <w:rPr>
                <w:sz w:val="24"/>
                <w:szCs w:val="24"/>
              </w:rPr>
              <w:t>.</w:t>
            </w:r>
          </w:p>
        </w:tc>
      </w:tr>
      <w:tr w:rsidR="00A00BB3" w14:paraId="34B13A9F" w14:textId="77777777" w:rsidTr="00CF1754">
        <w:tc>
          <w:tcPr>
            <w:tcW w:w="2590" w:type="dxa"/>
            <w:vAlign w:val="center"/>
          </w:tcPr>
          <w:p w14:paraId="41B83298" w14:textId="6B7ACF88" w:rsidR="00A00BB3" w:rsidRDefault="004975A0" w:rsidP="002213D6">
            <w:pPr>
              <w:rPr>
                <w:sz w:val="24"/>
                <w:szCs w:val="24"/>
              </w:rPr>
            </w:pPr>
            <w:r>
              <w:rPr>
                <w:sz w:val="24"/>
                <w:szCs w:val="24"/>
              </w:rPr>
              <w:t xml:space="preserve">Increase the proportion of TB patients who have a positive or negative </w:t>
            </w:r>
            <w:r w:rsidR="00C21B6F">
              <w:rPr>
                <w:sz w:val="24"/>
                <w:szCs w:val="24"/>
              </w:rPr>
              <w:t>HIV</w:t>
            </w:r>
            <w:r>
              <w:rPr>
                <w:sz w:val="24"/>
                <w:szCs w:val="24"/>
              </w:rPr>
              <w:t xml:space="preserve"> test reported</w:t>
            </w:r>
          </w:p>
        </w:tc>
        <w:tc>
          <w:tcPr>
            <w:tcW w:w="2590" w:type="dxa"/>
          </w:tcPr>
          <w:p w14:paraId="5279BC5F" w14:textId="796C676E" w:rsidR="00A00BB3" w:rsidRDefault="004975A0" w:rsidP="00054B01">
            <w:pPr>
              <w:rPr>
                <w:sz w:val="24"/>
                <w:szCs w:val="24"/>
              </w:rPr>
            </w:pPr>
            <w:r>
              <w:rPr>
                <w:sz w:val="24"/>
                <w:szCs w:val="24"/>
              </w:rPr>
              <w:t>Ensure case management for all persons with suspected or confirmed TB disease; ensure opt-out for all patients receiving a TST or QFT; education providers on the importance of collecting HIV when testing for TB infection; quarterly cross match with HIV program database</w:t>
            </w:r>
          </w:p>
        </w:tc>
        <w:tc>
          <w:tcPr>
            <w:tcW w:w="2590" w:type="dxa"/>
            <w:vAlign w:val="center"/>
          </w:tcPr>
          <w:p w14:paraId="233C6979" w14:textId="537E78CF" w:rsidR="00A00BB3" w:rsidRDefault="00772B80" w:rsidP="008A7B7A">
            <w:pPr>
              <w:jc w:val="center"/>
              <w:rPr>
                <w:sz w:val="24"/>
                <w:szCs w:val="24"/>
              </w:rPr>
            </w:pPr>
            <w:r>
              <w:rPr>
                <w:sz w:val="24"/>
                <w:szCs w:val="24"/>
              </w:rPr>
              <w:t>99% by 2025</w:t>
            </w:r>
          </w:p>
        </w:tc>
        <w:tc>
          <w:tcPr>
            <w:tcW w:w="2590" w:type="dxa"/>
            <w:vAlign w:val="center"/>
          </w:tcPr>
          <w:p w14:paraId="5FA6FC14" w14:textId="15B6D7C7" w:rsidR="00A00BB3" w:rsidRDefault="00490E1B" w:rsidP="00CF1754">
            <w:pPr>
              <w:rPr>
                <w:sz w:val="24"/>
                <w:szCs w:val="24"/>
              </w:rPr>
            </w:pPr>
            <w:r>
              <w:rPr>
                <w:sz w:val="24"/>
                <w:szCs w:val="24"/>
              </w:rPr>
              <w:t>None.</w:t>
            </w:r>
          </w:p>
        </w:tc>
        <w:tc>
          <w:tcPr>
            <w:tcW w:w="2590" w:type="dxa"/>
          </w:tcPr>
          <w:p w14:paraId="24218327" w14:textId="2CD61CD8" w:rsidR="00A00BB3" w:rsidRDefault="00490E1B" w:rsidP="00054B01">
            <w:pPr>
              <w:rPr>
                <w:sz w:val="24"/>
                <w:szCs w:val="24"/>
              </w:rPr>
            </w:pPr>
            <w:r>
              <w:rPr>
                <w:sz w:val="24"/>
                <w:szCs w:val="24"/>
              </w:rPr>
              <w:t xml:space="preserve">A review of NTIP data for 2020 and quarters one and two of 2021 showed that two (2) patients refused HIV testing; one (1) patient died in the hospital prior to an HIV testing being drawn; one (1) patient that was one year of age was not offered HIV testing, and one (1) patient was dying and receiving hospice service and </w:t>
            </w:r>
            <w:r>
              <w:rPr>
                <w:sz w:val="24"/>
                <w:szCs w:val="24"/>
              </w:rPr>
              <w:lastRenderedPageBreak/>
              <w:t>subsequently expired prior to an HIV test being drawn.</w:t>
            </w:r>
          </w:p>
        </w:tc>
      </w:tr>
      <w:tr w:rsidR="00A00BB3" w14:paraId="1A2C753A" w14:textId="77777777" w:rsidTr="00CF1754">
        <w:tc>
          <w:tcPr>
            <w:tcW w:w="2590" w:type="dxa"/>
            <w:vAlign w:val="center"/>
          </w:tcPr>
          <w:p w14:paraId="12EEABCA" w14:textId="36D32F0C" w:rsidR="00A00BB3" w:rsidRDefault="00C21B6F" w:rsidP="002213D6">
            <w:pPr>
              <w:rPr>
                <w:sz w:val="24"/>
                <w:szCs w:val="24"/>
              </w:rPr>
            </w:pPr>
            <w:r>
              <w:rPr>
                <w:sz w:val="24"/>
                <w:szCs w:val="24"/>
              </w:rPr>
              <w:lastRenderedPageBreak/>
              <w:t>For patients whose diagnosis is likely TB disease, increase the proportion who are started on the recommended initial 4-drug regimen</w:t>
            </w:r>
          </w:p>
        </w:tc>
        <w:tc>
          <w:tcPr>
            <w:tcW w:w="2590" w:type="dxa"/>
            <w:vAlign w:val="center"/>
          </w:tcPr>
          <w:p w14:paraId="69411755" w14:textId="71CAFF09" w:rsidR="00A00BB3" w:rsidRDefault="00C21B6F" w:rsidP="00CF1754">
            <w:pPr>
              <w:rPr>
                <w:sz w:val="24"/>
                <w:szCs w:val="24"/>
              </w:rPr>
            </w:pPr>
            <w:r>
              <w:rPr>
                <w:sz w:val="24"/>
                <w:szCs w:val="24"/>
              </w:rPr>
              <w:t>Create a database of all persons with suspected or confirmed TB disease and regimen initiated; educate providers on the importance of initiating 4-drug regimen for all persons with suspected or confirmed TB disease, ensure access to recommended 4 drugs for all patients</w:t>
            </w:r>
          </w:p>
        </w:tc>
        <w:tc>
          <w:tcPr>
            <w:tcW w:w="2590" w:type="dxa"/>
            <w:vAlign w:val="center"/>
          </w:tcPr>
          <w:p w14:paraId="01290581" w14:textId="308DCCD2" w:rsidR="00A00BB3" w:rsidRDefault="00C21B6F" w:rsidP="008A7B7A">
            <w:pPr>
              <w:jc w:val="center"/>
              <w:rPr>
                <w:sz w:val="24"/>
                <w:szCs w:val="24"/>
              </w:rPr>
            </w:pPr>
            <w:r>
              <w:rPr>
                <w:sz w:val="24"/>
                <w:szCs w:val="24"/>
              </w:rPr>
              <w:t>97% by 202</w:t>
            </w:r>
            <w:r w:rsidR="00772B80">
              <w:rPr>
                <w:sz w:val="24"/>
                <w:szCs w:val="24"/>
              </w:rPr>
              <w:t>5</w:t>
            </w:r>
          </w:p>
        </w:tc>
        <w:tc>
          <w:tcPr>
            <w:tcW w:w="2590" w:type="dxa"/>
            <w:vAlign w:val="center"/>
          </w:tcPr>
          <w:p w14:paraId="1DC4CF60" w14:textId="2EC08C4C" w:rsidR="00A00BB3" w:rsidRDefault="00C21B6F" w:rsidP="00CF1754">
            <w:pPr>
              <w:rPr>
                <w:sz w:val="24"/>
                <w:szCs w:val="24"/>
              </w:rPr>
            </w:pPr>
            <w:r>
              <w:rPr>
                <w:sz w:val="24"/>
                <w:szCs w:val="24"/>
              </w:rPr>
              <w:t xml:space="preserve">Regional TB clinicians are asked to provide rationale to statewide TB medical director and nurse consultant manager if a non-standard TB regimen is prescribed for any patient </w:t>
            </w:r>
          </w:p>
        </w:tc>
        <w:tc>
          <w:tcPr>
            <w:tcW w:w="2590" w:type="dxa"/>
          </w:tcPr>
          <w:p w14:paraId="2254617B" w14:textId="02539CDB" w:rsidR="00A00BB3" w:rsidRDefault="00490E1B" w:rsidP="00054B01">
            <w:pPr>
              <w:rPr>
                <w:sz w:val="24"/>
                <w:szCs w:val="24"/>
              </w:rPr>
            </w:pPr>
            <w:r>
              <w:rPr>
                <w:sz w:val="24"/>
                <w:szCs w:val="24"/>
              </w:rPr>
              <w:t xml:space="preserve">A review of NTIP data for 2020 and quarters one and two of 2021 showed that one (1) did not </w:t>
            </w:r>
            <w:r w:rsidR="00CF1754">
              <w:rPr>
                <w:sz w:val="24"/>
                <w:szCs w:val="24"/>
              </w:rPr>
              <w:t>take PZA for the initial two (2)-week period due to medication intolerance; EMB was not initiated for two (2) patients due to eye issues (i.e., uveitis eye TB and inability to follow-up with an ophthalmologist); one (1) patient did not initiate PZA due to pregnancy; and INH for one (1) patient was discontinued after nine (9) doses due to INH-resistance.</w:t>
            </w:r>
          </w:p>
        </w:tc>
      </w:tr>
      <w:tr w:rsidR="00A00BB3" w14:paraId="447FB234" w14:textId="77777777" w:rsidTr="00C21B6F">
        <w:tc>
          <w:tcPr>
            <w:tcW w:w="2590" w:type="dxa"/>
            <w:vAlign w:val="center"/>
          </w:tcPr>
          <w:p w14:paraId="397F88A3" w14:textId="0BD8E1D2" w:rsidR="00A00BB3" w:rsidRDefault="00F61CCB" w:rsidP="002213D6">
            <w:pPr>
              <w:rPr>
                <w:sz w:val="24"/>
                <w:szCs w:val="24"/>
              </w:rPr>
            </w:pPr>
            <w:r>
              <w:rPr>
                <w:sz w:val="24"/>
                <w:szCs w:val="24"/>
              </w:rPr>
              <w:t xml:space="preserve">For patients aged </w:t>
            </w:r>
            <w:r>
              <w:rPr>
                <w:rFonts w:cstheme="minorHAnsi"/>
                <w:sz w:val="24"/>
                <w:szCs w:val="24"/>
              </w:rPr>
              <w:t>≥</w:t>
            </w:r>
            <w:r>
              <w:rPr>
                <w:sz w:val="24"/>
                <w:szCs w:val="24"/>
              </w:rPr>
              <w:t xml:space="preserve">12 years with a pleural or respiratory site of disease, increase the proportion who have a </w:t>
            </w:r>
            <w:r>
              <w:rPr>
                <w:sz w:val="24"/>
                <w:szCs w:val="24"/>
              </w:rPr>
              <w:lastRenderedPageBreak/>
              <w:t>sputum culture result reported</w:t>
            </w:r>
          </w:p>
        </w:tc>
        <w:tc>
          <w:tcPr>
            <w:tcW w:w="2590" w:type="dxa"/>
          </w:tcPr>
          <w:p w14:paraId="6CA9A4F0" w14:textId="4453CFB5" w:rsidR="00A00BB3" w:rsidRDefault="00F61CCB" w:rsidP="00054B01">
            <w:pPr>
              <w:rPr>
                <w:sz w:val="24"/>
                <w:szCs w:val="24"/>
              </w:rPr>
            </w:pPr>
            <w:r>
              <w:rPr>
                <w:sz w:val="24"/>
                <w:szCs w:val="24"/>
              </w:rPr>
              <w:lastRenderedPageBreak/>
              <w:t xml:space="preserve">Ensure case management for all persons </w:t>
            </w:r>
            <w:r w:rsidR="00ED17EC">
              <w:rPr>
                <w:sz w:val="24"/>
                <w:szCs w:val="24"/>
              </w:rPr>
              <w:t xml:space="preserve">with </w:t>
            </w:r>
            <w:r>
              <w:rPr>
                <w:sz w:val="24"/>
                <w:szCs w:val="24"/>
              </w:rPr>
              <w:t xml:space="preserve">confirmed TB disease; identify processing lab for hospitals statewide; </w:t>
            </w:r>
            <w:r>
              <w:rPr>
                <w:sz w:val="24"/>
                <w:szCs w:val="24"/>
              </w:rPr>
              <w:lastRenderedPageBreak/>
              <w:t>identify which commercial laboratories do reflex TB testing; ensure providers are aware of reportable conditions and timeframes</w:t>
            </w:r>
          </w:p>
        </w:tc>
        <w:tc>
          <w:tcPr>
            <w:tcW w:w="2590" w:type="dxa"/>
            <w:vAlign w:val="center"/>
          </w:tcPr>
          <w:p w14:paraId="43296F38" w14:textId="4CF933C3" w:rsidR="00A00BB3" w:rsidRDefault="00F61CCB" w:rsidP="008A7B7A">
            <w:pPr>
              <w:jc w:val="center"/>
              <w:rPr>
                <w:sz w:val="24"/>
                <w:szCs w:val="24"/>
              </w:rPr>
            </w:pPr>
            <w:r>
              <w:rPr>
                <w:sz w:val="24"/>
                <w:szCs w:val="24"/>
              </w:rPr>
              <w:lastRenderedPageBreak/>
              <w:t>99% by 202</w:t>
            </w:r>
            <w:r w:rsidR="00772B80">
              <w:rPr>
                <w:sz w:val="24"/>
                <w:szCs w:val="24"/>
              </w:rPr>
              <w:t>5</w:t>
            </w:r>
          </w:p>
        </w:tc>
        <w:tc>
          <w:tcPr>
            <w:tcW w:w="2590" w:type="dxa"/>
          </w:tcPr>
          <w:p w14:paraId="279C7DB4" w14:textId="33F871A1" w:rsidR="00A00BB3" w:rsidRDefault="00CF1754" w:rsidP="00054B01">
            <w:pPr>
              <w:rPr>
                <w:sz w:val="24"/>
                <w:szCs w:val="24"/>
              </w:rPr>
            </w:pPr>
            <w:r>
              <w:rPr>
                <w:sz w:val="24"/>
                <w:szCs w:val="24"/>
              </w:rPr>
              <w:t xml:space="preserve">Of the 13 cases in 2020 and the first six (6) months of 2021 that did not initially meet this indicator, eight (8) were due to missing or </w:t>
            </w:r>
            <w:r>
              <w:rPr>
                <w:sz w:val="24"/>
                <w:szCs w:val="24"/>
              </w:rPr>
              <w:lastRenderedPageBreak/>
              <w:t xml:space="preserve">incorrect information that was identified during an NTIP data AQ project.  Data updates resulted in these eight (8) cases subsequently meeting the indicator. </w:t>
            </w:r>
          </w:p>
        </w:tc>
        <w:tc>
          <w:tcPr>
            <w:tcW w:w="2590" w:type="dxa"/>
          </w:tcPr>
          <w:p w14:paraId="398F2B5F" w14:textId="5EE04F04" w:rsidR="00A00BB3" w:rsidRDefault="00CF1754" w:rsidP="00054B01">
            <w:pPr>
              <w:rPr>
                <w:sz w:val="24"/>
                <w:szCs w:val="24"/>
              </w:rPr>
            </w:pPr>
            <w:r>
              <w:rPr>
                <w:sz w:val="24"/>
                <w:szCs w:val="24"/>
              </w:rPr>
              <w:lastRenderedPageBreak/>
              <w:t xml:space="preserve">Of the remaining five (5) cases that did not meet this NTIP indicator, a NTIP line list review showed that three (3) patients did </w:t>
            </w:r>
            <w:r>
              <w:rPr>
                <w:sz w:val="24"/>
                <w:szCs w:val="24"/>
              </w:rPr>
              <w:lastRenderedPageBreak/>
              <w:t>not have sputa collected due to the patient expiring or dying; one (1) was unable to produce a sputum specimen; and one (1) patient had a pending culture at the time of the NTIP data extract.</w:t>
            </w:r>
          </w:p>
        </w:tc>
      </w:tr>
      <w:tr w:rsidR="00ED17EC" w14:paraId="57528C3B" w14:textId="77777777" w:rsidTr="00136815">
        <w:tc>
          <w:tcPr>
            <w:tcW w:w="2590" w:type="dxa"/>
            <w:vAlign w:val="center"/>
          </w:tcPr>
          <w:p w14:paraId="7A58FDE8" w14:textId="77777777" w:rsidR="00ED17EC" w:rsidRDefault="00ED17EC" w:rsidP="002213D6">
            <w:pPr>
              <w:rPr>
                <w:sz w:val="24"/>
                <w:szCs w:val="24"/>
              </w:rPr>
            </w:pPr>
            <w:r>
              <w:rPr>
                <w:sz w:val="24"/>
                <w:szCs w:val="24"/>
              </w:rPr>
              <w:lastRenderedPageBreak/>
              <w:t>For patients with positive sputum culture results, increase the proportion who have documented conversion to negative within 60 days of treatment initiation</w:t>
            </w:r>
          </w:p>
          <w:p w14:paraId="32AB3BC5" w14:textId="02971DA5" w:rsidR="00241226" w:rsidRDefault="00241226" w:rsidP="002213D6">
            <w:pPr>
              <w:rPr>
                <w:sz w:val="24"/>
                <w:szCs w:val="24"/>
              </w:rPr>
            </w:pPr>
          </w:p>
        </w:tc>
        <w:tc>
          <w:tcPr>
            <w:tcW w:w="2590" w:type="dxa"/>
            <w:vAlign w:val="center"/>
          </w:tcPr>
          <w:p w14:paraId="6E20B560" w14:textId="4F43F870" w:rsidR="00ED17EC" w:rsidRDefault="00ED17EC" w:rsidP="00136815">
            <w:pPr>
              <w:rPr>
                <w:sz w:val="24"/>
                <w:szCs w:val="24"/>
              </w:rPr>
            </w:pPr>
            <w:r>
              <w:rPr>
                <w:sz w:val="24"/>
                <w:szCs w:val="24"/>
              </w:rPr>
              <w:t>Maintain sputum culture conversion log; ensure case management for all persons with confirmed TB disease; maintain laboratory summary log</w:t>
            </w:r>
          </w:p>
        </w:tc>
        <w:tc>
          <w:tcPr>
            <w:tcW w:w="2590" w:type="dxa"/>
            <w:vAlign w:val="center"/>
          </w:tcPr>
          <w:p w14:paraId="77DB28A5" w14:textId="65C79B87" w:rsidR="00ED17EC" w:rsidRDefault="00241226" w:rsidP="008A7B7A">
            <w:pPr>
              <w:jc w:val="center"/>
              <w:rPr>
                <w:sz w:val="24"/>
                <w:szCs w:val="24"/>
              </w:rPr>
            </w:pPr>
            <w:r>
              <w:rPr>
                <w:sz w:val="24"/>
                <w:szCs w:val="24"/>
              </w:rPr>
              <w:t>83% by 202</w:t>
            </w:r>
            <w:r w:rsidR="00772B80">
              <w:rPr>
                <w:sz w:val="24"/>
                <w:szCs w:val="24"/>
              </w:rPr>
              <w:t>5</w:t>
            </w:r>
          </w:p>
        </w:tc>
        <w:tc>
          <w:tcPr>
            <w:tcW w:w="2590" w:type="dxa"/>
            <w:vAlign w:val="center"/>
          </w:tcPr>
          <w:p w14:paraId="2DB33D0D" w14:textId="12915842" w:rsidR="00ED17EC" w:rsidRDefault="00241226" w:rsidP="00136815">
            <w:pPr>
              <w:rPr>
                <w:sz w:val="24"/>
                <w:szCs w:val="24"/>
              </w:rPr>
            </w:pPr>
            <w:r>
              <w:rPr>
                <w:sz w:val="24"/>
                <w:szCs w:val="24"/>
              </w:rPr>
              <w:t>Statewide sputum culture conversion rate has increased over the past four (4) years; increase use of therapeutic drug monitoring</w:t>
            </w:r>
          </w:p>
        </w:tc>
        <w:tc>
          <w:tcPr>
            <w:tcW w:w="2590" w:type="dxa"/>
          </w:tcPr>
          <w:p w14:paraId="5039DFFB" w14:textId="11AD2543" w:rsidR="00ED17EC" w:rsidRDefault="00136815" w:rsidP="00054B01">
            <w:pPr>
              <w:rPr>
                <w:sz w:val="24"/>
                <w:szCs w:val="24"/>
              </w:rPr>
            </w:pPr>
            <w:r>
              <w:rPr>
                <w:sz w:val="24"/>
                <w:szCs w:val="24"/>
              </w:rPr>
              <w:t xml:space="preserve">For 2020 and the first six (6) months of 2021, there were 18 cases that did not initially meet this NTIP indicator.  Of those, six (6) were identified to have an incorrect date for sputum culture conversion that, when updated, resulted in these cases meeting the NTIP indicator.  These data entry errors highlight the need for additional training of staff on the definition of culture conversion and correct identification of the </w:t>
            </w:r>
            <w:r>
              <w:rPr>
                <w:sz w:val="24"/>
                <w:szCs w:val="24"/>
              </w:rPr>
              <w:lastRenderedPageBreak/>
              <w:t>date of culture conversion.</w:t>
            </w:r>
          </w:p>
        </w:tc>
      </w:tr>
      <w:tr w:rsidR="00241226" w14:paraId="70F1AD6D" w14:textId="77777777" w:rsidTr="00241226">
        <w:tc>
          <w:tcPr>
            <w:tcW w:w="12950" w:type="dxa"/>
            <w:gridSpan w:val="5"/>
            <w:shd w:val="clear" w:color="auto" w:fill="D9D9D9" w:themeFill="background1" w:themeFillShade="D9"/>
            <w:vAlign w:val="center"/>
          </w:tcPr>
          <w:p w14:paraId="2FB5EA7E" w14:textId="41E91293" w:rsidR="00241226" w:rsidRPr="00241226" w:rsidRDefault="00241226" w:rsidP="00054B01">
            <w:pPr>
              <w:rPr>
                <w:b/>
                <w:bCs/>
                <w:sz w:val="24"/>
                <w:szCs w:val="24"/>
              </w:rPr>
            </w:pPr>
            <w:r>
              <w:rPr>
                <w:b/>
                <w:bCs/>
                <w:sz w:val="24"/>
                <w:szCs w:val="24"/>
              </w:rPr>
              <w:lastRenderedPageBreak/>
              <w:t>Strategy 2A: Contact Investigation for Infectious Cases</w:t>
            </w:r>
          </w:p>
        </w:tc>
      </w:tr>
      <w:tr w:rsidR="00241226" w14:paraId="1C9E77F9" w14:textId="77777777" w:rsidTr="00241226">
        <w:tc>
          <w:tcPr>
            <w:tcW w:w="5180" w:type="dxa"/>
            <w:gridSpan w:val="2"/>
            <w:shd w:val="clear" w:color="auto" w:fill="F2F2F2" w:themeFill="background1" w:themeFillShade="F2"/>
            <w:vAlign w:val="center"/>
          </w:tcPr>
          <w:p w14:paraId="1CEF74AE" w14:textId="3901A0AC" w:rsidR="00241226" w:rsidRPr="00241226" w:rsidRDefault="00241226" w:rsidP="00241226">
            <w:pPr>
              <w:jc w:val="center"/>
              <w:rPr>
                <w:b/>
                <w:bCs/>
                <w:sz w:val="24"/>
                <w:szCs w:val="24"/>
              </w:rPr>
            </w:pPr>
            <w:r>
              <w:rPr>
                <w:b/>
                <w:bCs/>
                <w:sz w:val="24"/>
                <w:szCs w:val="24"/>
              </w:rPr>
              <w:t>Related Outcomes</w:t>
            </w:r>
          </w:p>
        </w:tc>
        <w:tc>
          <w:tcPr>
            <w:tcW w:w="7770" w:type="dxa"/>
            <w:gridSpan w:val="3"/>
            <w:shd w:val="clear" w:color="auto" w:fill="F2F2F2" w:themeFill="background1" w:themeFillShade="F2"/>
            <w:vAlign w:val="center"/>
          </w:tcPr>
          <w:p w14:paraId="69632C11" w14:textId="44E9F2AF" w:rsidR="00241226" w:rsidRPr="00241226" w:rsidRDefault="00241226" w:rsidP="00241226">
            <w:pPr>
              <w:jc w:val="center"/>
              <w:rPr>
                <w:b/>
                <w:bCs/>
                <w:sz w:val="24"/>
                <w:szCs w:val="24"/>
              </w:rPr>
            </w:pPr>
            <w:r>
              <w:rPr>
                <w:b/>
                <w:bCs/>
                <w:sz w:val="24"/>
                <w:szCs w:val="24"/>
              </w:rPr>
              <w:t>Measures of Success</w:t>
            </w:r>
          </w:p>
        </w:tc>
      </w:tr>
      <w:tr w:rsidR="00241226" w14:paraId="4E4A9ECB" w14:textId="77777777" w:rsidTr="0021319E">
        <w:tc>
          <w:tcPr>
            <w:tcW w:w="5180" w:type="dxa"/>
            <w:gridSpan w:val="2"/>
            <w:vAlign w:val="center"/>
          </w:tcPr>
          <w:p w14:paraId="22213E13" w14:textId="57CD3C56" w:rsidR="00241226" w:rsidRDefault="00772B80" w:rsidP="00241226">
            <w:pPr>
              <w:rPr>
                <w:sz w:val="24"/>
                <w:szCs w:val="24"/>
              </w:rPr>
            </w:pPr>
            <w:r>
              <w:rPr>
                <w:sz w:val="24"/>
                <w:szCs w:val="24"/>
              </w:rPr>
              <w:t>Increase in (1) contacts elicited/examined and (2) contacts initiating/completing LTBI treatment</w:t>
            </w:r>
          </w:p>
        </w:tc>
        <w:tc>
          <w:tcPr>
            <w:tcW w:w="7770" w:type="dxa"/>
            <w:gridSpan w:val="3"/>
          </w:tcPr>
          <w:p w14:paraId="636900A5" w14:textId="57A66481" w:rsidR="00241226" w:rsidRDefault="00241226" w:rsidP="00241226">
            <w:pPr>
              <w:rPr>
                <w:sz w:val="24"/>
                <w:szCs w:val="24"/>
              </w:rPr>
            </w:pPr>
            <w:r>
              <w:rPr>
                <w:sz w:val="24"/>
                <w:szCs w:val="24"/>
              </w:rPr>
              <w:t xml:space="preserve">National TB Indicator Project (NTIP) objectives for contact investigation can be accessed at: </w:t>
            </w:r>
            <w:hyperlink r:id="rId12" w:history="1">
              <w:r w:rsidRPr="00A33505">
                <w:rPr>
                  <w:rStyle w:val="Hyperlink"/>
                  <w:sz w:val="24"/>
                  <w:szCs w:val="24"/>
                </w:rPr>
                <w:t>https://www.cdc.gov/tb/programs/evaluation/indicators/default.htm</w:t>
              </w:r>
            </w:hyperlink>
            <w:r>
              <w:rPr>
                <w:sz w:val="24"/>
                <w:szCs w:val="24"/>
              </w:rPr>
              <w:t xml:space="preserve"> </w:t>
            </w:r>
          </w:p>
        </w:tc>
      </w:tr>
      <w:tr w:rsidR="00241226" w14:paraId="3CAE3BCE" w14:textId="77777777" w:rsidTr="00772B80">
        <w:tc>
          <w:tcPr>
            <w:tcW w:w="2590" w:type="dxa"/>
            <w:shd w:val="clear" w:color="auto" w:fill="F2F2F2" w:themeFill="background1" w:themeFillShade="F2"/>
            <w:vAlign w:val="center"/>
          </w:tcPr>
          <w:p w14:paraId="3D004D8F" w14:textId="56CE319D" w:rsidR="00241226" w:rsidRPr="00772B80" w:rsidRDefault="00772B80" w:rsidP="00772B80">
            <w:pPr>
              <w:jc w:val="center"/>
              <w:rPr>
                <w:b/>
                <w:bCs/>
                <w:sz w:val="24"/>
                <w:szCs w:val="24"/>
              </w:rPr>
            </w:pPr>
            <w:r>
              <w:rPr>
                <w:b/>
                <w:bCs/>
                <w:sz w:val="24"/>
                <w:szCs w:val="24"/>
              </w:rPr>
              <w:t>Objectives</w:t>
            </w:r>
          </w:p>
        </w:tc>
        <w:tc>
          <w:tcPr>
            <w:tcW w:w="2590" w:type="dxa"/>
            <w:shd w:val="clear" w:color="auto" w:fill="F2F2F2" w:themeFill="background1" w:themeFillShade="F2"/>
          </w:tcPr>
          <w:p w14:paraId="4FAC3061" w14:textId="26063161" w:rsidR="00241226" w:rsidRPr="00772B80" w:rsidRDefault="00772B80" w:rsidP="00772B80">
            <w:pPr>
              <w:jc w:val="center"/>
              <w:rPr>
                <w:b/>
                <w:bCs/>
                <w:sz w:val="24"/>
                <w:szCs w:val="24"/>
              </w:rPr>
            </w:pPr>
            <w:r>
              <w:rPr>
                <w:b/>
                <w:bCs/>
                <w:sz w:val="24"/>
                <w:szCs w:val="24"/>
              </w:rPr>
              <w:t>Activities</w:t>
            </w:r>
          </w:p>
        </w:tc>
        <w:tc>
          <w:tcPr>
            <w:tcW w:w="2590" w:type="dxa"/>
            <w:shd w:val="clear" w:color="auto" w:fill="F2F2F2" w:themeFill="background1" w:themeFillShade="F2"/>
            <w:vAlign w:val="center"/>
          </w:tcPr>
          <w:p w14:paraId="1BC8D361" w14:textId="40019578" w:rsidR="00241226" w:rsidRPr="00772B80" w:rsidRDefault="00772B80" w:rsidP="00772B80">
            <w:pPr>
              <w:jc w:val="center"/>
              <w:rPr>
                <w:b/>
                <w:bCs/>
                <w:sz w:val="24"/>
                <w:szCs w:val="24"/>
              </w:rPr>
            </w:pPr>
            <w:r>
              <w:rPr>
                <w:b/>
                <w:bCs/>
                <w:sz w:val="24"/>
                <w:szCs w:val="24"/>
              </w:rPr>
              <w:t>Timeline</w:t>
            </w:r>
          </w:p>
        </w:tc>
        <w:tc>
          <w:tcPr>
            <w:tcW w:w="2590" w:type="dxa"/>
            <w:shd w:val="clear" w:color="auto" w:fill="F2F2F2" w:themeFill="background1" w:themeFillShade="F2"/>
          </w:tcPr>
          <w:p w14:paraId="0261F76D" w14:textId="6DD4112A" w:rsidR="00241226" w:rsidRPr="00772B80" w:rsidRDefault="00772B80" w:rsidP="00772B80">
            <w:pPr>
              <w:jc w:val="center"/>
              <w:rPr>
                <w:b/>
                <w:bCs/>
                <w:sz w:val="24"/>
                <w:szCs w:val="24"/>
              </w:rPr>
            </w:pPr>
            <w:r>
              <w:rPr>
                <w:b/>
                <w:bCs/>
                <w:sz w:val="24"/>
                <w:szCs w:val="24"/>
              </w:rPr>
              <w:t>Successes</w:t>
            </w:r>
          </w:p>
        </w:tc>
        <w:tc>
          <w:tcPr>
            <w:tcW w:w="2590" w:type="dxa"/>
            <w:shd w:val="clear" w:color="auto" w:fill="F2F2F2" w:themeFill="background1" w:themeFillShade="F2"/>
          </w:tcPr>
          <w:p w14:paraId="035DB325" w14:textId="28BD9BDA" w:rsidR="00241226" w:rsidRPr="00772B80" w:rsidRDefault="00772B80" w:rsidP="00772B80">
            <w:pPr>
              <w:jc w:val="center"/>
              <w:rPr>
                <w:b/>
                <w:bCs/>
                <w:sz w:val="24"/>
                <w:szCs w:val="24"/>
              </w:rPr>
            </w:pPr>
            <w:r>
              <w:rPr>
                <w:b/>
                <w:bCs/>
                <w:sz w:val="24"/>
                <w:szCs w:val="24"/>
              </w:rPr>
              <w:t>Barriers</w:t>
            </w:r>
          </w:p>
        </w:tc>
      </w:tr>
      <w:tr w:rsidR="00117F3F" w14:paraId="483C8402" w14:textId="77777777" w:rsidTr="00304260">
        <w:tc>
          <w:tcPr>
            <w:tcW w:w="2590" w:type="dxa"/>
            <w:vAlign w:val="center"/>
          </w:tcPr>
          <w:p w14:paraId="73CDFBF2" w14:textId="083A803F" w:rsidR="00117F3F" w:rsidRDefault="00117F3F" w:rsidP="00117F3F">
            <w:pPr>
              <w:rPr>
                <w:sz w:val="24"/>
                <w:szCs w:val="24"/>
              </w:rPr>
            </w:pPr>
            <w:r>
              <w:rPr>
                <w:sz w:val="24"/>
                <w:szCs w:val="24"/>
              </w:rPr>
              <w:t xml:space="preserve">For TB patients with positive AFB sputum smear results, increase the proportion who have contacts elicited </w:t>
            </w:r>
          </w:p>
        </w:tc>
        <w:tc>
          <w:tcPr>
            <w:tcW w:w="2590" w:type="dxa"/>
          </w:tcPr>
          <w:p w14:paraId="404777E9" w14:textId="6B29C7D3" w:rsidR="00117F3F" w:rsidRDefault="00117F3F" w:rsidP="00117F3F">
            <w:pPr>
              <w:rPr>
                <w:sz w:val="24"/>
                <w:szCs w:val="24"/>
              </w:rPr>
            </w:pPr>
            <w:r>
              <w:rPr>
                <w:sz w:val="24"/>
                <w:szCs w:val="24"/>
              </w:rPr>
              <w:t xml:space="preserve">Ensure that all staff conducting contact investigations are adequately trained in contact investigation; assess contact investigation data to determine if re-interviews of index patients are needed.   </w:t>
            </w:r>
          </w:p>
        </w:tc>
        <w:tc>
          <w:tcPr>
            <w:tcW w:w="2590" w:type="dxa"/>
            <w:vAlign w:val="center"/>
          </w:tcPr>
          <w:p w14:paraId="10D00F5F" w14:textId="16974B08" w:rsidR="00117F3F" w:rsidRDefault="00117F3F" w:rsidP="00117F3F">
            <w:pPr>
              <w:jc w:val="center"/>
              <w:rPr>
                <w:sz w:val="24"/>
                <w:szCs w:val="24"/>
              </w:rPr>
            </w:pPr>
            <w:r>
              <w:rPr>
                <w:sz w:val="24"/>
                <w:szCs w:val="24"/>
              </w:rPr>
              <w:t>100% by 2025</w:t>
            </w:r>
          </w:p>
        </w:tc>
        <w:tc>
          <w:tcPr>
            <w:tcW w:w="2590" w:type="dxa"/>
            <w:vAlign w:val="center"/>
          </w:tcPr>
          <w:p w14:paraId="18EA6E4E" w14:textId="7730915F" w:rsidR="00117F3F" w:rsidRDefault="00304260" w:rsidP="00304260">
            <w:pPr>
              <w:rPr>
                <w:sz w:val="24"/>
                <w:szCs w:val="24"/>
              </w:rPr>
            </w:pPr>
            <w:r>
              <w:rPr>
                <w:sz w:val="24"/>
                <w:szCs w:val="24"/>
              </w:rPr>
              <w:t>None.</w:t>
            </w:r>
          </w:p>
        </w:tc>
        <w:tc>
          <w:tcPr>
            <w:tcW w:w="2590" w:type="dxa"/>
          </w:tcPr>
          <w:p w14:paraId="7496620D" w14:textId="64B11B93" w:rsidR="00117F3F" w:rsidRDefault="005E2453" w:rsidP="00117F3F">
            <w:pPr>
              <w:rPr>
                <w:sz w:val="24"/>
                <w:szCs w:val="24"/>
              </w:rPr>
            </w:pPr>
            <w:r>
              <w:rPr>
                <w:sz w:val="24"/>
                <w:szCs w:val="24"/>
              </w:rPr>
              <w:t xml:space="preserve">A review of cases not meeting this NTIP indicator was </w:t>
            </w:r>
            <w:r w:rsidR="00304260">
              <w:rPr>
                <w:sz w:val="24"/>
                <w:szCs w:val="24"/>
              </w:rPr>
              <w:t>completed,</w:t>
            </w:r>
            <w:r>
              <w:rPr>
                <w:sz w:val="24"/>
                <w:szCs w:val="24"/>
              </w:rPr>
              <w:t xml:space="preserve"> and the following results found: one (1) case that was smear-positive/culture-negative did not have any contacts due to the fact that she was a contact to her husband who was a confirmed case and her contacts had previously been identified and tested as part of her husband’s contact investigation</w:t>
            </w:r>
            <w:r w:rsidR="009809F9">
              <w:rPr>
                <w:sz w:val="24"/>
                <w:szCs w:val="24"/>
              </w:rPr>
              <w:t>.  Two patients did not provide contact information even after repeated interviews.</w:t>
            </w:r>
          </w:p>
        </w:tc>
      </w:tr>
      <w:tr w:rsidR="00772B80" w14:paraId="65AD6BD9" w14:textId="77777777" w:rsidTr="00C21B6F">
        <w:tc>
          <w:tcPr>
            <w:tcW w:w="2590" w:type="dxa"/>
            <w:vAlign w:val="center"/>
          </w:tcPr>
          <w:p w14:paraId="48B90902" w14:textId="0782ED77" w:rsidR="00772B80" w:rsidRDefault="00772B80" w:rsidP="00241226">
            <w:pPr>
              <w:rPr>
                <w:sz w:val="24"/>
                <w:szCs w:val="24"/>
              </w:rPr>
            </w:pPr>
            <w:r>
              <w:rPr>
                <w:sz w:val="24"/>
                <w:szCs w:val="24"/>
              </w:rPr>
              <w:t xml:space="preserve">For contacts to sputum AFB smear positive TB </w:t>
            </w:r>
            <w:r>
              <w:rPr>
                <w:sz w:val="24"/>
                <w:szCs w:val="24"/>
              </w:rPr>
              <w:lastRenderedPageBreak/>
              <w:t>cases, increase the proportion who are examined for infection and disease</w:t>
            </w:r>
          </w:p>
        </w:tc>
        <w:tc>
          <w:tcPr>
            <w:tcW w:w="2590" w:type="dxa"/>
          </w:tcPr>
          <w:p w14:paraId="7D9B7DFF" w14:textId="7C20C023" w:rsidR="00772B80" w:rsidRDefault="00B232CB" w:rsidP="00241226">
            <w:pPr>
              <w:rPr>
                <w:sz w:val="24"/>
                <w:szCs w:val="24"/>
              </w:rPr>
            </w:pPr>
            <w:r>
              <w:rPr>
                <w:sz w:val="24"/>
                <w:szCs w:val="24"/>
              </w:rPr>
              <w:lastRenderedPageBreak/>
              <w:t xml:space="preserve">Ensure all regional TB clinicians know the </w:t>
            </w:r>
            <w:r>
              <w:rPr>
                <w:sz w:val="24"/>
                <w:szCs w:val="24"/>
              </w:rPr>
              <w:lastRenderedPageBreak/>
              <w:t>criteria for “fully evaluated”; ensure that contact investigations are prioritized according to Tennessee TB Elimination Program</w:t>
            </w:r>
            <w:r w:rsidR="005A0265">
              <w:rPr>
                <w:sz w:val="24"/>
                <w:szCs w:val="24"/>
              </w:rPr>
              <w:t xml:space="preserve"> (TTBEP)</w:t>
            </w:r>
            <w:r>
              <w:rPr>
                <w:sz w:val="24"/>
                <w:szCs w:val="24"/>
              </w:rPr>
              <w:t xml:space="preserve"> Manual</w:t>
            </w:r>
          </w:p>
        </w:tc>
        <w:tc>
          <w:tcPr>
            <w:tcW w:w="2590" w:type="dxa"/>
            <w:vAlign w:val="center"/>
          </w:tcPr>
          <w:p w14:paraId="513D8B88" w14:textId="01B138D7" w:rsidR="00772B80" w:rsidRDefault="00772B80" w:rsidP="00241226">
            <w:pPr>
              <w:jc w:val="center"/>
              <w:rPr>
                <w:sz w:val="24"/>
                <w:szCs w:val="24"/>
              </w:rPr>
            </w:pPr>
            <w:r>
              <w:rPr>
                <w:sz w:val="24"/>
                <w:szCs w:val="24"/>
              </w:rPr>
              <w:lastRenderedPageBreak/>
              <w:t>94% by 2025</w:t>
            </w:r>
          </w:p>
        </w:tc>
        <w:tc>
          <w:tcPr>
            <w:tcW w:w="2590" w:type="dxa"/>
          </w:tcPr>
          <w:p w14:paraId="411ECFD3" w14:textId="7EA70525" w:rsidR="00772B80" w:rsidRDefault="006E4C82" w:rsidP="00241226">
            <w:pPr>
              <w:rPr>
                <w:sz w:val="24"/>
                <w:szCs w:val="24"/>
              </w:rPr>
            </w:pPr>
            <w:r>
              <w:rPr>
                <w:sz w:val="24"/>
                <w:szCs w:val="24"/>
              </w:rPr>
              <w:t xml:space="preserve">Due to the COVID-19 pandemic, the TTBEP </w:t>
            </w:r>
            <w:r>
              <w:rPr>
                <w:sz w:val="24"/>
                <w:szCs w:val="24"/>
              </w:rPr>
              <w:lastRenderedPageBreak/>
              <w:t>issued interim guidance for regional TB programs that included recommendations to perform as much of the focused evaluation as possible either over the phone or via video (i.e., telehealth).  This was a successful initiative that has continued.</w:t>
            </w:r>
          </w:p>
        </w:tc>
        <w:tc>
          <w:tcPr>
            <w:tcW w:w="2590" w:type="dxa"/>
          </w:tcPr>
          <w:p w14:paraId="5617AF50" w14:textId="7DDC52E1" w:rsidR="00772B80" w:rsidRDefault="006E4C82" w:rsidP="00241226">
            <w:pPr>
              <w:rPr>
                <w:sz w:val="24"/>
                <w:szCs w:val="24"/>
              </w:rPr>
            </w:pPr>
            <w:r>
              <w:rPr>
                <w:sz w:val="24"/>
                <w:szCs w:val="24"/>
              </w:rPr>
              <w:lastRenderedPageBreak/>
              <w:t xml:space="preserve">Due to the COVID-19 pandemic, staff were </w:t>
            </w:r>
            <w:r>
              <w:rPr>
                <w:sz w:val="24"/>
                <w:szCs w:val="24"/>
              </w:rPr>
              <w:lastRenderedPageBreak/>
              <w:t>reassigned to assist with COVID-19 activities which limited the number of scheduled clinics held.  In addition, persons identified as contacts were hesitant to visit health departments to complete the evaluation process.</w:t>
            </w:r>
          </w:p>
        </w:tc>
      </w:tr>
      <w:tr w:rsidR="00772B80" w14:paraId="533F5E95" w14:textId="77777777" w:rsidTr="00304260">
        <w:tc>
          <w:tcPr>
            <w:tcW w:w="2590" w:type="dxa"/>
            <w:vAlign w:val="center"/>
          </w:tcPr>
          <w:p w14:paraId="5AFC2E26" w14:textId="631A8E7D" w:rsidR="00772B80" w:rsidRDefault="00772B80" w:rsidP="00241226">
            <w:pPr>
              <w:rPr>
                <w:sz w:val="24"/>
                <w:szCs w:val="24"/>
              </w:rPr>
            </w:pPr>
            <w:r>
              <w:rPr>
                <w:sz w:val="24"/>
                <w:szCs w:val="24"/>
              </w:rPr>
              <w:lastRenderedPageBreak/>
              <w:t xml:space="preserve">For contacts to sputum AFB smear positive TB cases diagnosed with latent TB infection, increase the proportion who </w:t>
            </w:r>
            <w:r w:rsidR="00881CD2">
              <w:rPr>
                <w:sz w:val="24"/>
                <w:szCs w:val="24"/>
              </w:rPr>
              <w:t>start treatment</w:t>
            </w:r>
            <w:r>
              <w:rPr>
                <w:sz w:val="24"/>
                <w:szCs w:val="24"/>
              </w:rPr>
              <w:t xml:space="preserve"> </w:t>
            </w:r>
          </w:p>
        </w:tc>
        <w:tc>
          <w:tcPr>
            <w:tcW w:w="2590" w:type="dxa"/>
          </w:tcPr>
          <w:p w14:paraId="17835221" w14:textId="2F3F88DD" w:rsidR="00772B80" w:rsidRDefault="005A0265" w:rsidP="00241226">
            <w:pPr>
              <w:rPr>
                <w:sz w:val="24"/>
                <w:szCs w:val="24"/>
              </w:rPr>
            </w:pPr>
            <w:r>
              <w:rPr>
                <w:sz w:val="24"/>
                <w:szCs w:val="24"/>
              </w:rPr>
              <w:t>Ensure providers provide culturally appropriate education about TB infection and progression to active TB disease; ensure contacts are prioritized for treatment according to TTBEP Manual</w:t>
            </w:r>
          </w:p>
        </w:tc>
        <w:tc>
          <w:tcPr>
            <w:tcW w:w="2590" w:type="dxa"/>
            <w:vAlign w:val="center"/>
          </w:tcPr>
          <w:p w14:paraId="23F28C2A" w14:textId="244FED0F" w:rsidR="00772B80" w:rsidRDefault="00772B80" w:rsidP="00241226">
            <w:pPr>
              <w:jc w:val="center"/>
              <w:rPr>
                <w:sz w:val="24"/>
                <w:szCs w:val="24"/>
              </w:rPr>
            </w:pPr>
            <w:r>
              <w:rPr>
                <w:sz w:val="24"/>
                <w:szCs w:val="24"/>
              </w:rPr>
              <w:t>92% by 2025</w:t>
            </w:r>
          </w:p>
        </w:tc>
        <w:tc>
          <w:tcPr>
            <w:tcW w:w="2590" w:type="dxa"/>
            <w:vAlign w:val="center"/>
          </w:tcPr>
          <w:p w14:paraId="2AF7E85F" w14:textId="7337713C" w:rsidR="00772B80" w:rsidRDefault="00304260" w:rsidP="00304260">
            <w:pPr>
              <w:rPr>
                <w:sz w:val="24"/>
                <w:szCs w:val="24"/>
              </w:rPr>
            </w:pPr>
            <w:r>
              <w:rPr>
                <w:sz w:val="24"/>
                <w:szCs w:val="24"/>
              </w:rPr>
              <w:t>None.</w:t>
            </w:r>
          </w:p>
        </w:tc>
        <w:tc>
          <w:tcPr>
            <w:tcW w:w="2590" w:type="dxa"/>
          </w:tcPr>
          <w:p w14:paraId="039A586F" w14:textId="6C73AF8A" w:rsidR="00772B80" w:rsidRDefault="001414CB" w:rsidP="00241226">
            <w:pPr>
              <w:rPr>
                <w:sz w:val="24"/>
                <w:szCs w:val="24"/>
              </w:rPr>
            </w:pPr>
            <w:r>
              <w:rPr>
                <w:sz w:val="24"/>
                <w:szCs w:val="24"/>
              </w:rPr>
              <w:t xml:space="preserve">Due to the COVID-19 pandemic the TTBEP recommended that regional TB clinics limit clinic hours and face-to-face contact with patients.  In addition, patients were hesitant to visit the health department.  </w:t>
            </w:r>
          </w:p>
        </w:tc>
      </w:tr>
      <w:tr w:rsidR="00772B80" w14:paraId="1E14E38D" w14:textId="77777777" w:rsidTr="00C21B6F">
        <w:tc>
          <w:tcPr>
            <w:tcW w:w="2590" w:type="dxa"/>
            <w:vAlign w:val="center"/>
          </w:tcPr>
          <w:p w14:paraId="27F0C444" w14:textId="77777777" w:rsidR="00772B80" w:rsidRDefault="00772B80" w:rsidP="00241226">
            <w:pPr>
              <w:rPr>
                <w:sz w:val="24"/>
                <w:szCs w:val="24"/>
              </w:rPr>
            </w:pPr>
            <w:r>
              <w:rPr>
                <w:sz w:val="24"/>
                <w:szCs w:val="24"/>
              </w:rPr>
              <w:t>For contac</w:t>
            </w:r>
            <w:r w:rsidR="00255CEB">
              <w:rPr>
                <w:sz w:val="24"/>
                <w:szCs w:val="24"/>
              </w:rPr>
              <w:t>ts to sputum AFB smear positive TB cases who have started treatment for latent TB infection, increase the proportion who complete treatment</w:t>
            </w:r>
          </w:p>
          <w:p w14:paraId="4607E5C1" w14:textId="474E7524" w:rsidR="00881CD2" w:rsidRDefault="00881CD2" w:rsidP="00241226">
            <w:pPr>
              <w:rPr>
                <w:sz w:val="24"/>
                <w:szCs w:val="24"/>
              </w:rPr>
            </w:pPr>
          </w:p>
        </w:tc>
        <w:tc>
          <w:tcPr>
            <w:tcW w:w="2590" w:type="dxa"/>
          </w:tcPr>
          <w:p w14:paraId="38060005" w14:textId="1B63CE35" w:rsidR="00772B80" w:rsidRDefault="005A0265" w:rsidP="00241226">
            <w:pPr>
              <w:rPr>
                <w:sz w:val="24"/>
                <w:szCs w:val="24"/>
              </w:rPr>
            </w:pPr>
            <w:r>
              <w:rPr>
                <w:sz w:val="24"/>
                <w:szCs w:val="24"/>
              </w:rPr>
              <w:t>Increase use of 12-week isoniazid/rifapentine regimen; expand use of electronic directly observed therapy (eDOT); ensure case management of persons with confirmed TB infection (TBI)</w:t>
            </w:r>
          </w:p>
        </w:tc>
        <w:tc>
          <w:tcPr>
            <w:tcW w:w="2590" w:type="dxa"/>
            <w:vAlign w:val="center"/>
          </w:tcPr>
          <w:p w14:paraId="593B90AA" w14:textId="31B136B9" w:rsidR="00772B80" w:rsidRDefault="00484A77" w:rsidP="00241226">
            <w:pPr>
              <w:jc w:val="center"/>
              <w:rPr>
                <w:sz w:val="24"/>
                <w:szCs w:val="24"/>
              </w:rPr>
            </w:pPr>
            <w:r>
              <w:rPr>
                <w:sz w:val="24"/>
                <w:szCs w:val="24"/>
              </w:rPr>
              <w:t>93% by 2025</w:t>
            </w:r>
          </w:p>
        </w:tc>
        <w:tc>
          <w:tcPr>
            <w:tcW w:w="2590" w:type="dxa"/>
          </w:tcPr>
          <w:p w14:paraId="5D29A339" w14:textId="15A8A990" w:rsidR="00772B80" w:rsidRPr="00ED567E" w:rsidRDefault="001414CB" w:rsidP="00241226">
            <w:pPr>
              <w:rPr>
                <w:sz w:val="24"/>
                <w:szCs w:val="24"/>
              </w:rPr>
            </w:pPr>
            <w:r>
              <w:rPr>
                <w:sz w:val="24"/>
                <w:szCs w:val="24"/>
              </w:rPr>
              <w:t>In 2020, the TTBEP piloted the emocha</w:t>
            </w:r>
            <w:r>
              <w:rPr>
                <w:rFonts w:cstheme="minorHAnsi"/>
                <w:sz w:val="24"/>
                <w:szCs w:val="24"/>
                <w:vertAlign w:val="superscript"/>
              </w:rPr>
              <w:t>®</w:t>
            </w:r>
            <w:r>
              <w:rPr>
                <w:sz w:val="24"/>
                <w:szCs w:val="24"/>
              </w:rPr>
              <w:t xml:space="preserve"> electronic directly observed therapy (</w:t>
            </w:r>
            <w:r w:rsidR="00ED567E">
              <w:rPr>
                <w:sz w:val="24"/>
                <w:szCs w:val="24"/>
              </w:rPr>
              <w:t>e</w:t>
            </w:r>
            <w:r>
              <w:rPr>
                <w:sz w:val="24"/>
                <w:szCs w:val="24"/>
              </w:rPr>
              <w:t>DOT) platform for synchronous and asynchronous use</w:t>
            </w:r>
            <w:r w:rsidR="00ED567E">
              <w:rPr>
                <w:sz w:val="24"/>
                <w:szCs w:val="24"/>
              </w:rPr>
              <w:t xml:space="preserve"> and expanded use to 11 of the 12 regional TB programs (one regional </w:t>
            </w:r>
            <w:r w:rsidR="00ED567E">
              <w:rPr>
                <w:sz w:val="24"/>
                <w:szCs w:val="24"/>
              </w:rPr>
              <w:lastRenderedPageBreak/>
              <w:t>TB program opted out of using emocha</w:t>
            </w:r>
            <w:r w:rsidR="00ED567E">
              <w:rPr>
                <w:rFonts w:cstheme="minorHAnsi"/>
                <w:sz w:val="24"/>
                <w:szCs w:val="24"/>
                <w:vertAlign w:val="superscript"/>
              </w:rPr>
              <w:t>®</w:t>
            </w:r>
            <w:r w:rsidR="00ED567E">
              <w:rPr>
                <w:sz w:val="24"/>
                <w:szCs w:val="24"/>
              </w:rPr>
              <w:t>).  In addition, the criteria to begin using eDOT was modified during COVID-19 to allow for patients to utilize eDOT earlier in their treatment regimen.</w:t>
            </w:r>
          </w:p>
        </w:tc>
        <w:tc>
          <w:tcPr>
            <w:tcW w:w="2590" w:type="dxa"/>
          </w:tcPr>
          <w:p w14:paraId="216796E7" w14:textId="26C73C12" w:rsidR="00772B80" w:rsidRDefault="001414CB" w:rsidP="00241226">
            <w:pPr>
              <w:rPr>
                <w:sz w:val="24"/>
                <w:szCs w:val="24"/>
              </w:rPr>
            </w:pPr>
            <w:r>
              <w:rPr>
                <w:sz w:val="24"/>
                <w:szCs w:val="24"/>
              </w:rPr>
              <w:lastRenderedPageBreak/>
              <w:t xml:space="preserve">The same barriers for </w:t>
            </w:r>
            <w:r w:rsidR="00ED567E">
              <w:rPr>
                <w:sz w:val="24"/>
                <w:szCs w:val="24"/>
              </w:rPr>
              <w:t xml:space="preserve">initiation of treatment for contacts is applicable for completion of treatment.  In addition, for a period of time during </w:t>
            </w:r>
            <w:r w:rsidR="006C1440">
              <w:rPr>
                <w:sz w:val="24"/>
                <w:szCs w:val="24"/>
              </w:rPr>
              <w:t xml:space="preserve">the COVID-19 pandemic, the TTBEP recommended that no </w:t>
            </w:r>
            <w:r w:rsidR="006C1440">
              <w:rPr>
                <w:sz w:val="24"/>
                <w:szCs w:val="24"/>
              </w:rPr>
              <w:lastRenderedPageBreak/>
              <w:t>new patients diagnosed with TB infection (TBI) initiate the 12-week isoniazid/rifapentine (“3HP”) regimen due to a shortage of rifapentine.  Once those restrictions were lifted in October 2020, providers remained hesitant to initiate 3HP due to nitrosamine impurities in rifamycins.</w:t>
            </w:r>
          </w:p>
        </w:tc>
      </w:tr>
      <w:tr w:rsidR="00881CD2" w14:paraId="63E44596" w14:textId="77777777" w:rsidTr="00881CD2">
        <w:tc>
          <w:tcPr>
            <w:tcW w:w="12950" w:type="dxa"/>
            <w:gridSpan w:val="5"/>
            <w:shd w:val="clear" w:color="auto" w:fill="D9D9D9" w:themeFill="background1" w:themeFillShade="D9"/>
            <w:vAlign w:val="center"/>
          </w:tcPr>
          <w:p w14:paraId="427A2B84" w14:textId="0AC27D79" w:rsidR="00881CD2" w:rsidRPr="00881CD2" w:rsidRDefault="00881CD2" w:rsidP="00241226">
            <w:pPr>
              <w:rPr>
                <w:b/>
                <w:bCs/>
                <w:sz w:val="24"/>
                <w:szCs w:val="24"/>
              </w:rPr>
            </w:pPr>
            <w:r>
              <w:rPr>
                <w:b/>
                <w:bCs/>
                <w:sz w:val="24"/>
                <w:szCs w:val="24"/>
              </w:rPr>
              <w:lastRenderedPageBreak/>
              <w:t xml:space="preserve">Strategy 2B: Examination of Immigrants and Refugees </w:t>
            </w:r>
          </w:p>
        </w:tc>
      </w:tr>
      <w:tr w:rsidR="00881CD2" w14:paraId="351F3DB8" w14:textId="77777777" w:rsidTr="00881CD2">
        <w:tc>
          <w:tcPr>
            <w:tcW w:w="5180" w:type="dxa"/>
            <w:gridSpan w:val="2"/>
            <w:shd w:val="clear" w:color="auto" w:fill="F2F2F2" w:themeFill="background1" w:themeFillShade="F2"/>
            <w:vAlign w:val="center"/>
          </w:tcPr>
          <w:p w14:paraId="05F69E3A" w14:textId="69F2C43A" w:rsidR="00881CD2" w:rsidRPr="00881CD2" w:rsidRDefault="00881CD2" w:rsidP="00881CD2">
            <w:pPr>
              <w:jc w:val="center"/>
              <w:rPr>
                <w:b/>
                <w:bCs/>
                <w:sz w:val="24"/>
                <w:szCs w:val="24"/>
              </w:rPr>
            </w:pPr>
            <w:r>
              <w:rPr>
                <w:b/>
                <w:bCs/>
                <w:sz w:val="24"/>
                <w:szCs w:val="24"/>
              </w:rPr>
              <w:t>Related Outcomes</w:t>
            </w:r>
          </w:p>
        </w:tc>
        <w:tc>
          <w:tcPr>
            <w:tcW w:w="7770" w:type="dxa"/>
            <w:gridSpan w:val="3"/>
            <w:shd w:val="clear" w:color="auto" w:fill="F2F2F2" w:themeFill="background1" w:themeFillShade="F2"/>
            <w:vAlign w:val="center"/>
          </w:tcPr>
          <w:p w14:paraId="16B83D95" w14:textId="2E5976D5" w:rsidR="00881CD2" w:rsidRPr="00881CD2" w:rsidRDefault="00881CD2" w:rsidP="00881CD2">
            <w:pPr>
              <w:jc w:val="center"/>
              <w:rPr>
                <w:b/>
                <w:bCs/>
                <w:sz w:val="24"/>
                <w:szCs w:val="24"/>
              </w:rPr>
            </w:pPr>
            <w:r>
              <w:rPr>
                <w:b/>
                <w:bCs/>
                <w:sz w:val="24"/>
                <w:szCs w:val="24"/>
              </w:rPr>
              <w:t>Measures of Success</w:t>
            </w:r>
          </w:p>
        </w:tc>
      </w:tr>
      <w:tr w:rsidR="00881CD2" w14:paraId="5C31442E" w14:textId="77777777" w:rsidTr="0021319E">
        <w:tc>
          <w:tcPr>
            <w:tcW w:w="5180" w:type="dxa"/>
            <w:gridSpan w:val="2"/>
            <w:vAlign w:val="center"/>
          </w:tcPr>
          <w:p w14:paraId="45B91489" w14:textId="1B0AACA2" w:rsidR="00881CD2" w:rsidRDefault="0011134E" w:rsidP="00881CD2">
            <w:pPr>
              <w:rPr>
                <w:sz w:val="24"/>
                <w:szCs w:val="24"/>
              </w:rPr>
            </w:pPr>
            <w:r>
              <w:rPr>
                <w:sz w:val="24"/>
                <w:szCs w:val="24"/>
              </w:rPr>
              <w:t>Increase in (1) treatment initiation for patients with LTBI/prior pulmonary TB who are recommended for treatment and (2) LTBI diagnoses and high-risk patients who initiate treatment</w:t>
            </w:r>
          </w:p>
        </w:tc>
        <w:tc>
          <w:tcPr>
            <w:tcW w:w="7770" w:type="dxa"/>
            <w:gridSpan w:val="3"/>
          </w:tcPr>
          <w:p w14:paraId="3D540ADB" w14:textId="3C926680" w:rsidR="00881CD2" w:rsidRDefault="00881CD2" w:rsidP="00881CD2">
            <w:pPr>
              <w:rPr>
                <w:sz w:val="24"/>
                <w:szCs w:val="24"/>
              </w:rPr>
            </w:pPr>
            <w:r>
              <w:rPr>
                <w:sz w:val="24"/>
                <w:szCs w:val="24"/>
              </w:rPr>
              <w:t xml:space="preserve">National TB Indicator Project (NTIP) objectives for examination of immigrants and refugees can be accessed at: </w:t>
            </w:r>
            <w:hyperlink r:id="rId13" w:history="1">
              <w:r w:rsidRPr="00A33505">
                <w:rPr>
                  <w:rStyle w:val="Hyperlink"/>
                  <w:sz w:val="24"/>
                  <w:szCs w:val="24"/>
                </w:rPr>
                <w:t>https://www.cdc.gov/tb/programs/evaluation/indicators/default.htm</w:t>
              </w:r>
            </w:hyperlink>
            <w:r>
              <w:rPr>
                <w:sz w:val="24"/>
                <w:szCs w:val="24"/>
              </w:rPr>
              <w:t xml:space="preserve"> </w:t>
            </w:r>
          </w:p>
        </w:tc>
      </w:tr>
      <w:tr w:rsidR="00881CD2" w14:paraId="0560A5FB" w14:textId="77777777" w:rsidTr="0011134E">
        <w:tc>
          <w:tcPr>
            <w:tcW w:w="2590" w:type="dxa"/>
            <w:shd w:val="clear" w:color="auto" w:fill="F2F2F2" w:themeFill="background1" w:themeFillShade="F2"/>
            <w:vAlign w:val="center"/>
          </w:tcPr>
          <w:p w14:paraId="168C2449" w14:textId="187C530F" w:rsidR="00881CD2" w:rsidRPr="0011134E" w:rsidRDefault="0011134E" w:rsidP="0011134E">
            <w:pPr>
              <w:jc w:val="center"/>
              <w:rPr>
                <w:b/>
                <w:bCs/>
                <w:sz w:val="24"/>
                <w:szCs w:val="24"/>
              </w:rPr>
            </w:pPr>
            <w:r>
              <w:rPr>
                <w:b/>
                <w:bCs/>
                <w:sz w:val="24"/>
                <w:szCs w:val="24"/>
              </w:rPr>
              <w:t>Objectives</w:t>
            </w:r>
          </w:p>
        </w:tc>
        <w:tc>
          <w:tcPr>
            <w:tcW w:w="2590" w:type="dxa"/>
            <w:shd w:val="clear" w:color="auto" w:fill="F2F2F2" w:themeFill="background1" w:themeFillShade="F2"/>
          </w:tcPr>
          <w:p w14:paraId="1958CB1B" w14:textId="6893F270" w:rsidR="00881CD2" w:rsidRPr="0011134E" w:rsidRDefault="0011134E" w:rsidP="0011134E">
            <w:pPr>
              <w:jc w:val="center"/>
              <w:rPr>
                <w:b/>
                <w:bCs/>
                <w:sz w:val="24"/>
                <w:szCs w:val="24"/>
              </w:rPr>
            </w:pPr>
            <w:r>
              <w:rPr>
                <w:b/>
                <w:bCs/>
                <w:sz w:val="24"/>
                <w:szCs w:val="24"/>
              </w:rPr>
              <w:t>Activities</w:t>
            </w:r>
          </w:p>
        </w:tc>
        <w:tc>
          <w:tcPr>
            <w:tcW w:w="2590" w:type="dxa"/>
            <w:shd w:val="clear" w:color="auto" w:fill="F2F2F2" w:themeFill="background1" w:themeFillShade="F2"/>
            <w:vAlign w:val="center"/>
          </w:tcPr>
          <w:p w14:paraId="7E748254" w14:textId="4731E305" w:rsidR="00881CD2" w:rsidRPr="0011134E" w:rsidRDefault="0011134E" w:rsidP="0011134E">
            <w:pPr>
              <w:jc w:val="center"/>
              <w:rPr>
                <w:b/>
                <w:bCs/>
                <w:sz w:val="24"/>
                <w:szCs w:val="24"/>
              </w:rPr>
            </w:pPr>
            <w:r>
              <w:rPr>
                <w:b/>
                <w:bCs/>
                <w:sz w:val="24"/>
                <w:szCs w:val="24"/>
              </w:rPr>
              <w:t>Timeline</w:t>
            </w:r>
          </w:p>
        </w:tc>
        <w:tc>
          <w:tcPr>
            <w:tcW w:w="2590" w:type="dxa"/>
            <w:shd w:val="clear" w:color="auto" w:fill="F2F2F2" w:themeFill="background1" w:themeFillShade="F2"/>
          </w:tcPr>
          <w:p w14:paraId="56B8C135" w14:textId="362CE3BE" w:rsidR="00881CD2" w:rsidRPr="0011134E" w:rsidRDefault="0011134E" w:rsidP="0011134E">
            <w:pPr>
              <w:jc w:val="center"/>
              <w:rPr>
                <w:b/>
                <w:bCs/>
                <w:sz w:val="24"/>
                <w:szCs w:val="24"/>
              </w:rPr>
            </w:pPr>
            <w:r>
              <w:rPr>
                <w:b/>
                <w:bCs/>
                <w:sz w:val="24"/>
                <w:szCs w:val="24"/>
              </w:rPr>
              <w:t>Successes</w:t>
            </w:r>
          </w:p>
        </w:tc>
        <w:tc>
          <w:tcPr>
            <w:tcW w:w="2590" w:type="dxa"/>
            <w:shd w:val="clear" w:color="auto" w:fill="F2F2F2" w:themeFill="background1" w:themeFillShade="F2"/>
          </w:tcPr>
          <w:p w14:paraId="08D8EF4A" w14:textId="1D6F8CE7" w:rsidR="00881CD2" w:rsidRPr="0011134E" w:rsidRDefault="0011134E" w:rsidP="0011134E">
            <w:pPr>
              <w:jc w:val="center"/>
              <w:rPr>
                <w:b/>
                <w:bCs/>
                <w:sz w:val="24"/>
                <w:szCs w:val="24"/>
              </w:rPr>
            </w:pPr>
            <w:r>
              <w:rPr>
                <w:b/>
                <w:bCs/>
                <w:sz w:val="24"/>
                <w:szCs w:val="24"/>
              </w:rPr>
              <w:t>Barriers</w:t>
            </w:r>
          </w:p>
        </w:tc>
      </w:tr>
      <w:tr w:rsidR="00267C81" w14:paraId="31C9ED22" w14:textId="77777777" w:rsidTr="00267C81">
        <w:tc>
          <w:tcPr>
            <w:tcW w:w="2590" w:type="dxa"/>
            <w:vAlign w:val="center"/>
          </w:tcPr>
          <w:p w14:paraId="0D3B77FF" w14:textId="203F2A92" w:rsidR="00267C81" w:rsidRDefault="00267C81" w:rsidP="00241226">
            <w:pPr>
              <w:rPr>
                <w:sz w:val="24"/>
                <w:szCs w:val="24"/>
              </w:rPr>
            </w:pPr>
            <w:r>
              <w:rPr>
                <w:sz w:val="24"/>
                <w:szCs w:val="24"/>
              </w:rPr>
              <w:t>For immigrants and refugees with abnormal CXRs read overseas as consistent with TB, increase the proportion who initiate a medical examination within 30 days of notification</w:t>
            </w:r>
          </w:p>
        </w:tc>
        <w:tc>
          <w:tcPr>
            <w:tcW w:w="2590" w:type="dxa"/>
          </w:tcPr>
          <w:p w14:paraId="3D77281C" w14:textId="2A9CA52B" w:rsidR="00267C81" w:rsidRDefault="00267C81" w:rsidP="00241226">
            <w:pPr>
              <w:rPr>
                <w:sz w:val="24"/>
                <w:szCs w:val="24"/>
              </w:rPr>
            </w:pPr>
            <w:r>
              <w:rPr>
                <w:sz w:val="24"/>
                <w:szCs w:val="24"/>
              </w:rPr>
              <w:t xml:space="preserve">Identify barriers that increase the amount of time between notification and examination; increase the number of clinic-level users for EDN; provide regional TB programs with 30-day </w:t>
            </w:r>
            <w:r>
              <w:rPr>
                <w:sz w:val="24"/>
                <w:szCs w:val="24"/>
              </w:rPr>
              <w:lastRenderedPageBreak/>
              <w:t>timeframe from date of notification</w:t>
            </w:r>
          </w:p>
        </w:tc>
        <w:tc>
          <w:tcPr>
            <w:tcW w:w="2590" w:type="dxa"/>
            <w:vAlign w:val="center"/>
          </w:tcPr>
          <w:p w14:paraId="1F4A9609" w14:textId="108C6A6F" w:rsidR="00267C81" w:rsidRDefault="00267C81" w:rsidP="00241226">
            <w:pPr>
              <w:jc w:val="center"/>
              <w:rPr>
                <w:sz w:val="24"/>
                <w:szCs w:val="24"/>
              </w:rPr>
            </w:pPr>
            <w:r>
              <w:rPr>
                <w:sz w:val="24"/>
                <w:szCs w:val="24"/>
              </w:rPr>
              <w:lastRenderedPageBreak/>
              <w:t>72% by 2025</w:t>
            </w:r>
          </w:p>
        </w:tc>
        <w:tc>
          <w:tcPr>
            <w:tcW w:w="2590" w:type="dxa"/>
            <w:vAlign w:val="center"/>
          </w:tcPr>
          <w:p w14:paraId="0B6AA546" w14:textId="530326C2" w:rsidR="00267C81" w:rsidRDefault="00267C81" w:rsidP="00267C81">
            <w:pPr>
              <w:rPr>
                <w:sz w:val="24"/>
                <w:szCs w:val="24"/>
              </w:rPr>
            </w:pPr>
            <w:r>
              <w:rPr>
                <w:sz w:val="24"/>
                <w:szCs w:val="24"/>
              </w:rPr>
              <w:t>None.</w:t>
            </w:r>
          </w:p>
        </w:tc>
        <w:tc>
          <w:tcPr>
            <w:tcW w:w="2590" w:type="dxa"/>
            <w:vMerge w:val="restart"/>
          </w:tcPr>
          <w:p w14:paraId="15532548" w14:textId="5626E5EE" w:rsidR="00267C81" w:rsidRDefault="00267C81" w:rsidP="00241226">
            <w:pPr>
              <w:rPr>
                <w:sz w:val="24"/>
                <w:szCs w:val="24"/>
              </w:rPr>
            </w:pPr>
            <w:r>
              <w:rPr>
                <w:sz w:val="24"/>
                <w:szCs w:val="24"/>
              </w:rPr>
              <w:t xml:space="preserve">In 2020, the TTBEP received 31 immigrants and refugees with a B1 TB classification.  Of those, 22 initiated an evaluation.  The average number of days between notification and initiation of the </w:t>
            </w:r>
            <w:r>
              <w:rPr>
                <w:sz w:val="24"/>
                <w:szCs w:val="24"/>
              </w:rPr>
              <w:lastRenderedPageBreak/>
              <w:t xml:space="preserve">evaluation was 76.2 days.  During the first six (6) months of 2021, the TTBEP received a total of 36 notifications of arrivals of immigrants and refugees with a B1 TB classification.  Preliminary data show that 13 (36.1%) initiated an evaluation with an average of 42.8 days between notification and initiation of evaluation.  This is likely due to delays resulting from the COVID-19 pandemic. </w:t>
            </w:r>
          </w:p>
        </w:tc>
      </w:tr>
      <w:tr w:rsidR="00267C81" w14:paraId="05BDF0F6" w14:textId="77777777" w:rsidTr="00267C81">
        <w:tc>
          <w:tcPr>
            <w:tcW w:w="2590" w:type="dxa"/>
            <w:vAlign w:val="center"/>
          </w:tcPr>
          <w:p w14:paraId="64AC3DBC" w14:textId="4CCB7DBE" w:rsidR="00267C81" w:rsidRDefault="00267C81" w:rsidP="00241226">
            <w:pPr>
              <w:rPr>
                <w:sz w:val="24"/>
                <w:szCs w:val="24"/>
              </w:rPr>
            </w:pPr>
            <w:r>
              <w:rPr>
                <w:sz w:val="24"/>
                <w:szCs w:val="24"/>
              </w:rPr>
              <w:lastRenderedPageBreak/>
              <w:t>For immigrants and refugees with abnormal CXRs read overseas as consistent with TB, increase the proportion who complete a medical examination within 120 days of notification</w:t>
            </w:r>
          </w:p>
        </w:tc>
        <w:tc>
          <w:tcPr>
            <w:tcW w:w="2590" w:type="dxa"/>
            <w:vAlign w:val="center"/>
          </w:tcPr>
          <w:p w14:paraId="3EC94A7C" w14:textId="09D37AE9" w:rsidR="00267C81" w:rsidRDefault="00267C81" w:rsidP="00DF4C05">
            <w:pPr>
              <w:rPr>
                <w:sz w:val="24"/>
                <w:szCs w:val="24"/>
              </w:rPr>
            </w:pPr>
            <w:r>
              <w:rPr>
                <w:sz w:val="24"/>
                <w:szCs w:val="24"/>
              </w:rPr>
              <w:t>Provide regional TB program managers with 90-day target dates for each B-notification received; follow-up with regional TB program managers as the 90-day deadline approaches</w:t>
            </w:r>
          </w:p>
        </w:tc>
        <w:tc>
          <w:tcPr>
            <w:tcW w:w="2590" w:type="dxa"/>
            <w:vAlign w:val="center"/>
          </w:tcPr>
          <w:p w14:paraId="4B3B542F" w14:textId="380212AA" w:rsidR="00267C81" w:rsidRDefault="00267C81" w:rsidP="00241226">
            <w:pPr>
              <w:jc w:val="center"/>
              <w:rPr>
                <w:sz w:val="24"/>
                <w:szCs w:val="24"/>
              </w:rPr>
            </w:pPr>
            <w:r>
              <w:rPr>
                <w:sz w:val="24"/>
                <w:szCs w:val="24"/>
              </w:rPr>
              <w:t>78% by 2020</w:t>
            </w:r>
          </w:p>
        </w:tc>
        <w:tc>
          <w:tcPr>
            <w:tcW w:w="2590" w:type="dxa"/>
            <w:vAlign w:val="center"/>
          </w:tcPr>
          <w:p w14:paraId="3E196072" w14:textId="207FF13D" w:rsidR="00267C81" w:rsidRDefault="00267C81" w:rsidP="00267C81">
            <w:pPr>
              <w:rPr>
                <w:sz w:val="24"/>
                <w:szCs w:val="24"/>
              </w:rPr>
            </w:pPr>
            <w:r>
              <w:rPr>
                <w:sz w:val="24"/>
                <w:szCs w:val="24"/>
              </w:rPr>
              <w:t>None.</w:t>
            </w:r>
          </w:p>
        </w:tc>
        <w:tc>
          <w:tcPr>
            <w:tcW w:w="2590" w:type="dxa"/>
            <w:vMerge/>
          </w:tcPr>
          <w:p w14:paraId="6E95D94A" w14:textId="0083BCC4" w:rsidR="00267C81" w:rsidRDefault="00267C81" w:rsidP="00241226">
            <w:pPr>
              <w:rPr>
                <w:sz w:val="24"/>
                <w:szCs w:val="24"/>
              </w:rPr>
            </w:pPr>
          </w:p>
        </w:tc>
      </w:tr>
      <w:tr w:rsidR="00267C81" w14:paraId="48C27A85" w14:textId="77777777" w:rsidTr="00267C81">
        <w:tc>
          <w:tcPr>
            <w:tcW w:w="2590" w:type="dxa"/>
            <w:vAlign w:val="center"/>
          </w:tcPr>
          <w:p w14:paraId="60D9386C" w14:textId="7BDE3B44" w:rsidR="00267C81" w:rsidRDefault="00267C81" w:rsidP="00267C81">
            <w:pPr>
              <w:rPr>
                <w:sz w:val="24"/>
                <w:szCs w:val="24"/>
              </w:rPr>
            </w:pPr>
            <w:r>
              <w:rPr>
                <w:sz w:val="24"/>
                <w:szCs w:val="24"/>
              </w:rPr>
              <w:t xml:space="preserve">For immigrants and refugees with abnormal CXRs read overseas as consistent with TB who are diagnosed with LTBI or have radiographic findings consistent with prior pulmonary TB on the basis of examination in the U.S., for whom treatment was recommended, </w:t>
            </w:r>
            <w:r>
              <w:rPr>
                <w:sz w:val="24"/>
                <w:szCs w:val="24"/>
              </w:rPr>
              <w:lastRenderedPageBreak/>
              <w:t>increase the proportion who start treatment</w:t>
            </w:r>
          </w:p>
        </w:tc>
        <w:tc>
          <w:tcPr>
            <w:tcW w:w="2590" w:type="dxa"/>
          </w:tcPr>
          <w:p w14:paraId="08567169" w14:textId="631A059D" w:rsidR="00267C81" w:rsidRDefault="00267C81" w:rsidP="00267C81">
            <w:pPr>
              <w:rPr>
                <w:sz w:val="24"/>
                <w:szCs w:val="24"/>
              </w:rPr>
            </w:pPr>
            <w:r>
              <w:rPr>
                <w:sz w:val="24"/>
                <w:szCs w:val="24"/>
              </w:rPr>
              <w:lastRenderedPageBreak/>
              <w:t xml:space="preserve">Ensure culturally sensitive education is provided; partner with agencies providing primary care to immigrants/refugees; ensure providers stress the importance of treatment for TB infection and the possibility of progressing to active TB </w:t>
            </w:r>
            <w:r>
              <w:rPr>
                <w:sz w:val="24"/>
                <w:szCs w:val="24"/>
              </w:rPr>
              <w:lastRenderedPageBreak/>
              <w:t>disease if untreated; ensure educational materials are translated and in plain language</w:t>
            </w:r>
          </w:p>
        </w:tc>
        <w:tc>
          <w:tcPr>
            <w:tcW w:w="2590" w:type="dxa"/>
            <w:vAlign w:val="center"/>
          </w:tcPr>
          <w:p w14:paraId="77498B61" w14:textId="51BDD328" w:rsidR="00267C81" w:rsidRDefault="00267C81" w:rsidP="00267C81">
            <w:pPr>
              <w:jc w:val="center"/>
              <w:rPr>
                <w:sz w:val="24"/>
                <w:szCs w:val="24"/>
              </w:rPr>
            </w:pPr>
            <w:r>
              <w:rPr>
                <w:sz w:val="24"/>
                <w:szCs w:val="24"/>
              </w:rPr>
              <w:lastRenderedPageBreak/>
              <w:t>87% by 2025</w:t>
            </w:r>
          </w:p>
        </w:tc>
        <w:tc>
          <w:tcPr>
            <w:tcW w:w="2590" w:type="dxa"/>
            <w:vAlign w:val="center"/>
          </w:tcPr>
          <w:p w14:paraId="5B74F7F4" w14:textId="72CDC005" w:rsidR="00267C81" w:rsidRDefault="00267C81" w:rsidP="00267C81">
            <w:pPr>
              <w:rPr>
                <w:sz w:val="24"/>
                <w:szCs w:val="24"/>
              </w:rPr>
            </w:pPr>
            <w:r>
              <w:rPr>
                <w:sz w:val="24"/>
                <w:szCs w:val="24"/>
              </w:rPr>
              <w:t>None.</w:t>
            </w:r>
          </w:p>
        </w:tc>
        <w:tc>
          <w:tcPr>
            <w:tcW w:w="2590" w:type="dxa"/>
            <w:vMerge w:val="restart"/>
          </w:tcPr>
          <w:p w14:paraId="31594540" w14:textId="04B2C0E0" w:rsidR="00267C81" w:rsidRDefault="00267C81" w:rsidP="00267C81">
            <w:pPr>
              <w:rPr>
                <w:sz w:val="24"/>
                <w:szCs w:val="24"/>
              </w:rPr>
            </w:pPr>
            <w:r>
              <w:rPr>
                <w:sz w:val="24"/>
                <w:szCs w:val="24"/>
              </w:rPr>
              <w:t xml:space="preserve">The same barriers for initiation of treatment in this population is  applicable for completion of treatment.  In addition, for a period of time during the COVID-19 pandemic, the TTBEP recommended that no new patients diagnosed with TB infection (TBI) </w:t>
            </w:r>
            <w:r>
              <w:rPr>
                <w:sz w:val="24"/>
                <w:szCs w:val="24"/>
              </w:rPr>
              <w:lastRenderedPageBreak/>
              <w:t>initiate the 12-week isoniazid/rifapentine (“3HP”) regimen due to a shortage of rifapentine.  Once those restrictions were lifted in October 2020, providers remained hesitant to initiate 3HP due to nitrosamine impurities in rifamycins.  In addition, a partnership was formed between a family health center that serves as an initial medical home for many refugees in this population and TB staff from the corresponding local health department.  This partnership was established to reduce the number of visits to the health departments for these patients to be evaluated for TB infection and to begin treatment and address the TB infection cascade of care.  Due to COVID-</w:t>
            </w:r>
            <w:r>
              <w:rPr>
                <w:sz w:val="24"/>
                <w:szCs w:val="24"/>
              </w:rPr>
              <w:lastRenderedPageBreak/>
              <w:t>19, this partnership was paused and will be re-evaluated in late 2021/early 2022.</w:t>
            </w:r>
          </w:p>
        </w:tc>
      </w:tr>
      <w:tr w:rsidR="00F12505" w14:paraId="20A4923A" w14:textId="77777777" w:rsidTr="00073FFB">
        <w:tc>
          <w:tcPr>
            <w:tcW w:w="2590" w:type="dxa"/>
            <w:vAlign w:val="center"/>
          </w:tcPr>
          <w:p w14:paraId="1A8114BF" w14:textId="189E6359" w:rsidR="00F12505" w:rsidRDefault="00F12505" w:rsidP="00F12505">
            <w:pPr>
              <w:rPr>
                <w:sz w:val="24"/>
                <w:szCs w:val="24"/>
              </w:rPr>
            </w:pPr>
            <w:r>
              <w:rPr>
                <w:sz w:val="24"/>
                <w:szCs w:val="24"/>
              </w:rPr>
              <w:lastRenderedPageBreak/>
              <w:t>For immigrants and refugees with abnormal CXRs read overseas as consistent with TB who are diagnosed with LTBI or have radiographic findings consistent with prior pulmonary TB on the basis of examination in the U.S., and who have started on treatment, increase the proportion who complete treatment</w:t>
            </w:r>
          </w:p>
        </w:tc>
        <w:tc>
          <w:tcPr>
            <w:tcW w:w="2590" w:type="dxa"/>
            <w:vAlign w:val="center"/>
          </w:tcPr>
          <w:p w14:paraId="6505B1AF" w14:textId="1039947F" w:rsidR="00F12505" w:rsidRDefault="00F12505" w:rsidP="00F12505">
            <w:pPr>
              <w:rPr>
                <w:sz w:val="24"/>
                <w:szCs w:val="24"/>
              </w:rPr>
            </w:pPr>
            <w:r>
              <w:rPr>
                <w:sz w:val="24"/>
                <w:szCs w:val="24"/>
              </w:rPr>
              <w:t xml:space="preserve">Ensure case management of patients with TB infection; increase use of 12-week isoniazid/rifapentine regimen; use incentives/enablers when appropriate; partner with agencies providing primary care to immigrants/refugees; ensure information is provided in the patient’s primary language </w:t>
            </w:r>
          </w:p>
        </w:tc>
        <w:tc>
          <w:tcPr>
            <w:tcW w:w="2590" w:type="dxa"/>
            <w:vAlign w:val="center"/>
          </w:tcPr>
          <w:p w14:paraId="267E7FA9" w14:textId="1F02253F" w:rsidR="00F12505" w:rsidRDefault="00F12505" w:rsidP="00F12505">
            <w:pPr>
              <w:jc w:val="center"/>
              <w:rPr>
                <w:sz w:val="24"/>
                <w:szCs w:val="24"/>
              </w:rPr>
            </w:pPr>
            <w:r>
              <w:rPr>
                <w:sz w:val="24"/>
                <w:szCs w:val="24"/>
              </w:rPr>
              <w:t>87% by 2025</w:t>
            </w:r>
          </w:p>
        </w:tc>
        <w:tc>
          <w:tcPr>
            <w:tcW w:w="2590" w:type="dxa"/>
          </w:tcPr>
          <w:p w14:paraId="5DF43E40" w14:textId="0E8F99FF" w:rsidR="00F12505" w:rsidRDefault="00F12505" w:rsidP="00F12505">
            <w:pPr>
              <w:rPr>
                <w:sz w:val="24"/>
                <w:szCs w:val="24"/>
              </w:rPr>
            </w:pPr>
            <w:r>
              <w:rPr>
                <w:sz w:val="24"/>
                <w:szCs w:val="24"/>
              </w:rPr>
              <w:t>In 2020, the TTBEP piloted the emocha</w:t>
            </w:r>
            <w:r>
              <w:rPr>
                <w:rFonts w:cstheme="minorHAnsi"/>
                <w:sz w:val="24"/>
                <w:szCs w:val="24"/>
                <w:vertAlign w:val="superscript"/>
              </w:rPr>
              <w:t>®</w:t>
            </w:r>
            <w:r>
              <w:rPr>
                <w:sz w:val="24"/>
                <w:szCs w:val="24"/>
              </w:rPr>
              <w:t xml:space="preserve"> electronic directly observed therapy (eDOT) platform for synchronous and asynchronous use and expanded use to 11 of the 12 regional TB programs (one regional TB program opted out of using emocha</w:t>
            </w:r>
            <w:r>
              <w:rPr>
                <w:rFonts w:cstheme="minorHAnsi"/>
                <w:sz w:val="24"/>
                <w:szCs w:val="24"/>
                <w:vertAlign w:val="superscript"/>
              </w:rPr>
              <w:t>®</w:t>
            </w:r>
            <w:r>
              <w:rPr>
                <w:sz w:val="24"/>
                <w:szCs w:val="24"/>
              </w:rPr>
              <w:t>).  In addition, the criteria to begin using eDOT was modified during COVID-19 to allow for patients to utilize eDOT earlier in their treatment regimen.</w:t>
            </w:r>
          </w:p>
        </w:tc>
        <w:tc>
          <w:tcPr>
            <w:tcW w:w="2590" w:type="dxa"/>
            <w:vMerge/>
          </w:tcPr>
          <w:p w14:paraId="7E04FE81" w14:textId="17EEF909" w:rsidR="00F12505" w:rsidRDefault="00F12505" w:rsidP="00F12505">
            <w:pPr>
              <w:rPr>
                <w:sz w:val="24"/>
                <w:szCs w:val="24"/>
              </w:rPr>
            </w:pPr>
          </w:p>
        </w:tc>
      </w:tr>
      <w:tr w:rsidR="00F12505" w14:paraId="1ACBCF01" w14:textId="77777777" w:rsidTr="00BF65A9">
        <w:tc>
          <w:tcPr>
            <w:tcW w:w="12950" w:type="dxa"/>
            <w:gridSpan w:val="5"/>
            <w:shd w:val="clear" w:color="auto" w:fill="D9D9D9" w:themeFill="background1" w:themeFillShade="D9"/>
            <w:vAlign w:val="center"/>
          </w:tcPr>
          <w:p w14:paraId="0BFD9863" w14:textId="68502620" w:rsidR="00F12505" w:rsidRPr="00BF65A9" w:rsidRDefault="00F12505" w:rsidP="00F12505">
            <w:pPr>
              <w:rPr>
                <w:b/>
                <w:bCs/>
                <w:sz w:val="24"/>
                <w:szCs w:val="24"/>
              </w:rPr>
            </w:pPr>
            <w:r>
              <w:rPr>
                <w:b/>
                <w:bCs/>
                <w:sz w:val="24"/>
                <w:szCs w:val="24"/>
              </w:rPr>
              <w:t>Strategy 2C: Focused Testing and Treatment of TB Infection (Program-Identified)</w:t>
            </w:r>
          </w:p>
        </w:tc>
      </w:tr>
      <w:tr w:rsidR="00F12505" w14:paraId="716BDA1B" w14:textId="77777777" w:rsidTr="00BF65A9">
        <w:tc>
          <w:tcPr>
            <w:tcW w:w="5180" w:type="dxa"/>
            <w:gridSpan w:val="2"/>
            <w:shd w:val="clear" w:color="auto" w:fill="F2F2F2" w:themeFill="background1" w:themeFillShade="F2"/>
            <w:vAlign w:val="center"/>
          </w:tcPr>
          <w:p w14:paraId="50EE2DC2" w14:textId="755C8C77" w:rsidR="00F12505" w:rsidRPr="00BF65A9" w:rsidRDefault="00F12505" w:rsidP="00F12505">
            <w:pPr>
              <w:jc w:val="center"/>
              <w:rPr>
                <w:b/>
                <w:bCs/>
                <w:sz w:val="24"/>
                <w:szCs w:val="24"/>
              </w:rPr>
            </w:pPr>
            <w:r>
              <w:rPr>
                <w:b/>
                <w:bCs/>
                <w:sz w:val="24"/>
                <w:szCs w:val="24"/>
              </w:rPr>
              <w:t>Related Outcomes</w:t>
            </w:r>
          </w:p>
        </w:tc>
        <w:tc>
          <w:tcPr>
            <w:tcW w:w="7770" w:type="dxa"/>
            <w:gridSpan w:val="3"/>
            <w:shd w:val="clear" w:color="auto" w:fill="F2F2F2" w:themeFill="background1" w:themeFillShade="F2"/>
            <w:vAlign w:val="center"/>
          </w:tcPr>
          <w:p w14:paraId="1C39D34C" w14:textId="10DE7F2F" w:rsidR="00F12505" w:rsidRPr="00BF65A9" w:rsidRDefault="00F12505" w:rsidP="00F12505">
            <w:pPr>
              <w:jc w:val="center"/>
              <w:rPr>
                <w:b/>
                <w:bCs/>
                <w:sz w:val="24"/>
                <w:szCs w:val="24"/>
              </w:rPr>
            </w:pPr>
            <w:r>
              <w:rPr>
                <w:b/>
                <w:bCs/>
                <w:sz w:val="24"/>
                <w:szCs w:val="24"/>
              </w:rPr>
              <w:t>Measures of Success</w:t>
            </w:r>
          </w:p>
        </w:tc>
      </w:tr>
      <w:tr w:rsidR="00F12505" w14:paraId="4245F22F" w14:textId="77777777" w:rsidTr="0021319E">
        <w:tc>
          <w:tcPr>
            <w:tcW w:w="5180" w:type="dxa"/>
            <w:gridSpan w:val="2"/>
            <w:vAlign w:val="center"/>
          </w:tcPr>
          <w:p w14:paraId="16A435FF" w14:textId="77777777" w:rsidR="00F12505" w:rsidRDefault="00F12505" w:rsidP="00F12505">
            <w:pPr>
              <w:rPr>
                <w:sz w:val="24"/>
                <w:szCs w:val="24"/>
              </w:rPr>
            </w:pPr>
            <w:r>
              <w:rPr>
                <w:sz w:val="24"/>
                <w:szCs w:val="24"/>
                <w:u w:val="single"/>
              </w:rPr>
              <w:t>Increase</w:t>
            </w:r>
            <w:r>
              <w:rPr>
                <w:sz w:val="24"/>
                <w:szCs w:val="24"/>
              </w:rPr>
              <w:t xml:space="preserve"> in: (1) treatment initiation for high-risk patients diagnosed with TB infection; (2) treatment completion for patients diagnosed with TB infection who initiate treatment</w:t>
            </w:r>
          </w:p>
          <w:p w14:paraId="7AF9A1D5" w14:textId="77777777" w:rsidR="00F12505" w:rsidRDefault="00F12505" w:rsidP="00F12505">
            <w:pPr>
              <w:rPr>
                <w:sz w:val="24"/>
                <w:szCs w:val="24"/>
              </w:rPr>
            </w:pPr>
            <w:r>
              <w:rPr>
                <w:sz w:val="24"/>
                <w:szCs w:val="24"/>
                <w:u w:val="single"/>
              </w:rPr>
              <w:t>Decrease</w:t>
            </w:r>
            <w:r>
              <w:rPr>
                <w:sz w:val="24"/>
                <w:szCs w:val="24"/>
              </w:rPr>
              <w:t xml:space="preserve"> in (1) number of patients diagnosed with TB infection who progress to active TB disease</w:t>
            </w:r>
          </w:p>
          <w:p w14:paraId="21563074" w14:textId="6157A8F5" w:rsidR="00F12505" w:rsidRPr="00AF5BA0" w:rsidRDefault="00F12505" w:rsidP="00F12505">
            <w:pPr>
              <w:rPr>
                <w:sz w:val="24"/>
                <w:szCs w:val="24"/>
              </w:rPr>
            </w:pPr>
          </w:p>
        </w:tc>
        <w:tc>
          <w:tcPr>
            <w:tcW w:w="7770" w:type="dxa"/>
            <w:gridSpan w:val="3"/>
            <w:vAlign w:val="center"/>
          </w:tcPr>
          <w:p w14:paraId="03572C2A" w14:textId="5BFA05AF" w:rsidR="00F12505" w:rsidRPr="0048318A" w:rsidRDefault="00F12505" w:rsidP="00F12505">
            <w:pPr>
              <w:pStyle w:val="ListParagraph"/>
              <w:numPr>
                <w:ilvl w:val="0"/>
                <w:numId w:val="5"/>
              </w:numPr>
              <w:ind w:left="376"/>
              <w:rPr>
                <w:sz w:val="24"/>
                <w:szCs w:val="24"/>
              </w:rPr>
            </w:pPr>
            <w:r>
              <w:rPr>
                <w:sz w:val="24"/>
                <w:szCs w:val="24"/>
              </w:rPr>
              <w:t xml:space="preserve">100% of regional TB programs will identify at least one high-risk population for prioritized education and TB infection testing activities; (2) regional TB programs will establish regional education and testing benchmarks; (3) regional TB programs will establish regional treatment initiation benchmarks for each high-risk population identified; (4) regional TB programs will identify treatment completion benchmarks for each high-risk population identified </w:t>
            </w:r>
            <w:r>
              <w:rPr>
                <w:b/>
                <w:bCs/>
                <w:sz w:val="24"/>
                <w:szCs w:val="24"/>
              </w:rPr>
              <w:t>(New measures of success)</w:t>
            </w:r>
          </w:p>
        </w:tc>
      </w:tr>
      <w:tr w:rsidR="00F12505" w14:paraId="6ADB98A7" w14:textId="77777777" w:rsidTr="00BF65A9">
        <w:tc>
          <w:tcPr>
            <w:tcW w:w="2590" w:type="dxa"/>
            <w:shd w:val="clear" w:color="auto" w:fill="F2F2F2" w:themeFill="background1" w:themeFillShade="F2"/>
            <w:vAlign w:val="center"/>
          </w:tcPr>
          <w:p w14:paraId="564135F9" w14:textId="40465B32" w:rsidR="00F12505" w:rsidRPr="00BF65A9" w:rsidRDefault="00F12505" w:rsidP="00F12505">
            <w:pPr>
              <w:jc w:val="center"/>
              <w:rPr>
                <w:b/>
                <w:bCs/>
                <w:sz w:val="24"/>
                <w:szCs w:val="24"/>
              </w:rPr>
            </w:pPr>
            <w:r>
              <w:rPr>
                <w:b/>
                <w:bCs/>
                <w:sz w:val="24"/>
                <w:szCs w:val="24"/>
              </w:rPr>
              <w:t>Objectives</w:t>
            </w:r>
          </w:p>
        </w:tc>
        <w:tc>
          <w:tcPr>
            <w:tcW w:w="2590" w:type="dxa"/>
            <w:shd w:val="clear" w:color="auto" w:fill="F2F2F2" w:themeFill="background1" w:themeFillShade="F2"/>
          </w:tcPr>
          <w:p w14:paraId="1EC07437" w14:textId="7B276037" w:rsidR="00F12505" w:rsidRPr="00BF65A9" w:rsidRDefault="00F12505" w:rsidP="00F12505">
            <w:pPr>
              <w:jc w:val="center"/>
              <w:rPr>
                <w:b/>
                <w:bCs/>
                <w:sz w:val="24"/>
                <w:szCs w:val="24"/>
              </w:rPr>
            </w:pPr>
            <w:r>
              <w:rPr>
                <w:b/>
                <w:bCs/>
                <w:sz w:val="24"/>
                <w:szCs w:val="24"/>
              </w:rPr>
              <w:t>Activities</w:t>
            </w:r>
          </w:p>
        </w:tc>
        <w:tc>
          <w:tcPr>
            <w:tcW w:w="2590" w:type="dxa"/>
            <w:shd w:val="clear" w:color="auto" w:fill="F2F2F2" w:themeFill="background1" w:themeFillShade="F2"/>
            <w:vAlign w:val="center"/>
          </w:tcPr>
          <w:p w14:paraId="583724E4" w14:textId="350C24DF" w:rsidR="00F12505" w:rsidRPr="00BF65A9" w:rsidRDefault="00F12505" w:rsidP="00F12505">
            <w:pPr>
              <w:jc w:val="center"/>
              <w:rPr>
                <w:b/>
                <w:bCs/>
                <w:sz w:val="24"/>
                <w:szCs w:val="24"/>
              </w:rPr>
            </w:pPr>
            <w:r>
              <w:rPr>
                <w:b/>
                <w:bCs/>
                <w:sz w:val="24"/>
                <w:szCs w:val="24"/>
              </w:rPr>
              <w:t>Timeline</w:t>
            </w:r>
          </w:p>
        </w:tc>
        <w:tc>
          <w:tcPr>
            <w:tcW w:w="2590" w:type="dxa"/>
            <w:shd w:val="clear" w:color="auto" w:fill="F2F2F2" w:themeFill="background1" w:themeFillShade="F2"/>
          </w:tcPr>
          <w:p w14:paraId="568F2089" w14:textId="386079B9" w:rsidR="00F12505" w:rsidRPr="00BF65A9" w:rsidRDefault="00F12505" w:rsidP="00F12505">
            <w:pPr>
              <w:jc w:val="center"/>
              <w:rPr>
                <w:b/>
                <w:bCs/>
                <w:sz w:val="24"/>
                <w:szCs w:val="24"/>
              </w:rPr>
            </w:pPr>
            <w:r>
              <w:rPr>
                <w:b/>
                <w:bCs/>
                <w:sz w:val="24"/>
                <w:szCs w:val="24"/>
              </w:rPr>
              <w:t>Successes</w:t>
            </w:r>
          </w:p>
        </w:tc>
        <w:tc>
          <w:tcPr>
            <w:tcW w:w="2590" w:type="dxa"/>
            <w:shd w:val="clear" w:color="auto" w:fill="F2F2F2" w:themeFill="background1" w:themeFillShade="F2"/>
          </w:tcPr>
          <w:p w14:paraId="4BDFFC37" w14:textId="7D14E126" w:rsidR="00F12505" w:rsidRPr="00BF65A9" w:rsidRDefault="00F12505" w:rsidP="00F12505">
            <w:pPr>
              <w:jc w:val="center"/>
              <w:rPr>
                <w:b/>
                <w:bCs/>
                <w:sz w:val="24"/>
                <w:szCs w:val="24"/>
              </w:rPr>
            </w:pPr>
            <w:r>
              <w:rPr>
                <w:b/>
                <w:bCs/>
                <w:sz w:val="24"/>
                <w:szCs w:val="24"/>
              </w:rPr>
              <w:t>Barriers</w:t>
            </w:r>
          </w:p>
        </w:tc>
      </w:tr>
      <w:tr w:rsidR="00F12505" w14:paraId="2A23EF10" w14:textId="77777777" w:rsidTr="00086EAD">
        <w:tc>
          <w:tcPr>
            <w:tcW w:w="2590" w:type="dxa"/>
            <w:vAlign w:val="center"/>
          </w:tcPr>
          <w:p w14:paraId="680A87FA" w14:textId="2DA05198" w:rsidR="00F12505" w:rsidRDefault="00F12505" w:rsidP="00F12505">
            <w:pPr>
              <w:rPr>
                <w:sz w:val="24"/>
                <w:szCs w:val="24"/>
              </w:rPr>
            </w:pPr>
            <w:r>
              <w:rPr>
                <w:sz w:val="24"/>
                <w:szCs w:val="24"/>
              </w:rPr>
              <w:t>Implement “Community Partnerships to End TB (CPETB)” initiative statewide</w:t>
            </w:r>
          </w:p>
        </w:tc>
        <w:tc>
          <w:tcPr>
            <w:tcW w:w="2590" w:type="dxa"/>
            <w:vAlign w:val="center"/>
          </w:tcPr>
          <w:p w14:paraId="770F72E2" w14:textId="1E902856" w:rsidR="00F12505" w:rsidRDefault="00F12505" w:rsidP="00F12505">
            <w:pPr>
              <w:rPr>
                <w:sz w:val="24"/>
                <w:szCs w:val="24"/>
              </w:rPr>
            </w:pPr>
            <w:r>
              <w:rPr>
                <w:sz w:val="24"/>
                <w:szCs w:val="24"/>
              </w:rPr>
              <w:t>Conduct meetings with leadership of each regional TB program</w:t>
            </w:r>
          </w:p>
        </w:tc>
        <w:tc>
          <w:tcPr>
            <w:tcW w:w="2590" w:type="dxa"/>
            <w:vAlign w:val="center"/>
          </w:tcPr>
          <w:p w14:paraId="26B74BFA" w14:textId="228E157C" w:rsidR="00F12505" w:rsidRDefault="00F12505" w:rsidP="00F12505">
            <w:pPr>
              <w:jc w:val="center"/>
              <w:rPr>
                <w:sz w:val="24"/>
                <w:szCs w:val="24"/>
              </w:rPr>
            </w:pPr>
            <w:r>
              <w:rPr>
                <w:sz w:val="24"/>
                <w:szCs w:val="24"/>
              </w:rPr>
              <w:t>100% of regional TB program participation by March 31, 2022.</w:t>
            </w:r>
          </w:p>
        </w:tc>
        <w:tc>
          <w:tcPr>
            <w:tcW w:w="2590" w:type="dxa"/>
          </w:tcPr>
          <w:p w14:paraId="60EA83AB" w14:textId="54BB2E93" w:rsidR="00F12505" w:rsidRDefault="00F12505" w:rsidP="00F12505">
            <w:pPr>
              <w:rPr>
                <w:sz w:val="24"/>
                <w:szCs w:val="24"/>
              </w:rPr>
            </w:pPr>
            <w:r>
              <w:rPr>
                <w:sz w:val="24"/>
                <w:szCs w:val="24"/>
              </w:rPr>
              <w:t>In June 2021, regional TB programs were queried on the feasibility of re-implementing the CEPTB initiative beginning in 2022 as well as identification of barriers to implementing.  The initiative was reintroduced during a statewide call in June 2021 with an anticipated start date in early 2022.</w:t>
            </w:r>
          </w:p>
        </w:tc>
        <w:tc>
          <w:tcPr>
            <w:tcW w:w="2590" w:type="dxa"/>
            <w:vMerge w:val="restart"/>
            <w:vAlign w:val="center"/>
          </w:tcPr>
          <w:p w14:paraId="17EB5384" w14:textId="77777777" w:rsidR="00F12505" w:rsidRDefault="00F12505" w:rsidP="00F12505">
            <w:pPr>
              <w:rPr>
                <w:sz w:val="24"/>
                <w:szCs w:val="24"/>
              </w:rPr>
            </w:pPr>
            <w:r>
              <w:rPr>
                <w:sz w:val="24"/>
                <w:szCs w:val="24"/>
              </w:rPr>
              <w:t xml:space="preserve">Implementation of the CPETB initiative initially was postponed due to the COVID-19 pandemic and staff being reassigned to COVID-19 duties.  </w:t>
            </w:r>
          </w:p>
          <w:p w14:paraId="3C6A62C7" w14:textId="77777777" w:rsidR="00F12505" w:rsidRDefault="00F12505" w:rsidP="00F12505">
            <w:pPr>
              <w:rPr>
                <w:sz w:val="24"/>
                <w:szCs w:val="24"/>
              </w:rPr>
            </w:pPr>
          </w:p>
          <w:p w14:paraId="1FCA2CC3" w14:textId="6162822C" w:rsidR="00F12505" w:rsidRDefault="00F12505" w:rsidP="00F12505">
            <w:pPr>
              <w:rPr>
                <w:sz w:val="24"/>
                <w:szCs w:val="24"/>
              </w:rPr>
            </w:pPr>
            <w:r>
              <w:rPr>
                <w:sz w:val="24"/>
                <w:szCs w:val="24"/>
              </w:rPr>
              <w:t xml:space="preserve">Anticipated barriers from regional TB programs (from a statewide survey) include community partner participation, barriers to testing and treatment, and the </w:t>
            </w:r>
            <w:r>
              <w:rPr>
                <w:sz w:val="24"/>
                <w:szCs w:val="24"/>
              </w:rPr>
              <w:lastRenderedPageBreak/>
              <w:t>uncertainty of COVID-19.</w:t>
            </w:r>
          </w:p>
        </w:tc>
      </w:tr>
      <w:tr w:rsidR="00F12505" w14:paraId="18B8EFBB" w14:textId="77777777" w:rsidTr="00881C03">
        <w:tc>
          <w:tcPr>
            <w:tcW w:w="2590" w:type="dxa"/>
            <w:vAlign w:val="center"/>
          </w:tcPr>
          <w:p w14:paraId="0A0BDFB0" w14:textId="020D3147" w:rsidR="00F12505" w:rsidRDefault="00F12505" w:rsidP="00F12505">
            <w:pPr>
              <w:rPr>
                <w:sz w:val="24"/>
                <w:szCs w:val="24"/>
              </w:rPr>
            </w:pPr>
            <w:r>
              <w:rPr>
                <w:sz w:val="24"/>
                <w:szCs w:val="24"/>
              </w:rPr>
              <w:lastRenderedPageBreak/>
              <w:t>Identify of at least one (1) high-risk population by each regional TB program for focused education and testing for TB infection</w:t>
            </w:r>
          </w:p>
        </w:tc>
        <w:tc>
          <w:tcPr>
            <w:tcW w:w="2590" w:type="dxa"/>
            <w:vAlign w:val="center"/>
          </w:tcPr>
          <w:p w14:paraId="049111D9" w14:textId="02050010" w:rsidR="00F12505" w:rsidRDefault="00F12505" w:rsidP="00F12505">
            <w:pPr>
              <w:rPr>
                <w:sz w:val="24"/>
                <w:szCs w:val="24"/>
              </w:rPr>
            </w:pPr>
            <w:r>
              <w:rPr>
                <w:sz w:val="24"/>
                <w:szCs w:val="24"/>
              </w:rPr>
              <w:t>Provide county- and regional-level TB and TB infection (TBI) data to each regional TB program manager</w:t>
            </w:r>
          </w:p>
        </w:tc>
        <w:tc>
          <w:tcPr>
            <w:tcW w:w="2590" w:type="dxa"/>
            <w:vAlign w:val="center"/>
          </w:tcPr>
          <w:p w14:paraId="4C665A11" w14:textId="0166F1D4" w:rsidR="00F12505" w:rsidRDefault="00F12505" w:rsidP="00F12505">
            <w:pPr>
              <w:jc w:val="center"/>
              <w:rPr>
                <w:sz w:val="24"/>
                <w:szCs w:val="24"/>
              </w:rPr>
            </w:pPr>
            <w:r>
              <w:rPr>
                <w:sz w:val="24"/>
                <w:szCs w:val="24"/>
              </w:rPr>
              <w:t xml:space="preserve">At least one (1) high-risk population will be identified by each regional TB program by June 30, 2022. </w:t>
            </w:r>
          </w:p>
        </w:tc>
        <w:tc>
          <w:tcPr>
            <w:tcW w:w="2590" w:type="dxa"/>
          </w:tcPr>
          <w:p w14:paraId="0D9A2CC6" w14:textId="0E94D6AD" w:rsidR="00F12505" w:rsidRDefault="00F12505" w:rsidP="00F12505">
            <w:pPr>
              <w:rPr>
                <w:sz w:val="24"/>
                <w:szCs w:val="24"/>
              </w:rPr>
            </w:pPr>
            <w:r>
              <w:rPr>
                <w:sz w:val="24"/>
                <w:szCs w:val="24"/>
              </w:rPr>
              <w:t>Data quality assurance and compilation has begun to provide regional TB programs with demographics and risk factors of TB and TBI patients as well as data on providers in their respective regions that are performing tests for TB infection.</w:t>
            </w:r>
          </w:p>
        </w:tc>
        <w:tc>
          <w:tcPr>
            <w:tcW w:w="2590" w:type="dxa"/>
            <w:vMerge/>
          </w:tcPr>
          <w:p w14:paraId="6EB45F4D" w14:textId="77777777" w:rsidR="00F12505" w:rsidRDefault="00F12505" w:rsidP="00F12505">
            <w:pPr>
              <w:rPr>
                <w:sz w:val="24"/>
                <w:szCs w:val="24"/>
              </w:rPr>
            </w:pPr>
          </w:p>
        </w:tc>
      </w:tr>
      <w:tr w:rsidR="00F12505" w14:paraId="4920DD15" w14:textId="77777777" w:rsidTr="001D5DBE">
        <w:tc>
          <w:tcPr>
            <w:tcW w:w="2590" w:type="dxa"/>
            <w:vAlign w:val="center"/>
          </w:tcPr>
          <w:p w14:paraId="615F7AFC" w14:textId="49EC9AEE" w:rsidR="00F12505" w:rsidRDefault="00F12505" w:rsidP="00F12505">
            <w:pPr>
              <w:rPr>
                <w:sz w:val="24"/>
                <w:szCs w:val="24"/>
              </w:rPr>
            </w:pPr>
            <w:r>
              <w:rPr>
                <w:sz w:val="24"/>
                <w:szCs w:val="24"/>
              </w:rPr>
              <w:t>Provide education, screening, and testing activities for identified high-risk populations</w:t>
            </w:r>
          </w:p>
        </w:tc>
        <w:tc>
          <w:tcPr>
            <w:tcW w:w="2590" w:type="dxa"/>
          </w:tcPr>
          <w:p w14:paraId="26FDF023" w14:textId="4CA3EDBD" w:rsidR="00F12505" w:rsidRDefault="00F12505" w:rsidP="00F12505">
            <w:pPr>
              <w:rPr>
                <w:sz w:val="24"/>
                <w:szCs w:val="24"/>
              </w:rPr>
            </w:pPr>
            <w:r>
              <w:rPr>
                <w:sz w:val="24"/>
                <w:szCs w:val="24"/>
              </w:rPr>
              <w:t>Assist regional TB programs with the development of plan to screen and test high-risk population that include culturally appropriate and plain language educational materials</w:t>
            </w:r>
          </w:p>
        </w:tc>
        <w:tc>
          <w:tcPr>
            <w:tcW w:w="2590" w:type="dxa"/>
            <w:vAlign w:val="center"/>
          </w:tcPr>
          <w:p w14:paraId="76F23957" w14:textId="6F199B25" w:rsidR="00F12505" w:rsidRDefault="00F12505" w:rsidP="00F12505">
            <w:pPr>
              <w:jc w:val="center"/>
              <w:rPr>
                <w:sz w:val="24"/>
                <w:szCs w:val="24"/>
              </w:rPr>
            </w:pPr>
            <w:r>
              <w:rPr>
                <w:sz w:val="24"/>
                <w:szCs w:val="24"/>
              </w:rPr>
              <w:t>Education, screening, and testing activities will be initiated by each regional TB program for their identified high-risk population by December 31, 2022.</w:t>
            </w:r>
          </w:p>
        </w:tc>
        <w:tc>
          <w:tcPr>
            <w:tcW w:w="2590" w:type="dxa"/>
            <w:vAlign w:val="center"/>
          </w:tcPr>
          <w:p w14:paraId="458EBB83" w14:textId="3796C108" w:rsidR="00F12505" w:rsidRDefault="00F12505" w:rsidP="00F12505">
            <w:pPr>
              <w:rPr>
                <w:sz w:val="24"/>
                <w:szCs w:val="24"/>
              </w:rPr>
            </w:pPr>
            <w:r>
              <w:rPr>
                <w:sz w:val="24"/>
                <w:szCs w:val="24"/>
              </w:rPr>
              <w:t>None at the time of this report.</w:t>
            </w:r>
          </w:p>
        </w:tc>
        <w:tc>
          <w:tcPr>
            <w:tcW w:w="2590" w:type="dxa"/>
            <w:vAlign w:val="center"/>
          </w:tcPr>
          <w:p w14:paraId="0FBC62A4" w14:textId="0CF30063" w:rsidR="00F12505" w:rsidRDefault="00F12505" w:rsidP="00F12505">
            <w:pPr>
              <w:rPr>
                <w:sz w:val="24"/>
                <w:szCs w:val="24"/>
              </w:rPr>
            </w:pPr>
            <w:r>
              <w:rPr>
                <w:sz w:val="24"/>
                <w:szCs w:val="24"/>
              </w:rPr>
              <w:t>Anticipated barriers from regional TB programs (from a statewide survey) include community partner participation, barriers to testing and treatment, and the uncertainty of COVID-19.</w:t>
            </w:r>
          </w:p>
        </w:tc>
      </w:tr>
      <w:tr w:rsidR="00F12505" w14:paraId="20E3404B" w14:textId="77777777" w:rsidTr="00346079">
        <w:tc>
          <w:tcPr>
            <w:tcW w:w="12950" w:type="dxa"/>
            <w:gridSpan w:val="5"/>
            <w:shd w:val="clear" w:color="auto" w:fill="D9D9D9" w:themeFill="background1" w:themeFillShade="D9"/>
            <w:vAlign w:val="center"/>
          </w:tcPr>
          <w:p w14:paraId="755033E1" w14:textId="5AC6B4F0" w:rsidR="00F12505" w:rsidRPr="00346079" w:rsidRDefault="00F12505" w:rsidP="00F12505">
            <w:pPr>
              <w:rPr>
                <w:b/>
                <w:bCs/>
                <w:sz w:val="24"/>
                <w:szCs w:val="24"/>
              </w:rPr>
            </w:pPr>
            <w:r>
              <w:rPr>
                <w:b/>
                <w:bCs/>
                <w:sz w:val="24"/>
                <w:szCs w:val="24"/>
              </w:rPr>
              <w:t>Strategy 3: Program Planning, Evaluation, and Improvement</w:t>
            </w:r>
          </w:p>
        </w:tc>
      </w:tr>
      <w:tr w:rsidR="00F12505" w14:paraId="6426DBDA" w14:textId="77777777" w:rsidTr="00346079">
        <w:tc>
          <w:tcPr>
            <w:tcW w:w="5180" w:type="dxa"/>
            <w:gridSpan w:val="2"/>
            <w:shd w:val="clear" w:color="auto" w:fill="F2F2F2" w:themeFill="background1" w:themeFillShade="F2"/>
            <w:vAlign w:val="center"/>
          </w:tcPr>
          <w:p w14:paraId="00AF9EF3" w14:textId="0AE2B528" w:rsidR="00F12505" w:rsidRPr="00346079" w:rsidRDefault="00F12505" w:rsidP="00F12505">
            <w:pPr>
              <w:jc w:val="center"/>
              <w:rPr>
                <w:b/>
                <w:bCs/>
                <w:sz w:val="24"/>
                <w:szCs w:val="24"/>
              </w:rPr>
            </w:pPr>
            <w:r>
              <w:rPr>
                <w:b/>
                <w:bCs/>
                <w:sz w:val="24"/>
                <w:szCs w:val="24"/>
              </w:rPr>
              <w:t>Related Outcomes</w:t>
            </w:r>
          </w:p>
        </w:tc>
        <w:tc>
          <w:tcPr>
            <w:tcW w:w="7770" w:type="dxa"/>
            <w:gridSpan w:val="3"/>
            <w:shd w:val="clear" w:color="auto" w:fill="F2F2F2" w:themeFill="background1" w:themeFillShade="F2"/>
            <w:vAlign w:val="center"/>
          </w:tcPr>
          <w:p w14:paraId="1A26F8E3" w14:textId="7BF386E9" w:rsidR="00F12505" w:rsidRPr="00346079" w:rsidRDefault="00F12505" w:rsidP="00F12505">
            <w:pPr>
              <w:jc w:val="center"/>
              <w:rPr>
                <w:b/>
                <w:bCs/>
                <w:sz w:val="24"/>
                <w:szCs w:val="24"/>
              </w:rPr>
            </w:pPr>
            <w:r>
              <w:rPr>
                <w:b/>
                <w:bCs/>
                <w:sz w:val="24"/>
                <w:szCs w:val="24"/>
              </w:rPr>
              <w:t>Measures of Success</w:t>
            </w:r>
          </w:p>
        </w:tc>
      </w:tr>
      <w:tr w:rsidR="00F12505" w14:paraId="01C5A28E" w14:textId="77777777" w:rsidTr="0021319E">
        <w:tc>
          <w:tcPr>
            <w:tcW w:w="5180" w:type="dxa"/>
            <w:gridSpan w:val="2"/>
            <w:vAlign w:val="center"/>
          </w:tcPr>
          <w:p w14:paraId="3ED35227" w14:textId="6EF682DD" w:rsidR="00F12505" w:rsidRPr="00346079" w:rsidRDefault="00F12505" w:rsidP="00F12505">
            <w:pPr>
              <w:rPr>
                <w:sz w:val="24"/>
                <w:szCs w:val="24"/>
              </w:rPr>
            </w:pPr>
            <w:r>
              <w:rPr>
                <w:sz w:val="24"/>
                <w:szCs w:val="24"/>
                <w:u w:val="single"/>
              </w:rPr>
              <w:t>Increase</w:t>
            </w:r>
            <w:r>
              <w:rPr>
                <w:sz w:val="24"/>
                <w:szCs w:val="24"/>
              </w:rPr>
              <w:t xml:space="preserve"> in (1) identification/dissemination of best practices internally and externally; (2) annual progress toward or meeting NTIP objectives; and (3) using findings to inform programmatic changes</w:t>
            </w:r>
          </w:p>
        </w:tc>
        <w:tc>
          <w:tcPr>
            <w:tcW w:w="7770" w:type="dxa"/>
            <w:gridSpan w:val="3"/>
            <w:vAlign w:val="center"/>
          </w:tcPr>
          <w:p w14:paraId="5A015FD0" w14:textId="04B83FB1" w:rsidR="00F12505" w:rsidRPr="00346079" w:rsidRDefault="00F12505" w:rsidP="00F12505">
            <w:pPr>
              <w:pStyle w:val="ListParagraph"/>
              <w:numPr>
                <w:ilvl w:val="0"/>
                <w:numId w:val="6"/>
              </w:numPr>
              <w:ind w:left="376"/>
              <w:rPr>
                <w:sz w:val="24"/>
                <w:szCs w:val="24"/>
              </w:rPr>
            </w:pPr>
            <w:r>
              <w:rPr>
                <w:sz w:val="24"/>
                <w:szCs w:val="24"/>
              </w:rPr>
              <w:t>Annual increase in programmatic NTIP performance and (2) annual review and update of Tennessee TB Elimination Program Manual</w:t>
            </w:r>
          </w:p>
        </w:tc>
      </w:tr>
      <w:tr w:rsidR="00F12505" w14:paraId="35EAE682" w14:textId="77777777" w:rsidTr="00C6702C">
        <w:tc>
          <w:tcPr>
            <w:tcW w:w="2590" w:type="dxa"/>
            <w:shd w:val="clear" w:color="auto" w:fill="F2F2F2" w:themeFill="background1" w:themeFillShade="F2"/>
            <w:vAlign w:val="center"/>
          </w:tcPr>
          <w:p w14:paraId="08450E56" w14:textId="0EFE6DAE" w:rsidR="00F12505" w:rsidRPr="00C6702C" w:rsidRDefault="00F12505" w:rsidP="00F12505">
            <w:pPr>
              <w:jc w:val="center"/>
              <w:rPr>
                <w:b/>
                <w:bCs/>
                <w:sz w:val="24"/>
                <w:szCs w:val="24"/>
              </w:rPr>
            </w:pPr>
            <w:r>
              <w:rPr>
                <w:b/>
                <w:bCs/>
                <w:sz w:val="24"/>
                <w:szCs w:val="24"/>
              </w:rPr>
              <w:t>Objectives</w:t>
            </w:r>
          </w:p>
        </w:tc>
        <w:tc>
          <w:tcPr>
            <w:tcW w:w="2590" w:type="dxa"/>
            <w:shd w:val="clear" w:color="auto" w:fill="F2F2F2" w:themeFill="background1" w:themeFillShade="F2"/>
            <w:vAlign w:val="center"/>
          </w:tcPr>
          <w:p w14:paraId="5C43A0A7" w14:textId="1D0AA524" w:rsidR="00F12505" w:rsidRPr="00C6702C" w:rsidRDefault="00F12505" w:rsidP="00F12505">
            <w:pPr>
              <w:jc w:val="center"/>
              <w:rPr>
                <w:b/>
                <w:bCs/>
                <w:sz w:val="24"/>
                <w:szCs w:val="24"/>
              </w:rPr>
            </w:pPr>
            <w:r>
              <w:rPr>
                <w:b/>
                <w:bCs/>
                <w:sz w:val="24"/>
                <w:szCs w:val="24"/>
              </w:rPr>
              <w:t>Activities</w:t>
            </w:r>
          </w:p>
        </w:tc>
        <w:tc>
          <w:tcPr>
            <w:tcW w:w="2590" w:type="dxa"/>
            <w:shd w:val="clear" w:color="auto" w:fill="F2F2F2" w:themeFill="background1" w:themeFillShade="F2"/>
            <w:vAlign w:val="center"/>
          </w:tcPr>
          <w:p w14:paraId="29771557" w14:textId="05CDF3F5" w:rsidR="00F12505" w:rsidRPr="00C6702C" w:rsidRDefault="00F12505" w:rsidP="00F12505">
            <w:pPr>
              <w:jc w:val="center"/>
              <w:rPr>
                <w:b/>
                <w:bCs/>
                <w:sz w:val="24"/>
                <w:szCs w:val="24"/>
              </w:rPr>
            </w:pPr>
            <w:r>
              <w:rPr>
                <w:b/>
                <w:bCs/>
                <w:sz w:val="24"/>
                <w:szCs w:val="24"/>
              </w:rPr>
              <w:t>Timeline</w:t>
            </w:r>
          </w:p>
        </w:tc>
        <w:tc>
          <w:tcPr>
            <w:tcW w:w="2590" w:type="dxa"/>
            <w:shd w:val="clear" w:color="auto" w:fill="F2F2F2" w:themeFill="background1" w:themeFillShade="F2"/>
            <w:vAlign w:val="center"/>
          </w:tcPr>
          <w:p w14:paraId="587A68F2" w14:textId="27979A08" w:rsidR="00F12505" w:rsidRPr="00C6702C" w:rsidRDefault="00F12505" w:rsidP="00F12505">
            <w:pPr>
              <w:jc w:val="center"/>
              <w:rPr>
                <w:b/>
                <w:bCs/>
                <w:sz w:val="24"/>
                <w:szCs w:val="24"/>
              </w:rPr>
            </w:pPr>
            <w:r>
              <w:rPr>
                <w:b/>
                <w:bCs/>
                <w:sz w:val="24"/>
                <w:szCs w:val="24"/>
              </w:rPr>
              <w:t>Successes</w:t>
            </w:r>
          </w:p>
        </w:tc>
        <w:tc>
          <w:tcPr>
            <w:tcW w:w="2590" w:type="dxa"/>
            <w:shd w:val="clear" w:color="auto" w:fill="F2F2F2" w:themeFill="background1" w:themeFillShade="F2"/>
            <w:vAlign w:val="center"/>
          </w:tcPr>
          <w:p w14:paraId="6B18EA8C" w14:textId="1A966F31" w:rsidR="00F12505" w:rsidRPr="00C6702C" w:rsidRDefault="00F12505" w:rsidP="00F12505">
            <w:pPr>
              <w:jc w:val="center"/>
              <w:rPr>
                <w:b/>
                <w:bCs/>
                <w:sz w:val="24"/>
                <w:szCs w:val="24"/>
              </w:rPr>
            </w:pPr>
            <w:r>
              <w:rPr>
                <w:b/>
                <w:bCs/>
                <w:sz w:val="24"/>
                <w:szCs w:val="24"/>
              </w:rPr>
              <w:t>Barriers</w:t>
            </w:r>
          </w:p>
        </w:tc>
      </w:tr>
      <w:tr w:rsidR="00EC0C4A" w14:paraId="6F459EFB" w14:textId="77777777" w:rsidTr="00EC0C4A">
        <w:tc>
          <w:tcPr>
            <w:tcW w:w="2590" w:type="dxa"/>
            <w:vAlign w:val="center"/>
          </w:tcPr>
          <w:p w14:paraId="598C2BF2" w14:textId="7ED396F3" w:rsidR="00EC0C4A" w:rsidRDefault="00EC0C4A" w:rsidP="00F12505">
            <w:pPr>
              <w:rPr>
                <w:sz w:val="24"/>
                <w:szCs w:val="24"/>
              </w:rPr>
            </w:pPr>
            <w:r>
              <w:rPr>
                <w:sz w:val="24"/>
                <w:szCs w:val="24"/>
              </w:rPr>
              <w:t>Develop a program evaluation plan</w:t>
            </w:r>
          </w:p>
        </w:tc>
        <w:tc>
          <w:tcPr>
            <w:tcW w:w="2590" w:type="dxa"/>
          </w:tcPr>
          <w:p w14:paraId="717ED03B" w14:textId="7F38A1CC" w:rsidR="00EC0C4A" w:rsidRDefault="00EC0C4A" w:rsidP="00F12505">
            <w:pPr>
              <w:rPr>
                <w:sz w:val="24"/>
                <w:szCs w:val="24"/>
              </w:rPr>
            </w:pPr>
            <w:r>
              <w:rPr>
                <w:sz w:val="24"/>
                <w:szCs w:val="24"/>
              </w:rPr>
              <w:t>Review NTIP indicators; develop SMART objectives</w:t>
            </w:r>
          </w:p>
        </w:tc>
        <w:tc>
          <w:tcPr>
            <w:tcW w:w="2590" w:type="dxa"/>
            <w:vAlign w:val="center"/>
          </w:tcPr>
          <w:p w14:paraId="2907682A" w14:textId="62E55481" w:rsidR="00EC0C4A" w:rsidRDefault="00EC0C4A" w:rsidP="00F12505">
            <w:pPr>
              <w:jc w:val="center"/>
              <w:rPr>
                <w:sz w:val="24"/>
                <w:szCs w:val="24"/>
              </w:rPr>
            </w:pPr>
            <w:r>
              <w:rPr>
                <w:sz w:val="24"/>
                <w:szCs w:val="24"/>
              </w:rPr>
              <w:t>December 31, 2021</w:t>
            </w:r>
          </w:p>
        </w:tc>
        <w:tc>
          <w:tcPr>
            <w:tcW w:w="2590" w:type="dxa"/>
          </w:tcPr>
          <w:p w14:paraId="1C33C922" w14:textId="299A39FC" w:rsidR="00EC0C4A" w:rsidRDefault="00EC0C4A" w:rsidP="00F12505">
            <w:pPr>
              <w:rPr>
                <w:sz w:val="24"/>
                <w:szCs w:val="24"/>
              </w:rPr>
            </w:pPr>
            <w:r>
              <w:rPr>
                <w:sz w:val="24"/>
                <w:szCs w:val="24"/>
              </w:rPr>
              <w:t xml:space="preserve">Evaluation plan has bee written and steps to </w:t>
            </w:r>
            <w:r>
              <w:rPr>
                <w:sz w:val="24"/>
                <w:szCs w:val="24"/>
              </w:rPr>
              <w:lastRenderedPageBreak/>
              <w:t>implement have been outlined.</w:t>
            </w:r>
          </w:p>
        </w:tc>
        <w:tc>
          <w:tcPr>
            <w:tcW w:w="2590" w:type="dxa"/>
            <w:vMerge w:val="restart"/>
            <w:vAlign w:val="center"/>
          </w:tcPr>
          <w:p w14:paraId="09B7E7D5" w14:textId="7AAF2A5E" w:rsidR="00EC0C4A" w:rsidRDefault="00EC0C4A" w:rsidP="00EC0C4A">
            <w:pPr>
              <w:rPr>
                <w:sz w:val="24"/>
                <w:szCs w:val="24"/>
              </w:rPr>
            </w:pPr>
            <w:r>
              <w:rPr>
                <w:sz w:val="24"/>
                <w:szCs w:val="24"/>
              </w:rPr>
              <w:lastRenderedPageBreak/>
              <w:t xml:space="preserve">Due to the COVID-19 pandemic and TTBEP staff being reassigned </w:t>
            </w:r>
            <w:r>
              <w:rPr>
                <w:sz w:val="24"/>
                <w:szCs w:val="24"/>
              </w:rPr>
              <w:lastRenderedPageBreak/>
              <w:t>to assist with core COVID-19 activities, the program’s evaluation plan was not initiated as scheduled.</w:t>
            </w:r>
          </w:p>
        </w:tc>
      </w:tr>
      <w:tr w:rsidR="00EC0C4A" w14:paraId="4619537F" w14:textId="77777777" w:rsidTr="00EC0C4A">
        <w:tc>
          <w:tcPr>
            <w:tcW w:w="2590" w:type="dxa"/>
            <w:vAlign w:val="center"/>
          </w:tcPr>
          <w:p w14:paraId="41421A30" w14:textId="42810F58" w:rsidR="00EC0C4A" w:rsidRDefault="00EC0C4A" w:rsidP="00F12505">
            <w:pPr>
              <w:rPr>
                <w:sz w:val="24"/>
                <w:szCs w:val="24"/>
              </w:rPr>
            </w:pPr>
            <w:r>
              <w:rPr>
                <w:sz w:val="24"/>
                <w:szCs w:val="24"/>
              </w:rPr>
              <w:lastRenderedPageBreak/>
              <w:t>Implement a program evaluation plan</w:t>
            </w:r>
          </w:p>
        </w:tc>
        <w:tc>
          <w:tcPr>
            <w:tcW w:w="2590" w:type="dxa"/>
          </w:tcPr>
          <w:p w14:paraId="1FF38DB0" w14:textId="45C96FFB" w:rsidR="00EC0C4A" w:rsidRDefault="00EC0C4A" w:rsidP="00F12505">
            <w:pPr>
              <w:rPr>
                <w:sz w:val="24"/>
                <w:szCs w:val="24"/>
              </w:rPr>
            </w:pPr>
            <w:r>
              <w:rPr>
                <w:sz w:val="24"/>
                <w:szCs w:val="24"/>
              </w:rPr>
              <w:t>Develop program evaluation committee; execute planned activities; monitor and report findings</w:t>
            </w:r>
          </w:p>
        </w:tc>
        <w:tc>
          <w:tcPr>
            <w:tcW w:w="2590" w:type="dxa"/>
            <w:vAlign w:val="center"/>
          </w:tcPr>
          <w:p w14:paraId="5D8F6D9B" w14:textId="319975A6" w:rsidR="00EC0C4A" w:rsidRDefault="00EC0C4A" w:rsidP="00F12505">
            <w:pPr>
              <w:jc w:val="center"/>
              <w:rPr>
                <w:sz w:val="24"/>
                <w:szCs w:val="24"/>
              </w:rPr>
            </w:pPr>
            <w:r>
              <w:rPr>
                <w:sz w:val="24"/>
                <w:szCs w:val="24"/>
              </w:rPr>
              <w:t>Begin implementation steps by June 30, 2022.</w:t>
            </w:r>
          </w:p>
        </w:tc>
        <w:tc>
          <w:tcPr>
            <w:tcW w:w="2590" w:type="dxa"/>
            <w:vAlign w:val="center"/>
          </w:tcPr>
          <w:p w14:paraId="626CB6E3" w14:textId="508C54F0" w:rsidR="00EC0C4A" w:rsidRDefault="00EC0C4A" w:rsidP="00EC0C4A">
            <w:pPr>
              <w:rPr>
                <w:sz w:val="24"/>
                <w:szCs w:val="24"/>
              </w:rPr>
            </w:pPr>
            <w:r>
              <w:rPr>
                <w:sz w:val="24"/>
                <w:szCs w:val="24"/>
              </w:rPr>
              <w:t>None.</w:t>
            </w:r>
          </w:p>
        </w:tc>
        <w:tc>
          <w:tcPr>
            <w:tcW w:w="2590" w:type="dxa"/>
            <w:vMerge/>
          </w:tcPr>
          <w:p w14:paraId="7FB10BA9" w14:textId="77777777" w:rsidR="00EC0C4A" w:rsidRDefault="00EC0C4A" w:rsidP="00F12505">
            <w:pPr>
              <w:rPr>
                <w:sz w:val="24"/>
                <w:szCs w:val="24"/>
              </w:rPr>
            </w:pPr>
          </w:p>
        </w:tc>
      </w:tr>
      <w:tr w:rsidR="00EC0C4A" w14:paraId="673C02FE" w14:textId="77777777" w:rsidTr="00EC0C4A">
        <w:tc>
          <w:tcPr>
            <w:tcW w:w="2590" w:type="dxa"/>
            <w:vAlign w:val="center"/>
          </w:tcPr>
          <w:p w14:paraId="1AA8E7E7" w14:textId="442A5295" w:rsidR="00EC0C4A" w:rsidRDefault="00EC0C4A" w:rsidP="00F12505">
            <w:pPr>
              <w:rPr>
                <w:sz w:val="24"/>
                <w:szCs w:val="24"/>
              </w:rPr>
            </w:pPr>
            <w:r>
              <w:rPr>
                <w:sz w:val="24"/>
                <w:szCs w:val="24"/>
              </w:rPr>
              <w:t>Develop strategies to implement activities to address finding of program evaluation plan</w:t>
            </w:r>
          </w:p>
        </w:tc>
        <w:tc>
          <w:tcPr>
            <w:tcW w:w="2590" w:type="dxa"/>
          </w:tcPr>
          <w:p w14:paraId="5CD55C29" w14:textId="699E0D9E" w:rsidR="00EC0C4A" w:rsidRDefault="00EC0C4A" w:rsidP="00F12505">
            <w:pPr>
              <w:rPr>
                <w:sz w:val="24"/>
                <w:szCs w:val="24"/>
              </w:rPr>
            </w:pPr>
            <w:r>
              <w:rPr>
                <w:sz w:val="24"/>
                <w:szCs w:val="24"/>
              </w:rPr>
              <w:t>Solicit input from regional TB programs; review program evaluation plan; update plan as needed</w:t>
            </w:r>
          </w:p>
        </w:tc>
        <w:tc>
          <w:tcPr>
            <w:tcW w:w="2590" w:type="dxa"/>
            <w:vAlign w:val="center"/>
          </w:tcPr>
          <w:p w14:paraId="003D8989" w14:textId="3733434F" w:rsidR="00EC0C4A" w:rsidRDefault="00EC0C4A" w:rsidP="00F12505">
            <w:pPr>
              <w:jc w:val="center"/>
              <w:rPr>
                <w:sz w:val="24"/>
                <w:szCs w:val="24"/>
              </w:rPr>
            </w:pPr>
            <w:r>
              <w:rPr>
                <w:sz w:val="24"/>
                <w:szCs w:val="24"/>
              </w:rPr>
              <w:t>December 31, 2022.</w:t>
            </w:r>
          </w:p>
        </w:tc>
        <w:tc>
          <w:tcPr>
            <w:tcW w:w="2590" w:type="dxa"/>
            <w:vAlign w:val="center"/>
          </w:tcPr>
          <w:p w14:paraId="53D1EAD1" w14:textId="12D44D19" w:rsidR="00EC0C4A" w:rsidRDefault="00EC0C4A" w:rsidP="00EC0C4A">
            <w:pPr>
              <w:rPr>
                <w:sz w:val="24"/>
                <w:szCs w:val="24"/>
              </w:rPr>
            </w:pPr>
            <w:r>
              <w:rPr>
                <w:sz w:val="24"/>
                <w:szCs w:val="24"/>
              </w:rPr>
              <w:t>None.</w:t>
            </w:r>
          </w:p>
        </w:tc>
        <w:tc>
          <w:tcPr>
            <w:tcW w:w="2590" w:type="dxa"/>
            <w:vMerge/>
          </w:tcPr>
          <w:p w14:paraId="372A278C" w14:textId="77777777" w:rsidR="00EC0C4A" w:rsidRDefault="00EC0C4A" w:rsidP="00F12505">
            <w:pPr>
              <w:rPr>
                <w:sz w:val="24"/>
                <w:szCs w:val="24"/>
              </w:rPr>
            </w:pPr>
          </w:p>
        </w:tc>
      </w:tr>
      <w:tr w:rsidR="00F12505" w14:paraId="14655FBE" w14:textId="77777777" w:rsidTr="0021319E">
        <w:tc>
          <w:tcPr>
            <w:tcW w:w="12950" w:type="dxa"/>
            <w:gridSpan w:val="5"/>
            <w:shd w:val="clear" w:color="auto" w:fill="D9D9D9" w:themeFill="background1" w:themeFillShade="D9"/>
            <w:vAlign w:val="center"/>
          </w:tcPr>
          <w:p w14:paraId="2DBBB040" w14:textId="0E9D5BE5" w:rsidR="00F12505" w:rsidRPr="0021319E" w:rsidRDefault="00F12505" w:rsidP="00F12505">
            <w:pPr>
              <w:rPr>
                <w:b/>
                <w:bCs/>
                <w:sz w:val="24"/>
                <w:szCs w:val="24"/>
              </w:rPr>
            </w:pPr>
            <w:r>
              <w:rPr>
                <w:b/>
                <w:bCs/>
                <w:sz w:val="24"/>
                <w:szCs w:val="24"/>
              </w:rPr>
              <w:t>Strategy 4: Epidemiologic Surveillance and Response</w:t>
            </w:r>
          </w:p>
        </w:tc>
      </w:tr>
      <w:tr w:rsidR="00F12505" w14:paraId="4D4FC055" w14:textId="77777777" w:rsidTr="0021319E">
        <w:tc>
          <w:tcPr>
            <w:tcW w:w="5180" w:type="dxa"/>
            <w:gridSpan w:val="2"/>
            <w:shd w:val="clear" w:color="auto" w:fill="F2F2F2" w:themeFill="background1" w:themeFillShade="F2"/>
            <w:vAlign w:val="center"/>
          </w:tcPr>
          <w:p w14:paraId="429D14C0" w14:textId="1DBFD6E6" w:rsidR="00F12505" w:rsidRPr="0021319E" w:rsidRDefault="00F12505" w:rsidP="00F12505">
            <w:pPr>
              <w:jc w:val="center"/>
              <w:rPr>
                <w:b/>
                <w:bCs/>
                <w:sz w:val="24"/>
                <w:szCs w:val="24"/>
              </w:rPr>
            </w:pPr>
            <w:r>
              <w:rPr>
                <w:b/>
                <w:bCs/>
                <w:sz w:val="24"/>
                <w:szCs w:val="24"/>
              </w:rPr>
              <w:t>Related Outcomes</w:t>
            </w:r>
          </w:p>
        </w:tc>
        <w:tc>
          <w:tcPr>
            <w:tcW w:w="7770" w:type="dxa"/>
            <w:gridSpan w:val="3"/>
            <w:shd w:val="clear" w:color="auto" w:fill="F2F2F2" w:themeFill="background1" w:themeFillShade="F2"/>
            <w:vAlign w:val="center"/>
          </w:tcPr>
          <w:p w14:paraId="4DB9005D" w14:textId="54D0C5FD" w:rsidR="00F12505" w:rsidRPr="0021319E" w:rsidRDefault="00F12505" w:rsidP="00F12505">
            <w:pPr>
              <w:jc w:val="center"/>
              <w:rPr>
                <w:b/>
                <w:bCs/>
                <w:sz w:val="24"/>
                <w:szCs w:val="24"/>
              </w:rPr>
            </w:pPr>
            <w:r>
              <w:rPr>
                <w:b/>
                <w:bCs/>
                <w:sz w:val="24"/>
                <w:szCs w:val="24"/>
              </w:rPr>
              <w:t>Measures of Success</w:t>
            </w:r>
          </w:p>
        </w:tc>
      </w:tr>
      <w:tr w:rsidR="00F12505" w14:paraId="0FEE7FCF" w14:textId="77777777" w:rsidTr="00B76A77">
        <w:tc>
          <w:tcPr>
            <w:tcW w:w="5180" w:type="dxa"/>
            <w:gridSpan w:val="2"/>
            <w:vAlign w:val="center"/>
          </w:tcPr>
          <w:p w14:paraId="68E0C0B3" w14:textId="1CF6CF82" w:rsidR="00F12505" w:rsidRPr="00A22951" w:rsidRDefault="00F12505" w:rsidP="00F12505">
            <w:pPr>
              <w:spacing w:before="240"/>
              <w:rPr>
                <w:sz w:val="24"/>
                <w:szCs w:val="24"/>
              </w:rPr>
            </w:pPr>
            <w:r>
              <w:rPr>
                <w:sz w:val="24"/>
                <w:szCs w:val="24"/>
              </w:rPr>
              <w:t xml:space="preserve">Implementation of the 2020 RVCT </w:t>
            </w:r>
            <w:r>
              <w:rPr>
                <w:b/>
                <w:bCs/>
                <w:sz w:val="24"/>
                <w:szCs w:val="24"/>
              </w:rPr>
              <w:t>(new)</w:t>
            </w:r>
            <w:r>
              <w:rPr>
                <w:sz w:val="24"/>
                <w:szCs w:val="24"/>
              </w:rPr>
              <w:t xml:space="preserve">; </w:t>
            </w:r>
            <w:r>
              <w:rPr>
                <w:sz w:val="24"/>
                <w:szCs w:val="24"/>
                <w:u w:val="single"/>
              </w:rPr>
              <w:t>increase</w:t>
            </w:r>
            <w:r>
              <w:rPr>
                <w:sz w:val="24"/>
                <w:szCs w:val="24"/>
              </w:rPr>
              <w:t xml:space="preserve"> in: (1) accuracy and completeness of surveillance, genotyping, and WGS data; (2) linkage of genotyping and surveillance data; (3) availability</w:t>
            </w:r>
          </w:p>
        </w:tc>
        <w:tc>
          <w:tcPr>
            <w:tcW w:w="7770" w:type="dxa"/>
            <w:gridSpan w:val="3"/>
            <w:vAlign w:val="center"/>
          </w:tcPr>
          <w:p w14:paraId="5B957676" w14:textId="4FE3804F" w:rsidR="00F12505" w:rsidRPr="00B76A77" w:rsidRDefault="00F12505" w:rsidP="00F12505">
            <w:pPr>
              <w:pStyle w:val="ListParagraph"/>
              <w:numPr>
                <w:ilvl w:val="0"/>
                <w:numId w:val="16"/>
              </w:numPr>
              <w:ind w:left="384"/>
              <w:rPr>
                <w:sz w:val="24"/>
                <w:szCs w:val="24"/>
              </w:rPr>
            </w:pPr>
            <w:r w:rsidRPr="00B76A77">
              <w:rPr>
                <w:sz w:val="24"/>
                <w:szCs w:val="24"/>
              </w:rPr>
              <w:t>Full integration and implementation of 2020 RVCT into Tennessee surveillance system</w:t>
            </w:r>
            <w:r>
              <w:rPr>
                <w:sz w:val="24"/>
                <w:szCs w:val="24"/>
              </w:rPr>
              <w:t>; (2) 100% of regional TB staff trained on 2020 RVCT and surveillance system pages prior to integration into statewide surveillance system; (3) 100% of genotype results will be provided to regional TB programs within three (3) business days of receiving results.</w:t>
            </w:r>
          </w:p>
        </w:tc>
      </w:tr>
      <w:tr w:rsidR="00F12505" w14:paraId="25EEF3CC" w14:textId="77777777" w:rsidTr="0021319E">
        <w:tc>
          <w:tcPr>
            <w:tcW w:w="2590" w:type="dxa"/>
            <w:shd w:val="clear" w:color="auto" w:fill="F2F2F2" w:themeFill="background1" w:themeFillShade="F2"/>
            <w:vAlign w:val="center"/>
          </w:tcPr>
          <w:p w14:paraId="15BE93AB" w14:textId="1D81526C" w:rsidR="00F12505" w:rsidRPr="0021319E" w:rsidRDefault="00F12505" w:rsidP="00F12505">
            <w:pPr>
              <w:jc w:val="center"/>
              <w:rPr>
                <w:b/>
                <w:bCs/>
                <w:sz w:val="24"/>
                <w:szCs w:val="24"/>
              </w:rPr>
            </w:pPr>
            <w:r>
              <w:rPr>
                <w:b/>
                <w:bCs/>
                <w:sz w:val="24"/>
                <w:szCs w:val="24"/>
              </w:rPr>
              <w:t>Objectives</w:t>
            </w:r>
          </w:p>
        </w:tc>
        <w:tc>
          <w:tcPr>
            <w:tcW w:w="2590" w:type="dxa"/>
            <w:shd w:val="clear" w:color="auto" w:fill="F2F2F2" w:themeFill="background1" w:themeFillShade="F2"/>
          </w:tcPr>
          <w:p w14:paraId="4B33BE7E" w14:textId="76657004" w:rsidR="00F12505" w:rsidRPr="0021319E" w:rsidRDefault="00F12505" w:rsidP="00F12505">
            <w:pPr>
              <w:jc w:val="center"/>
              <w:rPr>
                <w:b/>
                <w:bCs/>
                <w:sz w:val="24"/>
                <w:szCs w:val="24"/>
              </w:rPr>
            </w:pPr>
            <w:r>
              <w:rPr>
                <w:b/>
                <w:bCs/>
                <w:sz w:val="24"/>
                <w:szCs w:val="24"/>
              </w:rPr>
              <w:t>Activities</w:t>
            </w:r>
          </w:p>
        </w:tc>
        <w:tc>
          <w:tcPr>
            <w:tcW w:w="2590" w:type="dxa"/>
            <w:shd w:val="clear" w:color="auto" w:fill="F2F2F2" w:themeFill="background1" w:themeFillShade="F2"/>
            <w:vAlign w:val="center"/>
          </w:tcPr>
          <w:p w14:paraId="1B1FCA88" w14:textId="6992CC85" w:rsidR="00F12505" w:rsidRPr="0021319E" w:rsidRDefault="00F12505" w:rsidP="00F12505">
            <w:pPr>
              <w:jc w:val="center"/>
              <w:rPr>
                <w:b/>
                <w:bCs/>
                <w:sz w:val="24"/>
                <w:szCs w:val="24"/>
              </w:rPr>
            </w:pPr>
            <w:r>
              <w:rPr>
                <w:b/>
                <w:bCs/>
                <w:sz w:val="24"/>
                <w:szCs w:val="24"/>
              </w:rPr>
              <w:t>Timeline</w:t>
            </w:r>
          </w:p>
        </w:tc>
        <w:tc>
          <w:tcPr>
            <w:tcW w:w="2590" w:type="dxa"/>
            <w:shd w:val="clear" w:color="auto" w:fill="F2F2F2" w:themeFill="background1" w:themeFillShade="F2"/>
          </w:tcPr>
          <w:p w14:paraId="2DA98652" w14:textId="1DE277BB" w:rsidR="00F12505" w:rsidRPr="0021319E" w:rsidRDefault="00F12505" w:rsidP="00F12505">
            <w:pPr>
              <w:jc w:val="center"/>
              <w:rPr>
                <w:b/>
                <w:bCs/>
                <w:sz w:val="24"/>
                <w:szCs w:val="24"/>
              </w:rPr>
            </w:pPr>
            <w:r>
              <w:rPr>
                <w:b/>
                <w:bCs/>
                <w:sz w:val="24"/>
                <w:szCs w:val="24"/>
              </w:rPr>
              <w:t>Successes</w:t>
            </w:r>
          </w:p>
        </w:tc>
        <w:tc>
          <w:tcPr>
            <w:tcW w:w="2590" w:type="dxa"/>
            <w:shd w:val="clear" w:color="auto" w:fill="F2F2F2" w:themeFill="background1" w:themeFillShade="F2"/>
          </w:tcPr>
          <w:p w14:paraId="5B92B322" w14:textId="43CEF91E" w:rsidR="00F12505" w:rsidRPr="0021319E" w:rsidRDefault="00F12505" w:rsidP="00F12505">
            <w:pPr>
              <w:jc w:val="center"/>
              <w:rPr>
                <w:b/>
                <w:bCs/>
                <w:sz w:val="24"/>
                <w:szCs w:val="24"/>
              </w:rPr>
            </w:pPr>
            <w:r>
              <w:rPr>
                <w:b/>
                <w:bCs/>
                <w:sz w:val="24"/>
                <w:szCs w:val="24"/>
              </w:rPr>
              <w:t>Barriers</w:t>
            </w:r>
          </w:p>
        </w:tc>
      </w:tr>
      <w:tr w:rsidR="00F12505" w14:paraId="7D9EB33C" w14:textId="77777777" w:rsidTr="005E3BEA">
        <w:tc>
          <w:tcPr>
            <w:tcW w:w="2590" w:type="dxa"/>
            <w:vAlign w:val="center"/>
          </w:tcPr>
          <w:p w14:paraId="6F4022E8" w14:textId="14BCCB3E" w:rsidR="00F12505" w:rsidRPr="000E77FA" w:rsidRDefault="00F12505" w:rsidP="00F12505">
            <w:pPr>
              <w:rPr>
                <w:b/>
                <w:bCs/>
                <w:sz w:val="24"/>
                <w:szCs w:val="24"/>
              </w:rPr>
            </w:pPr>
            <w:r>
              <w:rPr>
                <w:sz w:val="24"/>
                <w:szCs w:val="24"/>
              </w:rPr>
              <w:t xml:space="preserve">Implement the 2020 RVCT </w:t>
            </w:r>
            <w:r>
              <w:rPr>
                <w:b/>
                <w:bCs/>
                <w:sz w:val="24"/>
                <w:szCs w:val="24"/>
              </w:rPr>
              <w:t>(new)</w:t>
            </w:r>
          </w:p>
        </w:tc>
        <w:tc>
          <w:tcPr>
            <w:tcW w:w="2590" w:type="dxa"/>
          </w:tcPr>
          <w:p w14:paraId="0A881B0A" w14:textId="27118853" w:rsidR="00F12505" w:rsidRDefault="00F12505" w:rsidP="00F12505">
            <w:pPr>
              <w:rPr>
                <w:sz w:val="24"/>
                <w:szCs w:val="24"/>
              </w:rPr>
            </w:pPr>
            <w:r>
              <w:rPr>
                <w:sz w:val="24"/>
                <w:szCs w:val="24"/>
              </w:rPr>
              <w:t>Work with Surveillance Systems and Informatic Program (SSIP) to ensure implementation of the 2020 RVCT page into the NEDSS-based system</w:t>
            </w:r>
          </w:p>
        </w:tc>
        <w:tc>
          <w:tcPr>
            <w:tcW w:w="2590" w:type="dxa"/>
            <w:vAlign w:val="center"/>
          </w:tcPr>
          <w:p w14:paraId="228212BF" w14:textId="0E035491" w:rsidR="00F12505" w:rsidRDefault="00F12505" w:rsidP="00F12505">
            <w:pPr>
              <w:jc w:val="center"/>
              <w:rPr>
                <w:sz w:val="24"/>
                <w:szCs w:val="24"/>
              </w:rPr>
            </w:pPr>
            <w:r>
              <w:rPr>
                <w:sz w:val="24"/>
                <w:szCs w:val="24"/>
              </w:rPr>
              <w:t>December 31, 2022</w:t>
            </w:r>
          </w:p>
        </w:tc>
        <w:tc>
          <w:tcPr>
            <w:tcW w:w="2590" w:type="dxa"/>
            <w:vAlign w:val="center"/>
          </w:tcPr>
          <w:p w14:paraId="7315E121" w14:textId="5175659D" w:rsidR="00F12505" w:rsidRDefault="00F12505" w:rsidP="00F12505">
            <w:pPr>
              <w:rPr>
                <w:sz w:val="24"/>
                <w:szCs w:val="24"/>
              </w:rPr>
            </w:pPr>
            <w:r>
              <w:rPr>
                <w:sz w:val="24"/>
                <w:szCs w:val="24"/>
              </w:rPr>
              <w:t>None.</w:t>
            </w:r>
          </w:p>
        </w:tc>
        <w:tc>
          <w:tcPr>
            <w:tcW w:w="2590" w:type="dxa"/>
            <w:vAlign w:val="center"/>
          </w:tcPr>
          <w:p w14:paraId="296AB496" w14:textId="5046F11A" w:rsidR="00F12505" w:rsidRDefault="00F12505" w:rsidP="00F12505">
            <w:pPr>
              <w:rPr>
                <w:sz w:val="24"/>
                <w:szCs w:val="24"/>
              </w:rPr>
            </w:pPr>
            <w:r>
              <w:rPr>
                <w:sz w:val="24"/>
                <w:szCs w:val="24"/>
              </w:rPr>
              <w:t>Tennessee is unable to move forward until the vendor develops the page in NBS.  Due to COVID-19, this project has been delayed.</w:t>
            </w:r>
          </w:p>
        </w:tc>
      </w:tr>
      <w:tr w:rsidR="00F12505" w14:paraId="76C3141E" w14:textId="77777777" w:rsidTr="009263F9">
        <w:tc>
          <w:tcPr>
            <w:tcW w:w="2590" w:type="dxa"/>
            <w:vAlign w:val="center"/>
          </w:tcPr>
          <w:p w14:paraId="4F636CBD" w14:textId="093EADC7" w:rsidR="00F12505" w:rsidRPr="000E77FA" w:rsidRDefault="00F12505" w:rsidP="00F12505">
            <w:pPr>
              <w:rPr>
                <w:b/>
                <w:bCs/>
                <w:sz w:val="24"/>
                <w:szCs w:val="24"/>
              </w:rPr>
            </w:pPr>
            <w:r>
              <w:rPr>
                <w:sz w:val="24"/>
                <w:szCs w:val="24"/>
              </w:rPr>
              <w:t xml:space="preserve">Provide education and training for regional TB program staff on 2020 RVCT </w:t>
            </w:r>
            <w:r>
              <w:rPr>
                <w:b/>
                <w:bCs/>
                <w:sz w:val="24"/>
                <w:szCs w:val="24"/>
              </w:rPr>
              <w:t>(new)</w:t>
            </w:r>
          </w:p>
        </w:tc>
        <w:tc>
          <w:tcPr>
            <w:tcW w:w="2590" w:type="dxa"/>
          </w:tcPr>
          <w:p w14:paraId="344F7AEF" w14:textId="4E73A3A0" w:rsidR="00F12505" w:rsidRDefault="00F12505" w:rsidP="00F12505">
            <w:pPr>
              <w:rPr>
                <w:sz w:val="24"/>
                <w:szCs w:val="24"/>
              </w:rPr>
            </w:pPr>
            <w:r>
              <w:rPr>
                <w:sz w:val="24"/>
                <w:szCs w:val="24"/>
              </w:rPr>
              <w:t>Develop education and training material; ensure use of plain language</w:t>
            </w:r>
          </w:p>
        </w:tc>
        <w:tc>
          <w:tcPr>
            <w:tcW w:w="2590" w:type="dxa"/>
            <w:vAlign w:val="center"/>
          </w:tcPr>
          <w:p w14:paraId="682BE85B" w14:textId="06A91F07" w:rsidR="00F12505" w:rsidRDefault="00F12505" w:rsidP="00F12505">
            <w:pPr>
              <w:jc w:val="center"/>
              <w:rPr>
                <w:sz w:val="24"/>
                <w:szCs w:val="24"/>
              </w:rPr>
            </w:pPr>
            <w:r>
              <w:rPr>
                <w:sz w:val="24"/>
                <w:szCs w:val="24"/>
              </w:rPr>
              <w:t>December 31, 2022</w:t>
            </w:r>
          </w:p>
        </w:tc>
        <w:tc>
          <w:tcPr>
            <w:tcW w:w="2590" w:type="dxa"/>
          </w:tcPr>
          <w:p w14:paraId="777DDA79" w14:textId="5CAE8A1E" w:rsidR="00F12505" w:rsidRDefault="00F12505" w:rsidP="00F12505">
            <w:pPr>
              <w:rPr>
                <w:sz w:val="24"/>
                <w:szCs w:val="24"/>
              </w:rPr>
            </w:pPr>
            <w:r>
              <w:rPr>
                <w:sz w:val="24"/>
                <w:szCs w:val="24"/>
              </w:rPr>
              <w:t xml:space="preserve">The 2020 RVCT and user guide have been combined into one </w:t>
            </w:r>
            <w:r>
              <w:rPr>
                <w:sz w:val="24"/>
                <w:szCs w:val="24"/>
              </w:rPr>
              <w:lastRenderedPageBreak/>
              <w:t>document for training purposes in Tennessee.</w:t>
            </w:r>
          </w:p>
        </w:tc>
        <w:tc>
          <w:tcPr>
            <w:tcW w:w="2590" w:type="dxa"/>
            <w:vAlign w:val="center"/>
          </w:tcPr>
          <w:p w14:paraId="323357FB" w14:textId="1820280B" w:rsidR="00F12505" w:rsidRDefault="00F12505" w:rsidP="00F12505">
            <w:pPr>
              <w:rPr>
                <w:sz w:val="24"/>
                <w:szCs w:val="24"/>
              </w:rPr>
            </w:pPr>
            <w:r>
              <w:rPr>
                <w:sz w:val="24"/>
                <w:szCs w:val="24"/>
              </w:rPr>
              <w:lastRenderedPageBreak/>
              <w:t>None.</w:t>
            </w:r>
          </w:p>
        </w:tc>
      </w:tr>
      <w:tr w:rsidR="00F12505" w14:paraId="617C6152" w14:textId="77777777" w:rsidTr="009263F9">
        <w:tc>
          <w:tcPr>
            <w:tcW w:w="2590" w:type="dxa"/>
            <w:vAlign w:val="center"/>
          </w:tcPr>
          <w:p w14:paraId="618E15D6" w14:textId="69F0A25C" w:rsidR="00F12505" w:rsidRDefault="00F12505" w:rsidP="00F12505">
            <w:pPr>
              <w:rPr>
                <w:sz w:val="24"/>
                <w:szCs w:val="24"/>
              </w:rPr>
            </w:pPr>
            <w:r>
              <w:rPr>
                <w:sz w:val="24"/>
                <w:szCs w:val="24"/>
              </w:rPr>
              <w:t>Ensure  the completeness of each core RVCT data item reported to CDC</w:t>
            </w:r>
          </w:p>
        </w:tc>
        <w:tc>
          <w:tcPr>
            <w:tcW w:w="2590" w:type="dxa"/>
          </w:tcPr>
          <w:p w14:paraId="22E897BF" w14:textId="4AAAB578" w:rsidR="00F12505" w:rsidRDefault="00F12505" w:rsidP="00F12505">
            <w:pPr>
              <w:rPr>
                <w:sz w:val="24"/>
                <w:szCs w:val="24"/>
              </w:rPr>
            </w:pPr>
            <w:r>
              <w:rPr>
                <w:sz w:val="24"/>
                <w:szCs w:val="24"/>
              </w:rPr>
              <w:t>Provide quality assurance (QA) on TB case data prior to submission to CDC</w:t>
            </w:r>
          </w:p>
        </w:tc>
        <w:tc>
          <w:tcPr>
            <w:tcW w:w="2590" w:type="dxa"/>
            <w:vAlign w:val="center"/>
          </w:tcPr>
          <w:p w14:paraId="50124E88" w14:textId="13C847BD" w:rsidR="00F12505" w:rsidRDefault="00F12505" w:rsidP="00F12505">
            <w:pPr>
              <w:jc w:val="center"/>
              <w:rPr>
                <w:sz w:val="24"/>
                <w:szCs w:val="24"/>
              </w:rPr>
            </w:pPr>
            <w:r>
              <w:rPr>
                <w:sz w:val="24"/>
                <w:szCs w:val="24"/>
              </w:rPr>
              <w:t>100% by 2025</w:t>
            </w:r>
          </w:p>
        </w:tc>
        <w:tc>
          <w:tcPr>
            <w:tcW w:w="2590" w:type="dxa"/>
            <w:vAlign w:val="center"/>
          </w:tcPr>
          <w:p w14:paraId="695B9092" w14:textId="26751FBA" w:rsidR="00F12505" w:rsidRDefault="00F12505" w:rsidP="00F12505">
            <w:pPr>
              <w:rPr>
                <w:sz w:val="24"/>
                <w:szCs w:val="24"/>
              </w:rPr>
            </w:pPr>
            <w:r>
              <w:rPr>
                <w:sz w:val="24"/>
                <w:szCs w:val="24"/>
              </w:rPr>
              <w:t>At the time of this report, the surveillance coordinator for the TTBEP has been relieved of all of his COVID-19 duties and is working 100% in TB.</w:t>
            </w:r>
          </w:p>
        </w:tc>
        <w:tc>
          <w:tcPr>
            <w:tcW w:w="2590" w:type="dxa"/>
            <w:vMerge w:val="restart"/>
            <w:vAlign w:val="center"/>
          </w:tcPr>
          <w:p w14:paraId="78C610B8" w14:textId="5CFC5D1D" w:rsidR="00F12505" w:rsidRDefault="00F12505" w:rsidP="00F12505">
            <w:pPr>
              <w:rPr>
                <w:sz w:val="24"/>
                <w:szCs w:val="24"/>
              </w:rPr>
            </w:pPr>
            <w:r>
              <w:rPr>
                <w:sz w:val="24"/>
                <w:szCs w:val="24"/>
              </w:rPr>
              <w:t>Due to central office staff being reassigned to COVID-19 duties, data quality for the RVCT, ARPE, and EDN has decreased compared to previous years.</w:t>
            </w:r>
          </w:p>
        </w:tc>
      </w:tr>
      <w:tr w:rsidR="00F12505" w14:paraId="7C4ED40A" w14:textId="77777777" w:rsidTr="00C21B6F">
        <w:tc>
          <w:tcPr>
            <w:tcW w:w="2590" w:type="dxa"/>
            <w:vAlign w:val="center"/>
          </w:tcPr>
          <w:p w14:paraId="7CC647AA" w14:textId="730FE4C8" w:rsidR="00F12505" w:rsidRDefault="00F12505" w:rsidP="00F12505">
            <w:pPr>
              <w:rPr>
                <w:sz w:val="24"/>
                <w:szCs w:val="24"/>
              </w:rPr>
            </w:pPr>
            <w:r>
              <w:rPr>
                <w:sz w:val="24"/>
                <w:szCs w:val="24"/>
              </w:rPr>
              <w:t>Ensure the completeness of each core ARPE data items reported to CDC</w:t>
            </w:r>
          </w:p>
        </w:tc>
        <w:tc>
          <w:tcPr>
            <w:tcW w:w="2590" w:type="dxa"/>
          </w:tcPr>
          <w:p w14:paraId="5DB82F4E" w14:textId="5E64FC9B" w:rsidR="00F12505" w:rsidRDefault="00F12505" w:rsidP="00F12505">
            <w:pPr>
              <w:rPr>
                <w:sz w:val="24"/>
                <w:szCs w:val="24"/>
              </w:rPr>
            </w:pPr>
            <w:r>
              <w:rPr>
                <w:sz w:val="24"/>
                <w:szCs w:val="24"/>
              </w:rPr>
              <w:t>Review contact investigation data; provide quality assurance on ARPE data</w:t>
            </w:r>
          </w:p>
        </w:tc>
        <w:tc>
          <w:tcPr>
            <w:tcW w:w="2590" w:type="dxa"/>
            <w:vAlign w:val="center"/>
          </w:tcPr>
          <w:p w14:paraId="7DFBA890" w14:textId="54996E34" w:rsidR="00F12505" w:rsidRDefault="00F12505" w:rsidP="00F12505">
            <w:pPr>
              <w:jc w:val="center"/>
              <w:rPr>
                <w:sz w:val="24"/>
                <w:szCs w:val="24"/>
              </w:rPr>
            </w:pPr>
            <w:r>
              <w:rPr>
                <w:sz w:val="24"/>
                <w:szCs w:val="24"/>
              </w:rPr>
              <w:t>100% by 2025</w:t>
            </w:r>
          </w:p>
        </w:tc>
        <w:tc>
          <w:tcPr>
            <w:tcW w:w="2590" w:type="dxa"/>
          </w:tcPr>
          <w:p w14:paraId="3A7E855D" w14:textId="3ED11661" w:rsidR="00F12505" w:rsidRDefault="00F12505" w:rsidP="00F12505">
            <w:pPr>
              <w:rPr>
                <w:sz w:val="24"/>
                <w:szCs w:val="24"/>
              </w:rPr>
            </w:pPr>
            <w:r>
              <w:rPr>
                <w:sz w:val="24"/>
                <w:szCs w:val="24"/>
              </w:rPr>
              <w:t>The TTBEP is exploring options to make the ARPE process easier on regional TB program staff.  These options include adding ARPEs to our disease surveillance system TB page and/or a “Contact Investigation Summary” after completion of a contact investigation for each patient.</w:t>
            </w:r>
          </w:p>
        </w:tc>
        <w:tc>
          <w:tcPr>
            <w:tcW w:w="2590" w:type="dxa"/>
            <w:vMerge/>
          </w:tcPr>
          <w:p w14:paraId="22CF0DBD" w14:textId="77777777" w:rsidR="00F12505" w:rsidRDefault="00F12505" w:rsidP="00F12505">
            <w:pPr>
              <w:rPr>
                <w:sz w:val="24"/>
                <w:szCs w:val="24"/>
              </w:rPr>
            </w:pPr>
          </w:p>
        </w:tc>
      </w:tr>
      <w:tr w:rsidR="00F12505" w14:paraId="4E46AAB5" w14:textId="77777777" w:rsidTr="009263F9">
        <w:tc>
          <w:tcPr>
            <w:tcW w:w="2590" w:type="dxa"/>
            <w:vAlign w:val="center"/>
          </w:tcPr>
          <w:p w14:paraId="21337342" w14:textId="7A27868D" w:rsidR="00F12505" w:rsidRDefault="00F12505" w:rsidP="00F12505">
            <w:pPr>
              <w:rPr>
                <w:sz w:val="24"/>
                <w:szCs w:val="24"/>
              </w:rPr>
            </w:pPr>
            <w:r>
              <w:rPr>
                <w:sz w:val="24"/>
                <w:szCs w:val="24"/>
              </w:rPr>
              <w:t>Ensure the completeness of each core TB Follow-Up Worksheet data item reported to CDC via the EDN system</w:t>
            </w:r>
          </w:p>
        </w:tc>
        <w:tc>
          <w:tcPr>
            <w:tcW w:w="2590" w:type="dxa"/>
          </w:tcPr>
          <w:p w14:paraId="4DD97202" w14:textId="5D5A479B" w:rsidR="00F12505" w:rsidRDefault="00F12505" w:rsidP="00F12505">
            <w:pPr>
              <w:rPr>
                <w:sz w:val="24"/>
                <w:szCs w:val="24"/>
              </w:rPr>
            </w:pPr>
            <w:r>
              <w:rPr>
                <w:sz w:val="24"/>
                <w:szCs w:val="24"/>
              </w:rPr>
              <w:t>Maintain state EDN database; review EDN data and provide quality assurance prior to final submission in EDN system</w:t>
            </w:r>
          </w:p>
        </w:tc>
        <w:tc>
          <w:tcPr>
            <w:tcW w:w="2590" w:type="dxa"/>
            <w:vAlign w:val="center"/>
          </w:tcPr>
          <w:p w14:paraId="29F7980F" w14:textId="61F0DA2D" w:rsidR="00F12505" w:rsidRDefault="00F12505" w:rsidP="00F12505">
            <w:pPr>
              <w:jc w:val="center"/>
              <w:rPr>
                <w:sz w:val="24"/>
                <w:szCs w:val="24"/>
              </w:rPr>
            </w:pPr>
            <w:r>
              <w:rPr>
                <w:sz w:val="24"/>
                <w:szCs w:val="24"/>
              </w:rPr>
              <w:t>93% by 2025</w:t>
            </w:r>
          </w:p>
        </w:tc>
        <w:tc>
          <w:tcPr>
            <w:tcW w:w="2590" w:type="dxa"/>
            <w:vAlign w:val="center"/>
          </w:tcPr>
          <w:p w14:paraId="1A914F6B" w14:textId="67E3713A" w:rsidR="00F12505" w:rsidRDefault="00F12505" w:rsidP="00F12505">
            <w:pPr>
              <w:rPr>
                <w:sz w:val="24"/>
                <w:szCs w:val="24"/>
              </w:rPr>
            </w:pPr>
            <w:r>
              <w:rPr>
                <w:sz w:val="24"/>
                <w:szCs w:val="24"/>
              </w:rPr>
              <w:t>None.</w:t>
            </w:r>
          </w:p>
        </w:tc>
        <w:tc>
          <w:tcPr>
            <w:tcW w:w="2590" w:type="dxa"/>
            <w:vMerge/>
          </w:tcPr>
          <w:p w14:paraId="53A078C9" w14:textId="77777777" w:rsidR="00F12505" w:rsidRDefault="00F12505" w:rsidP="00F12505">
            <w:pPr>
              <w:rPr>
                <w:sz w:val="24"/>
                <w:szCs w:val="24"/>
              </w:rPr>
            </w:pPr>
          </w:p>
        </w:tc>
      </w:tr>
      <w:tr w:rsidR="00F12505" w14:paraId="44EE8EA6" w14:textId="77777777" w:rsidTr="00F341AC">
        <w:tc>
          <w:tcPr>
            <w:tcW w:w="2590" w:type="dxa"/>
            <w:vAlign w:val="center"/>
          </w:tcPr>
          <w:p w14:paraId="5C2E5F8B" w14:textId="780A091C" w:rsidR="00F12505" w:rsidRDefault="00F12505" w:rsidP="00F12505">
            <w:pPr>
              <w:rPr>
                <w:sz w:val="24"/>
                <w:szCs w:val="24"/>
              </w:rPr>
            </w:pPr>
            <w:r>
              <w:rPr>
                <w:sz w:val="24"/>
                <w:szCs w:val="24"/>
              </w:rPr>
              <w:t xml:space="preserve">Report PCRType, GENType, and WGS results and genotype </w:t>
            </w:r>
            <w:r>
              <w:rPr>
                <w:sz w:val="24"/>
                <w:szCs w:val="24"/>
              </w:rPr>
              <w:lastRenderedPageBreak/>
              <w:t>matches to regional TB programs</w:t>
            </w:r>
          </w:p>
        </w:tc>
        <w:tc>
          <w:tcPr>
            <w:tcW w:w="2590" w:type="dxa"/>
            <w:vAlign w:val="center"/>
          </w:tcPr>
          <w:p w14:paraId="7A144291" w14:textId="3DB81D25" w:rsidR="00F12505" w:rsidRDefault="00F12505" w:rsidP="00F12505">
            <w:pPr>
              <w:rPr>
                <w:sz w:val="24"/>
                <w:szCs w:val="24"/>
              </w:rPr>
            </w:pPr>
            <w:r>
              <w:rPr>
                <w:sz w:val="24"/>
                <w:szCs w:val="24"/>
              </w:rPr>
              <w:lastRenderedPageBreak/>
              <w:t xml:space="preserve">Provide genotype data and cluster snapshot data to regional TB </w:t>
            </w:r>
            <w:r>
              <w:rPr>
                <w:sz w:val="24"/>
                <w:szCs w:val="24"/>
              </w:rPr>
              <w:lastRenderedPageBreak/>
              <w:t>programs for each genotyped case</w:t>
            </w:r>
          </w:p>
        </w:tc>
        <w:tc>
          <w:tcPr>
            <w:tcW w:w="2590" w:type="dxa"/>
            <w:vAlign w:val="center"/>
          </w:tcPr>
          <w:p w14:paraId="764AA42B" w14:textId="5EF4E4EE" w:rsidR="00F12505" w:rsidRDefault="00F12505" w:rsidP="00F12505">
            <w:pPr>
              <w:jc w:val="center"/>
              <w:rPr>
                <w:sz w:val="24"/>
                <w:szCs w:val="24"/>
              </w:rPr>
            </w:pPr>
            <w:r>
              <w:rPr>
                <w:sz w:val="24"/>
                <w:szCs w:val="24"/>
              </w:rPr>
              <w:lastRenderedPageBreak/>
              <w:t xml:space="preserve">100% of genotype reports and matches sent to regional TB </w:t>
            </w:r>
            <w:r>
              <w:rPr>
                <w:sz w:val="24"/>
                <w:szCs w:val="24"/>
              </w:rPr>
              <w:lastRenderedPageBreak/>
              <w:t>programs within three (3) business days of receipt in TB GIMS.</w:t>
            </w:r>
          </w:p>
        </w:tc>
        <w:tc>
          <w:tcPr>
            <w:tcW w:w="2590" w:type="dxa"/>
          </w:tcPr>
          <w:p w14:paraId="2888EA40" w14:textId="4180CABB" w:rsidR="00F12505" w:rsidRDefault="00F12505" w:rsidP="00F12505">
            <w:pPr>
              <w:rPr>
                <w:sz w:val="24"/>
                <w:szCs w:val="24"/>
              </w:rPr>
            </w:pPr>
            <w:r>
              <w:rPr>
                <w:sz w:val="24"/>
                <w:szCs w:val="24"/>
              </w:rPr>
              <w:lastRenderedPageBreak/>
              <w:t xml:space="preserve">Upon receipt of notification of new genotype data in TB </w:t>
            </w:r>
            <w:r>
              <w:rPr>
                <w:sz w:val="24"/>
                <w:szCs w:val="24"/>
              </w:rPr>
              <w:lastRenderedPageBreak/>
              <w:t>GIMS, the TTBEP program manager sends genotype information along with any genotype matches in the previous five (5) years to the respective TB program manager.</w:t>
            </w:r>
          </w:p>
        </w:tc>
        <w:tc>
          <w:tcPr>
            <w:tcW w:w="2590" w:type="dxa"/>
            <w:vAlign w:val="center"/>
          </w:tcPr>
          <w:p w14:paraId="278F70FE" w14:textId="05627484" w:rsidR="00F12505" w:rsidRDefault="00F12505" w:rsidP="00F12505">
            <w:pPr>
              <w:rPr>
                <w:sz w:val="24"/>
                <w:szCs w:val="24"/>
              </w:rPr>
            </w:pPr>
            <w:r>
              <w:rPr>
                <w:sz w:val="24"/>
                <w:szCs w:val="24"/>
              </w:rPr>
              <w:lastRenderedPageBreak/>
              <w:t>None.</w:t>
            </w:r>
          </w:p>
        </w:tc>
      </w:tr>
      <w:tr w:rsidR="00F12505" w14:paraId="183750A5" w14:textId="77777777" w:rsidTr="00930823">
        <w:tc>
          <w:tcPr>
            <w:tcW w:w="2590" w:type="dxa"/>
            <w:vAlign w:val="center"/>
          </w:tcPr>
          <w:p w14:paraId="61F7A8A6" w14:textId="41299729" w:rsidR="00F12505" w:rsidRDefault="00F12505" w:rsidP="00F12505">
            <w:pPr>
              <w:rPr>
                <w:sz w:val="24"/>
                <w:szCs w:val="24"/>
              </w:rPr>
            </w:pPr>
            <w:r>
              <w:rPr>
                <w:sz w:val="24"/>
                <w:szCs w:val="24"/>
              </w:rPr>
              <w:t>Transmit TB infection (TBI) data to CDC</w:t>
            </w:r>
          </w:p>
        </w:tc>
        <w:tc>
          <w:tcPr>
            <w:tcW w:w="2590" w:type="dxa"/>
          </w:tcPr>
          <w:p w14:paraId="750DC284" w14:textId="3750126A" w:rsidR="00F12505" w:rsidRDefault="00F12505" w:rsidP="00F12505">
            <w:pPr>
              <w:rPr>
                <w:sz w:val="24"/>
                <w:szCs w:val="24"/>
              </w:rPr>
            </w:pPr>
            <w:r>
              <w:rPr>
                <w:sz w:val="24"/>
                <w:szCs w:val="24"/>
              </w:rPr>
              <w:t>Ensure state surveillance system contains all recommended LTBI variables; ensure HL7 messaging</w:t>
            </w:r>
          </w:p>
        </w:tc>
        <w:tc>
          <w:tcPr>
            <w:tcW w:w="2590" w:type="dxa"/>
            <w:vAlign w:val="center"/>
          </w:tcPr>
          <w:p w14:paraId="2BEC3678" w14:textId="48A26877" w:rsidR="00F12505" w:rsidRDefault="00F12505" w:rsidP="00F12505">
            <w:pPr>
              <w:jc w:val="center"/>
              <w:rPr>
                <w:sz w:val="24"/>
                <w:szCs w:val="24"/>
              </w:rPr>
            </w:pPr>
            <w:r>
              <w:rPr>
                <w:sz w:val="24"/>
                <w:szCs w:val="24"/>
              </w:rPr>
              <w:t>December 31, 2023</w:t>
            </w:r>
          </w:p>
        </w:tc>
        <w:tc>
          <w:tcPr>
            <w:tcW w:w="2590" w:type="dxa"/>
            <w:vAlign w:val="center"/>
          </w:tcPr>
          <w:p w14:paraId="1FF25E75" w14:textId="3B71FA78" w:rsidR="00F12505" w:rsidRDefault="00F12505" w:rsidP="00F12505">
            <w:pPr>
              <w:rPr>
                <w:sz w:val="24"/>
                <w:szCs w:val="24"/>
              </w:rPr>
            </w:pPr>
            <w:r>
              <w:rPr>
                <w:sz w:val="24"/>
                <w:szCs w:val="24"/>
              </w:rPr>
              <w:t>Work has begun to ensure that all surveillance variables in NBS align with that of TBLISS.</w:t>
            </w:r>
          </w:p>
        </w:tc>
        <w:tc>
          <w:tcPr>
            <w:tcW w:w="2590" w:type="dxa"/>
            <w:vAlign w:val="center"/>
          </w:tcPr>
          <w:p w14:paraId="301E5F35" w14:textId="10E2BC18" w:rsidR="00F12505" w:rsidRDefault="00F12505" w:rsidP="00F12505">
            <w:pPr>
              <w:rPr>
                <w:sz w:val="24"/>
                <w:szCs w:val="24"/>
              </w:rPr>
            </w:pPr>
            <w:r>
              <w:rPr>
                <w:sz w:val="24"/>
                <w:szCs w:val="24"/>
              </w:rPr>
              <w:t xml:space="preserve">Due to COVID-19 and routine TB priorities, this has become a lower priority activity.  </w:t>
            </w:r>
          </w:p>
        </w:tc>
      </w:tr>
    </w:tbl>
    <w:p w14:paraId="487921AD" w14:textId="77777777" w:rsidR="00CB75A4" w:rsidRDefault="00CB75A4" w:rsidP="00CB75A4">
      <w:pPr>
        <w:spacing w:after="0" w:line="240" w:lineRule="auto"/>
        <w:rPr>
          <w:sz w:val="24"/>
          <w:szCs w:val="24"/>
          <w:u w:val="single"/>
        </w:rPr>
      </w:pPr>
    </w:p>
    <w:p w14:paraId="48E7113B" w14:textId="77777777" w:rsidR="00287DD4" w:rsidRDefault="00287DD4" w:rsidP="00054B01">
      <w:pPr>
        <w:spacing w:after="0" w:line="240" w:lineRule="auto"/>
        <w:rPr>
          <w:b/>
          <w:bCs/>
          <w:sz w:val="24"/>
          <w:szCs w:val="24"/>
          <w:u w:val="single"/>
        </w:rPr>
        <w:sectPr w:rsidR="00287DD4" w:rsidSect="00DB3CAD">
          <w:pgSz w:w="15840" w:h="12240" w:orient="landscape"/>
          <w:pgMar w:top="1440" w:right="1440" w:bottom="1440" w:left="1440" w:header="720" w:footer="720" w:gutter="0"/>
          <w:cols w:space="720"/>
          <w:docGrid w:linePitch="360"/>
        </w:sectPr>
      </w:pPr>
    </w:p>
    <w:p w14:paraId="7F9F3AE8" w14:textId="77777777" w:rsidR="00287DD4" w:rsidRDefault="00287DD4" w:rsidP="00287DD4">
      <w:pPr>
        <w:spacing w:after="0" w:line="240" w:lineRule="auto"/>
        <w:rPr>
          <w:b/>
          <w:bCs/>
          <w:sz w:val="24"/>
          <w:szCs w:val="24"/>
          <w:u w:val="single"/>
        </w:rPr>
      </w:pPr>
      <w:r>
        <w:rPr>
          <w:b/>
          <w:bCs/>
          <w:sz w:val="24"/>
          <w:szCs w:val="24"/>
          <w:u w:val="single"/>
        </w:rPr>
        <w:lastRenderedPageBreak/>
        <w:t>2021 ACTIVITIES AND PROPOSED 2022 ACTIVITIES</w:t>
      </w:r>
    </w:p>
    <w:p w14:paraId="1AA3E09A" w14:textId="77777777" w:rsidR="00287DD4" w:rsidRDefault="00287DD4" w:rsidP="00287DD4">
      <w:pPr>
        <w:spacing w:after="0" w:line="240" w:lineRule="auto"/>
        <w:rPr>
          <w:sz w:val="24"/>
          <w:szCs w:val="24"/>
        </w:rPr>
      </w:pPr>
    </w:p>
    <w:tbl>
      <w:tblPr>
        <w:tblStyle w:val="TableGrid"/>
        <w:tblW w:w="0" w:type="auto"/>
        <w:tblLook w:val="04A0" w:firstRow="1" w:lastRow="0" w:firstColumn="1" w:lastColumn="0" w:noHBand="0" w:noVBand="1"/>
      </w:tblPr>
      <w:tblGrid>
        <w:gridCol w:w="2785"/>
        <w:gridCol w:w="3510"/>
        <w:gridCol w:w="3420"/>
        <w:gridCol w:w="3235"/>
      </w:tblGrid>
      <w:tr w:rsidR="00894537" w14:paraId="4F7D1737" w14:textId="3CD22A72" w:rsidTr="00FF4FE5">
        <w:tc>
          <w:tcPr>
            <w:tcW w:w="12950" w:type="dxa"/>
            <w:gridSpan w:val="4"/>
            <w:shd w:val="clear" w:color="auto" w:fill="D9D9D9" w:themeFill="background1" w:themeFillShade="D9"/>
            <w:vAlign w:val="center"/>
          </w:tcPr>
          <w:p w14:paraId="65B33C57" w14:textId="58574CAF" w:rsidR="00894537" w:rsidRDefault="00894537" w:rsidP="00FF4FE5">
            <w:pPr>
              <w:rPr>
                <w:b/>
                <w:bCs/>
                <w:sz w:val="24"/>
                <w:szCs w:val="24"/>
              </w:rPr>
            </w:pPr>
            <w:r>
              <w:rPr>
                <w:b/>
                <w:bCs/>
                <w:sz w:val="24"/>
                <w:szCs w:val="24"/>
              </w:rPr>
              <w:t>Strategies and Activities Progress</w:t>
            </w:r>
          </w:p>
        </w:tc>
      </w:tr>
      <w:tr w:rsidR="00894537" w14:paraId="1B419519" w14:textId="281EC926" w:rsidTr="00894537">
        <w:tc>
          <w:tcPr>
            <w:tcW w:w="2785" w:type="dxa"/>
            <w:shd w:val="clear" w:color="auto" w:fill="F2F2F2" w:themeFill="background1" w:themeFillShade="F2"/>
            <w:vAlign w:val="center"/>
          </w:tcPr>
          <w:p w14:paraId="0CF06B2E" w14:textId="77777777" w:rsidR="00894537" w:rsidRPr="00970D36" w:rsidRDefault="00894537" w:rsidP="00FF4FE5">
            <w:pPr>
              <w:jc w:val="center"/>
              <w:rPr>
                <w:b/>
                <w:bCs/>
                <w:sz w:val="24"/>
                <w:szCs w:val="24"/>
              </w:rPr>
            </w:pPr>
            <w:r>
              <w:rPr>
                <w:b/>
                <w:bCs/>
                <w:sz w:val="24"/>
                <w:szCs w:val="24"/>
              </w:rPr>
              <w:t>Strategy</w:t>
            </w:r>
          </w:p>
        </w:tc>
        <w:tc>
          <w:tcPr>
            <w:tcW w:w="3510" w:type="dxa"/>
            <w:shd w:val="clear" w:color="auto" w:fill="F2F2F2" w:themeFill="background1" w:themeFillShade="F2"/>
            <w:vAlign w:val="center"/>
          </w:tcPr>
          <w:p w14:paraId="7E4C8126" w14:textId="4FE9ACCC" w:rsidR="00894537" w:rsidRPr="00970D36" w:rsidRDefault="00894537" w:rsidP="00FF4FE5">
            <w:pPr>
              <w:jc w:val="center"/>
              <w:rPr>
                <w:b/>
                <w:bCs/>
                <w:sz w:val="24"/>
                <w:szCs w:val="24"/>
              </w:rPr>
            </w:pPr>
            <w:r>
              <w:rPr>
                <w:b/>
                <w:bCs/>
                <w:sz w:val="24"/>
                <w:szCs w:val="24"/>
              </w:rPr>
              <w:t>2021 Proposed Activities</w:t>
            </w:r>
          </w:p>
        </w:tc>
        <w:tc>
          <w:tcPr>
            <w:tcW w:w="3420" w:type="dxa"/>
            <w:shd w:val="clear" w:color="auto" w:fill="F2F2F2" w:themeFill="background1" w:themeFillShade="F2"/>
            <w:vAlign w:val="center"/>
          </w:tcPr>
          <w:p w14:paraId="58038CE8" w14:textId="7CD70C6F" w:rsidR="00894537" w:rsidRPr="00970D36" w:rsidRDefault="00FF4FE5" w:rsidP="00FF4FE5">
            <w:pPr>
              <w:jc w:val="center"/>
              <w:rPr>
                <w:b/>
                <w:bCs/>
                <w:sz w:val="24"/>
                <w:szCs w:val="24"/>
              </w:rPr>
            </w:pPr>
            <w:r>
              <w:rPr>
                <w:b/>
                <w:bCs/>
                <w:sz w:val="24"/>
                <w:szCs w:val="24"/>
              </w:rPr>
              <w:t>2021 Narrative</w:t>
            </w:r>
          </w:p>
        </w:tc>
        <w:tc>
          <w:tcPr>
            <w:tcW w:w="3235" w:type="dxa"/>
            <w:shd w:val="clear" w:color="auto" w:fill="F2F2F2" w:themeFill="background1" w:themeFillShade="F2"/>
          </w:tcPr>
          <w:p w14:paraId="40176DBA" w14:textId="3517BB7A" w:rsidR="00894537" w:rsidRDefault="00F62DE7" w:rsidP="00FF4FE5">
            <w:pPr>
              <w:jc w:val="center"/>
              <w:rPr>
                <w:b/>
                <w:bCs/>
                <w:sz w:val="24"/>
                <w:szCs w:val="24"/>
              </w:rPr>
            </w:pPr>
            <w:r>
              <w:rPr>
                <w:b/>
                <w:bCs/>
                <w:sz w:val="24"/>
                <w:szCs w:val="24"/>
              </w:rPr>
              <w:t>2022</w:t>
            </w:r>
            <w:r w:rsidR="00894537">
              <w:rPr>
                <w:b/>
                <w:bCs/>
                <w:sz w:val="24"/>
                <w:szCs w:val="24"/>
              </w:rPr>
              <w:t xml:space="preserve"> Proposed Activities</w:t>
            </w:r>
          </w:p>
        </w:tc>
      </w:tr>
      <w:tr w:rsidR="00894537" w14:paraId="467A57D8" w14:textId="5DD957E1" w:rsidTr="00D32B9A">
        <w:tc>
          <w:tcPr>
            <w:tcW w:w="2785" w:type="dxa"/>
            <w:vAlign w:val="center"/>
          </w:tcPr>
          <w:p w14:paraId="3E019A60" w14:textId="77777777" w:rsidR="00894537" w:rsidRPr="00970D36" w:rsidRDefault="00894537" w:rsidP="00FF4FE5">
            <w:pPr>
              <w:rPr>
                <w:sz w:val="24"/>
                <w:szCs w:val="24"/>
              </w:rPr>
            </w:pPr>
            <w:r>
              <w:rPr>
                <w:sz w:val="24"/>
                <w:szCs w:val="24"/>
                <w:u w:val="single"/>
              </w:rPr>
              <w:t>Strategy 1</w:t>
            </w:r>
            <w:r>
              <w:rPr>
                <w:sz w:val="24"/>
                <w:szCs w:val="24"/>
              </w:rPr>
              <w:t>: Diagnosis/Treatment of Persons with TB Disease</w:t>
            </w:r>
          </w:p>
        </w:tc>
        <w:tc>
          <w:tcPr>
            <w:tcW w:w="3510" w:type="dxa"/>
            <w:vAlign w:val="center"/>
          </w:tcPr>
          <w:p w14:paraId="5E8C3ADA" w14:textId="77777777" w:rsidR="00894537" w:rsidRPr="00970D36" w:rsidRDefault="00894537" w:rsidP="00D32B9A">
            <w:pPr>
              <w:rPr>
                <w:sz w:val="24"/>
                <w:szCs w:val="24"/>
              </w:rPr>
            </w:pPr>
            <w:r>
              <w:rPr>
                <w:sz w:val="24"/>
                <w:szCs w:val="24"/>
              </w:rPr>
              <w:t>Continue use of Cepheid GeneXpert</w:t>
            </w:r>
            <w:r>
              <w:rPr>
                <w:rFonts w:cstheme="minorHAnsi"/>
                <w:sz w:val="24"/>
                <w:szCs w:val="24"/>
                <w:vertAlign w:val="superscript"/>
              </w:rPr>
              <w:t>®</w:t>
            </w:r>
            <w:r>
              <w:rPr>
                <w:sz w:val="24"/>
                <w:szCs w:val="24"/>
              </w:rPr>
              <w:t xml:space="preserve"> statewide and increase communication to clinical partners on the benefit of utilizing GeneXpert</w:t>
            </w:r>
            <w:r>
              <w:rPr>
                <w:rFonts w:cstheme="minorHAnsi"/>
                <w:sz w:val="24"/>
                <w:szCs w:val="24"/>
                <w:vertAlign w:val="superscript"/>
              </w:rPr>
              <w:t>®</w:t>
            </w:r>
            <w:r>
              <w:rPr>
                <w:sz w:val="24"/>
                <w:szCs w:val="24"/>
              </w:rPr>
              <w:t xml:space="preserve"> for rapid diagnosis and release from isolation.</w:t>
            </w:r>
          </w:p>
        </w:tc>
        <w:tc>
          <w:tcPr>
            <w:tcW w:w="3420" w:type="dxa"/>
            <w:vAlign w:val="center"/>
          </w:tcPr>
          <w:p w14:paraId="44BA9F34" w14:textId="4587D9E6" w:rsidR="00894537" w:rsidRPr="00FF4FE5" w:rsidRDefault="00FF4FE5" w:rsidP="00D32B9A">
            <w:pPr>
              <w:rPr>
                <w:sz w:val="24"/>
                <w:szCs w:val="24"/>
              </w:rPr>
            </w:pPr>
            <w:r>
              <w:rPr>
                <w:sz w:val="24"/>
                <w:szCs w:val="24"/>
              </w:rPr>
              <w:t>For the first six (6) months of 2021, the Tennessee Department of Health, Division of Laboratory Services performed 84 GeneXpert</w:t>
            </w:r>
            <w:r>
              <w:rPr>
                <w:rFonts w:cstheme="minorHAnsi"/>
                <w:sz w:val="24"/>
                <w:szCs w:val="24"/>
                <w:vertAlign w:val="superscript"/>
              </w:rPr>
              <w:t>®</w:t>
            </w:r>
            <w:r>
              <w:rPr>
                <w:sz w:val="24"/>
                <w:szCs w:val="24"/>
              </w:rPr>
              <w:t xml:space="preserve"> tests for 62 unique patients.  Of those 84 tests, 18 (21.4%) were positive.  Of the 18 positive results, four (22.2%) were initially smear-negative.</w:t>
            </w:r>
          </w:p>
        </w:tc>
        <w:tc>
          <w:tcPr>
            <w:tcW w:w="3235" w:type="dxa"/>
            <w:vAlign w:val="center"/>
          </w:tcPr>
          <w:p w14:paraId="760D2E5F" w14:textId="0D661351" w:rsidR="00894537" w:rsidRPr="00771413" w:rsidRDefault="00771413" w:rsidP="00D32B9A">
            <w:pPr>
              <w:rPr>
                <w:sz w:val="24"/>
                <w:szCs w:val="24"/>
              </w:rPr>
            </w:pPr>
            <w:r>
              <w:rPr>
                <w:sz w:val="24"/>
                <w:szCs w:val="24"/>
              </w:rPr>
              <w:t>Ensure validation of the new Cepheid GeneXpert</w:t>
            </w:r>
            <w:r>
              <w:rPr>
                <w:rFonts w:cstheme="minorHAnsi"/>
                <w:sz w:val="24"/>
                <w:szCs w:val="24"/>
                <w:vertAlign w:val="superscript"/>
              </w:rPr>
              <w:t>®</w:t>
            </w:r>
            <w:r>
              <w:rPr>
                <w:sz w:val="24"/>
                <w:szCs w:val="24"/>
              </w:rPr>
              <w:t xml:space="preserve"> equipment at the Tennessee Department of Health, Division of Laboratory Services.</w:t>
            </w:r>
          </w:p>
        </w:tc>
      </w:tr>
      <w:tr w:rsidR="00894537" w14:paraId="49ACE123" w14:textId="72B8F855" w:rsidTr="00D32B9A">
        <w:tc>
          <w:tcPr>
            <w:tcW w:w="2785" w:type="dxa"/>
            <w:vAlign w:val="center"/>
          </w:tcPr>
          <w:p w14:paraId="5E88DE05" w14:textId="77777777" w:rsidR="00894537" w:rsidRPr="00EC3CF5" w:rsidRDefault="00894537" w:rsidP="00FF4FE5">
            <w:pPr>
              <w:rPr>
                <w:sz w:val="24"/>
                <w:szCs w:val="24"/>
              </w:rPr>
            </w:pPr>
            <w:r>
              <w:rPr>
                <w:sz w:val="24"/>
                <w:szCs w:val="24"/>
                <w:u w:val="single"/>
              </w:rPr>
              <w:t>Strategy 2A</w:t>
            </w:r>
            <w:r>
              <w:rPr>
                <w:sz w:val="24"/>
                <w:szCs w:val="24"/>
              </w:rPr>
              <w:t>: Conduct Contact Investigations for Infectious Cases</w:t>
            </w:r>
          </w:p>
        </w:tc>
        <w:tc>
          <w:tcPr>
            <w:tcW w:w="3510" w:type="dxa"/>
            <w:vAlign w:val="center"/>
          </w:tcPr>
          <w:p w14:paraId="43BA5CE1" w14:textId="77777777" w:rsidR="00894537" w:rsidRDefault="00894537" w:rsidP="00D32B9A">
            <w:pPr>
              <w:rPr>
                <w:sz w:val="24"/>
                <w:szCs w:val="24"/>
              </w:rPr>
            </w:pPr>
            <w:r>
              <w:rPr>
                <w:sz w:val="24"/>
                <w:szCs w:val="24"/>
              </w:rPr>
              <w:t>Provide in-person trainings (if allowed) to new case managers and contact investigation staff.  Identify patient education needs and work to meet those needs.</w:t>
            </w:r>
          </w:p>
        </w:tc>
        <w:tc>
          <w:tcPr>
            <w:tcW w:w="3420" w:type="dxa"/>
            <w:vAlign w:val="center"/>
          </w:tcPr>
          <w:p w14:paraId="5F89EF44" w14:textId="77777777" w:rsidR="00894537" w:rsidRDefault="00894537" w:rsidP="00D32B9A">
            <w:pPr>
              <w:rPr>
                <w:sz w:val="24"/>
                <w:szCs w:val="24"/>
              </w:rPr>
            </w:pPr>
            <w:r>
              <w:rPr>
                <w:sz w:val="24"/>
                <w:szCs w:val="24"/>
              </w:rPr>
              <w:t>In 2021, one (1) new case manager training was held virtually for one (1) new staff member.</w:t>
            </w:r>
          </w:p>
        </w:tc>
        <w:tc>
          <w:tcPr>
            <w:tcW w:w="3235" w:type="dxa"/>
            <w:vAlign w:val="center"/>
          </w:tcPr>
          <w:p w14:paraId="3D1BBE9A" w14:textId="1F98C4E3" w:rsidR="00894537" w:rsidRDefault="00196719" w:rsidP="00D32B9A">
            <w:pPr>
              <w:rPr>
                <w:sz w:val="24"/>
                <w:szCs w:val="24"/>
              </w:rPr>
            </w:pPr>
            <w:r>
              <w:rPr>
                <w:sz w:val="24"/>
                <w:szCs w:val="24"/>
              </w:rPr>
              <w:t>Develop “Conduct Investigation Summary” form to include ARPE variables to be completed for each case of TB upon completion of the contact investigation.  Include this activity as a Standard of Public Health Practice in the revised Tennessee TB Elimination Program manual.</w:t>
            </w:r>
          </w:p>
        </w:tc>
      </w:tr>
      <w:tr w:rsidR="00894537" w14:paraId="10A07BE5" w14:textId="6C6BFF2C" w:rsidTr="00D32B9A">
        <w:tc>
          <w:tcPr>
            <w:tcW w:w="2785" w:type="dxa"/>
            <w:vAlign w:val="center"/>
          </w:tcPr>
          <w:p w14:paraId="0845E8F7" w14:textId="77777777" w:rsidR="00894537" w:rsidRPr="00EC3CF5" w:rsidRDefault="00894537" w:rsidP="00FF4FE5">
            <w:pPr>
              <w:rPr>
                <w:sz w:val="24"/>
                <w:szCs w:val="24"/>
              </w:rPr>
            </w:pPr>
            <w:r>
              <w:rPr>
                <w:sz w:val="24"/>
                <w:szCs w:val="24"/>
                <w:u w:val="single"/>
              </w:rPr>
              <w:t>Strategy 2B</w:t>
            </w:r>
            <w:r>
              <w:rPr>
                <w:sz w:val="24"/>
                <w:szCs w:val="24"/>
              </w:rPr>
              <w:t>: Evaluation of Immigrants and Refugees with TB or TBI</w:t>
            </w:r>
          </w:p>
        </w:tc>
        <w:tc>
          <w:tcPr>
            <w:tcW w:w="3510" w:type="dxa"/>
            <w:vAlign w:val="center"/>
          </w:tcPr>
          <w:p w14:paraId="7D06F8C2" w14:textId="77777777" w:rsidR="00894537" w:rsidRDefault="00894537" w:rsidP="00D32B9A">
            <w:pPr>
              <w:rPr>
                <w:sz w:val="24"/>
                <w:szCs w:val="24"/>
              </w:rPr>
            </w:pPr>
            <w:r>
              <w:rPr>
                <w:sz w:val="24"/>
                <w:szCs w:val="24"/>
              </w:rPr>
              <w:t xml:space="preserve">Evaluate the efficacy of adding additional clinic-level users to EDN.  Continue to partner with Siloam Family Health Center.  Evaluate the feasibility of partnering with other agencies </w:t>
            </w:r>
            <w:r>
              <w:rPr>
                <w:sz w:val="24"/>
                <w:szCs w:val="24"/>
              </w:rPr>
              <w:lastRenderedPageBreak/>
              <w:t>that serve immigrant and refugee populations.</w:t>
            </w:r>
          </w:p>
        </w:tc>
        <w:tc>
          <w:tcPr>
            <w:tcW w:w="3420" w:type="dxa"/>
            <w:vAlign w:val="center"/>
          </w:tcPr>
          <w:p w14:paraId="0F82310D" w14:textId="77777777" w:rsidR="00894537" w:rsidRDefault="00894537" w:rsidP="00D32B9A">
            <w:pPr>
              <w:rPr>
                <w:sz w:val="24"/>
                <w:szCs w:val="24"/>
              </w:rPr>
            </w:pPr>
            <w:r>
              <w:rPr>
                <w:sz w:val="24"/>
                <w:szCs w:val="24"/>
              </w:rPr>
              <w:lastRenderedPageBreak/>
              <w:t xml:space="preserve">Feasibility of adding a clinic-level user for the region/clinic that receives the largest volume of EDN notifications.  Due to technology limitations of the clinic, it was decided that adding a clinic-level user for this region </w:t>
            </w:r>
            <w:r>
              <w:rPr>
                <w:sz w:val="24"/>
                <w:szCs w:val="24"/>
              </w:rPr>
              <w:lastRenderedPageBreak/>
              <w:t>was not feasible.  The partnership with Siloam Family Health Center continued in 2021; however, health department staff presence in the facility as well as partnering with other agencies was temporarily held due to COVID-19.</w:t>
            </w:r>
          </w:p>
        </w:tc>
        <w:tc>
          <w:tcPr>
            <w:tcW w:w="3235" w:type="dxa"/>
            <w:vAlign w:val="center"/>
          </w:tcPr>
          <w:p w14:paraId="0629240A" w14:textId="6298DA2D" w:rsidR="00894537" w:rsidRDefault="00B76A77" w:rsidP="00D32B9A">
            <w:pPr>
              <w:rPr>
                <w:sz w:val="24"/>
                <w:szCs w:val="24"/>
              </w:rPr>
            </w:pPr>
            <w:r>
              <w:rPr>
                <w:sz w:val="24"/>
                <w:szCs w:val="24"/>
              </w:rPr>
              <w:lastRenderedPageBreak/>
              <w:t xml:space="preserve">Re-evaluate options for adding clinic-level users for regional TB programs who receive the largest volume of immigrant and refugee B-notifications.  </w:t>
            </w:r>
          </w:p>
        </w:tc>
      </w:tr>
      <w:tr w:rsidR="00894537" w14:paraId="0A705703" w14:textId="73583A38" w:rsidTr="00334392">
        <w:tc>
          <w:tcPr>
            <w:tcW w:w="2785" w:type="dxa"/>
            <w:vAlign w:val="center"/>
          </w:tcPr>
          <w:p w14:paraId="77BDAE32" w14:textId="77777777" w:rsidR="00894537" w:rsidRPr="006F5427" w:rsidRDefault="00894537" w:rsidP="00FF4FE5">
            <w:pPr>
              <w:rPr>
                <w:sz w:val="24"/>
                <w:szCs w:val="24"/>
              </w:rPr>
            </w:pPr>
            <w:r>
              <w:rPr>
                <w:sz w:val="24"/>
                <w:szCs w:val="24"/>
                <w:u w:val="single"/>
              </w:rPr>
              <w:t>Strategy 2C</w:t>
            </w:r>
            <w:r>
              <w:rPr>
                <w:sz w:val="24"/>
                <w:szCs w:val="24"/>
              </w:rPr>
              <w:t>: Targeted Testing and Treatment of TBI in High-Risk Populations</w:t>
            </w:r>
          </w:p>
        </w:tc>
        <w:tc>
          <w:tcPr>
            <w:tcW w:w="3510" w:type="dxa"/>
            <w:vAlign w:val="center"/>
          </w:tcPr>
          <w:p w14:paraId="42D0A23C" w14:textId="77777777" w:rsidR="00894537" w:rsidRDefault="00894537" w:rsidP="00FF4FE5">
            <w:pPr>
              <w:rPr>
                <w:sz w:val="24"/>
                <w:szCs w:val="24"/>
              </w:rPr>
            </w:pPr>
            <w:r>
              <w:rPr>
                <w:sz w:val="24"/>
                <w:szCs w:val="24"/>
              </w:rPr>
              <w:t>Re-launch of the “Community Partnerships to End TB (CPETB)” initiative.</w:t>
            </w:r>
          </w:p>
        </w:tc>
        <w:tc>
          <w:tcPr>
            <w:tcW w:w="3420" w:type="dxa"/>
          </w:tcPr>
          <w:p w14:paraId="58ECAB31" w14:textId="77777777" w:rsidR="00894537" w:rsidRDefault="00894537" w:rsidP="00FF4FE5">
            <w:pPr>
              <w:rPr>
                <w:sz w:val="24"/>
                <w:szCs w:val="24"/>
              </w:rPr>
            </w:pPr>
            <w:r>
              <w:rPr>
                <w:sz w:val="24"/>
                <w:szCs w:val="24"/>
              </w:rPr>
              <w:t>In June 2021, regional TB programs were queried on the feasibility of re-implementing the CEPTB initiative beginning in 2022 as well as identification of barriers to implementing.  The initiative was reintroduced during a statewide call in June 2021 with an anticipated start date in early 2022.</w:t>
            </w:r>
          </w:p>
        </w:tc>
        <w:tc>
          <w:tcPr>
            <w:tcW w:w="3235" w:type="dxa"/>
            <w:vAlign w:val="center"/>
          </w:tcPr>
          <w:p w14:paraId="43AD2E4D" w14:textId="77777777" w:rsidR="00894537" w:rsidRDefault="00334392" w:rsidP="00334392">
            <w:pPr>
              <w:pStyle w:val="ListParagraph"/>
              <w:numPr>
                <w:ilvl w:val="0"/>
                <w:numId w:val="32"/>
              </w:numPr>
              <w:ind w:left="346"/>
              <w:rPr>
                <w:sz w:val="24"/>
                <w:szCs w:val="24"/>
              </w:rPr>
            </w:pPr>
            <w:r>
              <w:rPr>
                <w:sz w:val="24"/>
                <w:szCs w:val="24"/>
              </w:rPr>
              <w:t>Provide data to regional TB programs for high-risk populations with confirmed TB infection and TB disease for 2018-2020</w:t>
            </w:r>
          </w:p>
          <w:p w14:paraId="1ABE6517" w14:textId="6CA007D3" w:rsidR="00334392" w:rsidRPr="00334392" w:rsidRDefault="00334392" w:rsidP="00334392">
            <w:pPr>
              <w:pStyle w:val="ListParagraph"/>
              <w:numPr>
                <w:ilvl w:val="0"/>
                <w:numId w:val="32"/>
              </w:numPr>
              <w:ind w:left="346"/>
              <w:rPr>
                <w:sz w:val="24"/>
                <w:szCs w:val="24"/>
              </w:rPr>
            </w:pPr>
            <w:r>
              <w:rPr>
                <w:sz w:val="24"/>
                <w:szCs w:val="24"/>
              </w:rPr>
              <w:t>Provide list of providers to regional TB program managers located within their region who perform QFTs</w:t>
            </w:r>
          </w:p>
        </w:tc>
      </w:tr>
      <w:tr w:rsidR="00894537" w14:paraId="505FA307" w14:textId="1538E8D1" w:rsidTr="00334392">
        <w:tc>
          <w:tcPr>
            <w:tcW w:w="2785" w:type="dxa"/>
            <w:vAlign w:val="center"/>
          </w:tcPr>
          <w:p w14:paraId="12C6CA43" w14:textId="751A6A0F" w:rsidR="00894537" w:rsidRPr="00894537" w:rsidRDefault="00894537" w:rsidP="00FF4FE5">
            <w:pPr>
              <w:rPr>
                <w:sz w:val="24"/>
                <w:szCs w:val="24"/>
                <w:u w:val="single"/>
              </w:rPr>
            </w:pPr>
            <w:r w:rsidRPr="00894537">
              <w:rPr>
                <w:sz w:val="24"/>
                <w:szCs w:val="24"/>
                <w:u w:val="single"/>
              </w:rPr>
              <w:t>Strategy 3</w:t>
            </w:r>
            <w:r>
              <w:rPr>
                <w:sz w:val="24"/>
                <w:szCs w:val="24"/>
              </w:rPr>
              <w:t>: Program Planning, Evaluation, and Improvement</w:t>
            </w:r>
          </w:p>
        </w:tc>
        <w:tc>
          <w:tcPr>
            <w:tcW w:w="3510" w:type="dxa"/>
            <w:vAlign w:val="center"/>
          </w:tcPr>
          <w:p w14:paraId="6F4A1A58" w14:textId="6AEB69C5" w:rsidR="00894537" w:rsidRDefault="00894537" w:rsidP="00FF4FE5">
            <w:pPr>
              <w:rPr>
                <w:sz w:val="24"/>
                <w:szCs w:val="24"/>
              </w:rPr>
            </w:pPr>
            <w:r>
              <w:rPr>
                <w:sz w:val="24"/>
                <w:szCs w:val="24"/>
              </w:rPr>
              <w:t>Implement program evaluation plan as outlined in the Tennessee Performance Management Plan submitted on July 20, 2020.</w:t>
            </w:r>
          </w:p>
        </w:tc>
        <w:tc>
          <w:tcPr>
            <w:tcW w:w="3420" w:type="dxa"/>
          </w:tcPr>
          <w:p w14:paraId="08E1900B" w14:textId="5D3C551B" w:rsidR="00894537" w:rsidRDefault="00741CE9" w:rsidP="00FF4FE5">
            <w:pPr>
              <w:rPr>
                <w:sz w:val="24"/>
                <w:szCs w:val="24"/>
              </w:rPr>
            </w:pPr>
            <w:r>
              <w:rPr>
                <w:sz w:val="24"/>
                <w:szCs w:val="24"/>
              </w:rPr>
              <w:t>Due to the COVID-19 pandemic and central office staff being reassigned to COVID-19 activities, the program evaluation was not fully implemented and paused until staff were able to return to fully performing their TB duties.</w:t>
            </w:r>
          </w:p>
        </w:tc>
        <w:tc>
          <w:tcPr>
            <w:tcW w:w="3235" w:type="dxa"/>
            <w:vAlign w:val="center"/>
          </w:tcPr>
          <w:p w14:paraId="5A3E952D" w14:textId="77777777" w:rsidR="00894537" w:rsidRDefault="00334392" w:rsidP="00334392">
            <w:pPr>
              <w:pStyle w:val="ListParagraph"/>
              <w:numPr>
                <w:ilvl w:val="0"/>
                <w:numId w:val="33"/>
              </w:numPr>
              <w:ind w:left="346"/>
              <w:rPr>
                <w:sz w:val="24"/>
                <w:szCs w:val="24"/>
              </w:rPr>
            </w:pPr>
            <w:r>
              <w:rPr>
                <w:sz w:val="24"/>
                <w:szCs w:val="24"/>
              </w:rPr>
              <w:t>Finalized spreadsheet that will utilized to collect information about non-public laboratories that conduct testing and report results</w:t>
            </w:r>
          </w:p>
          <w:p w14:paraId="43485C03" w14:textId="0DC2D3AF" w:rsidR="001F2B31" w:rsidRPr="00334392" w:rsidRDefault="001F2B31" w:rsidP="00334392">
            <w:pPr>
              <w:pStyle w:val="ListParagraph"/>
              <w:numPr>
                <w:ilvl w:val="0"/>
                <w:numId w:val="33"/>
              </w:numPr>
              <w:ind w:left="346"/>
              <w:rPr>
                <w:sz w:val="24"/>
                <w:szCs w:val="24"/>
              </w:rPr>
            </w:pPr>
            <w:r>
              <w:rPr>
                <w:sz w:val="24"/>
                <w:szCs w:val="24"/>
              </w:rPr>
              <w:t>Ensure that all reporting laboratories are aware of the Tennessee reportable conditions and timeframes.</w:t>
            </w:r>
          </w:p>
        </w:tc>
      </w:tr>
      <w:tr w:rsidR="00894537" w14:paraId="6544D167" w14:textId="49FEC0DF" w:rsidTr="00B6422C">
        <w:tc>
          <w:tcPr>
            <w:tcW w:w="2785" w:type="dxa"/>
            <w:vAlign w:val="center"/>
          </w:tcPr>
          <w:p w14:paraId="0D795B28" w14:textId="10C63384" w:rsidR="00894537" w:rsidRPr="00894537" w:rsidRDefault="00894537" w:rsidP="00FF4FE5">
            <w:pPr>
              <w:rPr>
                <w:sz w:val="24"/>
                <w:szCs w:val="24"/>
              </w:rPr>
            </w:pPr>
            <w:r>
              <w:rPr>
                <w:sz w:val="24"/>
                <w:szCs w:val="24"/>
                <w:u w:val="single"/>
              </w:rPr>
              <w:lastRenderedPageBreak/>
              <w:t>Strategy 4</w:t>
            </w:r>
            <w:r>
              <w:rPr>
                <w:sz w:val="24"/>
                <w:szCs w:val="24"/>
              </w:rPr>
              <w:t>: Epidemiologic Surveillance and Response</w:t>
            </w:r>
          </w:p>
        </w:tc>
        <w:tc>
          <w:tcPr>
            <w:tcW w:w="3510" w:type="dxa"/>
            <w:vAlign w:val="center"/>
          </w:tcPr>
          <w:p w14:paraId="03AACD60" w14:textId="5785EA1F" w:rsidR="00894537" w:rsidRDefault="00894537" w:rsidP="00FF4FE5">
            <w:pPr>
              <w:rPr>
                <w:sz w:val="24"/>
                <w:szCs w:val="24"/>
              </w:rPr>
            </w:pPr>
            <w:r>
              <w:rPr>
                <w:sz w:val="24"/>
                <w:szCs w:val="24"/>
              </w:rPr>
              <w:t xml:space="preserve">Modify current </w:t>
            </w:r>
            <w:r w:rsidR="00300B8C">
              <w:rPr>
                <w:sz w:val="24"/>
                <w:szCs w:val="24"/>
              </w:rPr>
              <w:t xml:space="preserve">TBI surveillance variables in statewide NEDSS-based system (NBS) to align with CDC-identified LTBI variables.  Evaluate the feasibility of submitting TBI surveillance data to CDC.  Implement revised RVCT and provide training. </w:t>
            </w:r>
          </w:p>
        </w:tc>
        <w:tc>
          <w:tcPr>
            <w:tcW w:w="3420" w:type="dxa"/>
          </w:tcPr>
          <w:p w14:paraId="4A95860F" w14:textId="62DF7344" w:rsidR="00894537" w:rsidRDefault="00B6422C" w:rsidP="00FF4FE5">
            <w:pPr>
              <w:rPr>
                <w:sz w:val="24"/>
                <w:szCs w:val="24"/>
              </w:rPr>
            </w:pPr>
            <w:r>
              <w:rPr>
                <w:sz w:val="24"/>
                <w:szCs w:val="24"/>
              </w:rPr>
              <w:t xml:space="preserve">Due to the COVID-19 pandemic and the need for creating of surveillance pages for COVID-19, the TBI surveillance variable project was deferred.  Implementation of the 2020 RVCT is dependent on creating of the page in NBS by a CDC vendor which has not occurred at the time of this report.  </w:t>
            </w:r>
          </w:p>
        </w:tc>
        <w:tc>
          <w:tcPr>
            <w:tcW w:w="3235" w:type="dxa"/>
            <w:vAlign w:val="center"/>
          </w:tcPr>
          <w:p w14:paraId="4D3A066C" w14:textId="56249153" w:rsidR="00894537" w:rsidRDefault="00B6422C" w:rsidP="00B6422C">
            <w:pPr>
              <w:rPr>
                <w:sz w:val="24"/>
                <w:szCs w:val="24"/>
              </w:rPr>
            </w:pPr>
            <w:r>
              <w:rPr>
                <w:sz w:val="24"/>
                <w:szCs w:val="24"/>
              </w:rPr>
              <w:t>Implement the 2020 RVCT and provide training to regional TB staff.  Re-visit the feasibility of revising statewide TBI variables in NBS to align with CDC-identified variables. Provide refresher surveillance training to regional TB staff</w:t>
            </w:r>
            <w:r w:rsidR="00E15E99">
              <w:rPr>
                <w:sz w:val="24"/>
                <w:szCs w:val="24"/>
              </w:rPr>
              <w:t>.  Create a surveillance data “Best Practices” document for regional TB staff.</w:t>
            </w:r>
          </w:p>
        </w:tc>
      </w:tr>
      <w:tr w:rsidR="00E15E99" w14:paraId="43AE2B83" w14:textId="77777777" w:rsidTr="008F063E">
        <w:tc>
          <w:tcPr>
            <w:tcW w:w="2785" w:type="dxa"/>
            <w:vAlign w:val="center"/>
          </w:tcPr>
          <w:p w14:paraId="6E5D9FB5" w14:textId="6041FD31" w:rsidR="00E15E99" w:rsidRPr="00E15E99" w:rsidRDefault="00E15E99" w:rsidP="00FF4FE5">
            <w:pPr>
              <w:rPr>
                <w:sz w:val="24"/>
                <w:szCs w:val="24"/>
              </w:rPr>
            </w:pPr>
            <w:r>
              <w:rPr>
                <w:sz w:val="24"/>
                <w:szCs w:val="24"/>
                <w:u w:val="single"/>
              </w:rPr>
              <w:t>Strategy 5</w:t>
            </w:r>
            <w:r>
              <w:rPr>
                <w:sz w:val="24"/>
                <w:szCs w:val="24"/>
              </w:rPr>
              <w:t>: Human Resources Development (HRD) and Partnerships</w:t>
            </w:r>
          </w:p>
        </w:tc>
        <w:tc>
          <w:tcPr>
            <w:tcW w:w="3510" w:type="dxa"/>
            <w:vAlign w:val="center"/>
          </w:tcPr>
          <w:p w14:paraId="18C4E655" w14:textId="536FF36E" w:rsidR="00E15E99" w:rsidRDefault="008B03B1" w:rsidP="00FF4FE5">
            <w:pPr>
              <w:rPr>
                <w:sz w:val="24"/>
                <w:szCs w:val="24"/>
              </w:rPr>
            </w:pPr>
            <w:r>
              <w:rPr>
                <w:sz w:val="24"/>
                <w:szCs w:val="24"/>
              </w:rPr>
              <w:t>Evaluate the feasibility of conducting a TB Clinical Symposium and statewide meeting (canceled in 2020 due to COVID-19).  Evaluate additional statewide agencies that serve high-risk populations and develop partnerships.</w:t>
            </w:r>
          </w:p>
        </w:tc>
        <w:tc>
          <w:tcPr>
            <w:tcW w:w="3420" w:type="dxa"/>
          </w:tcPr>
          <w:p w14:paraId="54C4FCDB" w14:textId="4A01DF1B" w:rsidR="00E15E99" w:rsidRDefault="00D22CF6" w:rsidP="00FF4FE5">
            <w:pPr>
              <w:rPr>
                <w:sz w:val="24"/>
                <w:szCs w:val="24"/>
              </w:rPr>
            </w:pPr>
            <w:r>
              <w:rPr>
                <w:sz w:val="24"/>
                <w:szCs w:val="24"/>
              </w:rPr>
              <w:t>Due to the COVID-19 pandemic, restrictions on in-person meetings and attendance, and a short planning timeframe</w:t>
            </w:r>
            <w:r w:rsidR="008F063E">
              <w:rPr>
                <w:sz w:val="24"/>
                <w:szCs w:val="24"/>
              </w:rPr>
              <w:t>, a TB Clinical Symposium and statewide meeting was determined to be not feasible.  Work to identify additional partners serving high-risk populations was temporarily postponed due to the COVID-19 pandemic.</w:t>
            </w:r>
          </w:p>
        </w:tc>
        <w:tc>
          <w:tcPr>
            <w:tcW w:w="3235" w:type="dxa"/>
            <w:vAlign w:val="center"/>
          </w:tcPr>
          <w:p w14:paraId="24253D52" w14:textId="432CA372" w:rsidR="00E15E99" w:rsidRDefault="008F063E" w:rsidP="008F063E">
            <w:pPr>
              <w:rPr>
                <w:sz w:val="24"/>
                <w:szCs w:val="24"/>
              </w:rPr>
            </w:pPr>
            <w:r>
              <w:rPr>
                <w:sz w:val="24"/>
                <w:szCs w:val="24"/>
              </w:rPr>
              <w:t>Re-evaluate the feasibility of conducting a TB Clinical Symposium and statewide meeting.  Collaborate with regional TB programs to identify external agencies statewide that serve high-risk populations.</w:t>
            </w:r>
          </w:p>
        </w:tc>
      </w:tr>
    </w:tbl>
    <w:p w14:paraId="72405DBC" w14:textId="76698382" w:rsidR="00DB3CAD" w:rsidRDefault="00DB3CAD" w:rsidP="00054B01">
      <w:pPr>
        <w:spacing w:after="0" w:line="240" w:lineRule="auto"/>
        <w:rPr>
          <w:b/>
          <w:bCs/>
          <w:sz w:val="24"/>
          <w:szCs w:val="24"/>
          <w:u w:val="single"/>
        </w:rPr>
        <w:sectPr w:rsidR="00DB3CAD" w:rsidSect="00DB3CAD">
          <w:pgSz w:w="15840" w:h="12240" w:orient="landscape"/>
          <w:pgMar w:top="1440" w:right="1440" w:bottom="1440" w:left="1440" w:header="720" w:footer="720" w:gutter="0"/>
          <w:cols w:space="720"/>
          <w:docGrid w:linePitch="360"/>
        </w:sectPr>
      </w:pPr>
    </w:p>
    <w:p w14:paraId="6C5E39F5" w14:textId="54AEA1C6" w:rsidR="00A30977" w:rsidRDefault="00A30977" w:rsidP="00054B01">
      <w:pPr>
        <w:spacing w:after="0" w:line="240" w:lineRule="auto"/>
        <w:rPr>
          <w:b/>
          <w:bCs/>
          <w:sz w:val="24"/>
          <w:szCs w:val="24"/>
          <w:u w:val="single"/>
        </w:rPr>
      </w:pPr>
      <w:r>
        <w:rPr>
          <w:b/>
          <w:bCs/>
          <w:sz w:val="24"/>
          <w:szCs w:val="24"/>
          <w:u w:val="single"/>
        </w:rPr>
        <w:lastRenderedPageBreak/>
        <w:t>Program Planning, Evaluation, and Improvement</w:t>
      </w:r>
    </w:p>
    <w:p w14:paraId="28699809" w14:textId="77777777" w:rsidR="00A30977" w:rsidRDefault="00A30977" w:rsidP="00114B41">
      <w:pPr>
        <w:pStyle w:val="ListParagraph"/>
        <w:numPr>
          <w:ilvl w:val="0"/>
          <w:numId w:val="1"/>
        </w:numPr>
        <w:spacing w:after="0" w:line="240" w:lineRule="auto"/>
        <w:rPr>
          <w:sz w:val="24"/>
          <w:szCs w:val="24"/>
        </w:rPr>
      </w:pPr>
      <w:r>
        <w:rPr>
          <w:sz w:val="24"/>
          <w:szCs w:val="24"/>
        </w:rPr>
        <w:t>Results and Conclusions of 2020 Program Evaluation Activities</w:t>
      </w:r>
    </w:p>
    <w:p w14:paraId="6DBDD81F" w14:textId="77777777" w:rsidR="00A30977" w:rsidRDefault="00A30977" w:rsidP="00114B41">
      <w:pPr>
        <w:pStyle w:val="ListParagraph"/>
        <w:numPr>
          <w:ilvl w:val="0"/>
          <w:numId w:val="1"/>
        </w:numPr>
        <w:spacing w:after="0" w:line="240" w:lineRule="auto"/>
        <w:rPr>
          <w:sz w:val="24"/>
          <w:szCs w:val="24"/>
        </w:rPr>
      </w:pPr>
      <w:r>
        <w:rPr>
          <w:sz w:val="24"/>
          <w:szCs w:val="24"/>
        </w:rPr>
        <w:t xml:space="preserve">Remediation Plan </w:t>
      </w:r>
    </w:p>
    <w:p w14:paraId="155DEFF6" w14:textId="77777777" w:rsidR="00A30977" w:rsidRDefault="00A30977" w:rsidP="00114B41">
      <w:pPr>
        <w:pStyle w:val="ListParagraph"/>
        <w:numPr>
          <w:ilvl w:val="0"/>
          <w:numId w:val="1"/>
        </w:numPr>
        <w:spacing w:after="0" w:line="240" w:lineRule="auto"/>
        <w:rPr>
          <w:sz w:val="24"/>
          <w:szCs w:val="24"/>
        </w:rPr>
      </w:pPr>
      <w:r>
        <w:rPr>
          <w:sz w:val="24"/>
          <w:szCs w:val="24"/>
        </w:rPr>
        <w:t>Background for 2021 Program Evaluation Focus Area</w:t>
      </w:r>
    </w:p>
    <w:p w14:paraId="6BB58596" w14:textId="581000BA" w:rsidR="00A30977" w:rsidRDefault="00A30977" w:rsidP="00114B41">
      <w:pPr>
        <w:pStyle w:val="ListParagraph"/>
        <w:numPr>
          <w:ilvl w:val="0"/>
          <w:numId w:val="1"/>
        </w:numPr>
        <w:spacing w:after="0" w:line="240" w:lineRule="auto"/>
        <w:rPr>
          <w:sz w:val="24"/>
          <w:szCs w:val="24"/>
        </w:rPr>
      </w:pPr>
      <w:r>
        <w:rPr>
          <w:sz w:val="24"/>
          <w:szCs w:val="24"/>
        </w:rPr>
        <w:t xml:space="preserve">2021 Program Evaluation Plan </w:t>
      </w:r>
    </w:p>
    <w:p w14:paraId="78F8CB04" w14:textId="1848FF5F" w:rsidR="00B32374" w:rsidRDefault="00B32374" w:rsidP="00B32374">
      <w:pPr>
        <w:spacing w:after="0" w:line="240" w:lineRule="auto"/>
        <w:rPr>
          <w:sz w:val="24"/>
          <w:szCs w:val="24"/>
        </w:rPr>
      </w:pPr>
    </w:p>
    <w:p w14:paraId="4379A139" w14:textId="02254C7A" w:rsidR="00B32374" w:rsidRPr="00B32374" w:rsidRDefault="00B32374" w:rsidP="00B32374">
      <w:pPr>
        <w:spacing w:after="0" w:line="240" w:lineRule="auto"/>
        <w:rPr>
          <w:sz w:val="24"/>
          <w:szCs w:val="24"/>
        </w:rPr>
      </w:pPr>
      <w:r>
        <w:rPr>
          <w:sz w:val="24"/>
          <w:szCs w:val="24"/>
        </w:rPr>
        <w:t xml:space="preserve">Due the COVID-19 pandemic, TTBEP central office staff were </w:t>
      </w:r>
      <w:r w:rsidR="00440100">
        <w:rPr>
          <w:sz w:val="24"/>
          <w:szCs w:val="24"/>
        </w:rPr>
        <w:t xml:space="preserve">reassigned to assist with core COVID-19 activities including data visualization and reporting, cluster detection, monitoring, reporting, assisting at points of dispensing (PODs) for testing and vaccination, assisting with the call bank, and serving as a liaison between public health and entities that serve high risk populations such as corrections.  </w:t>
      </w:r>
      <w:r w:rsidR="00D417D1">
        <w:rPr>
          <w:sz w:val="24"/>
          <w:szCs w:val="24"/>
        </w:rPr>
        <w:t xml:space="preserve">More specifically, the program evaluation focal point was a member of the data visualization team that was responsible for ensuring daily data were accurate and posted on the state health department website.  In addition, he also served as team lead for the Epi-X notification team responsible for receiving notifications of exposed travelers and ensuring proper follow-up.  </w:t>
      </w:r>
      <w:r w:rsidR="00C32C41">
        <w:rPr>
          <w:sz w:val="24"/>
          <w:szCs w:val="24"/>
        </w:rPr>
        <w:t>Because of these staff reassignments, the program evaluation plan was not initiated as scheduled and the program staff will begin implementation in 2022.</w:t>
      </w:r>
    </w:p>
    <w:p w14:paraId="20809BD8" w14:textId="77777777" w:rsidR="0051596C" w:rsidRDefault="0051596C" w:rsidP="0051596C">
      <w:pPr>
        <w:pStyle w:val="ListParagraph"/>
        <w:spacing w:after="0" w:line="240" w:lineRule="auto"/>
        <w:ind w:left="1080"/>
        <w:rPr>
          <w:sz w:val="24"/>
          <w:szCs w:val="24"/>
        </w:rPr>
      </w:pPr>
    </w:p>
    <w:p w14:paraId="4B280B6D" w14:textId="77777777" w:rsidR="0051596C" w:rsidRDefault="0051596C" w:rsidP="00F33E44">
      <w:pPr>
        <w:spacing w:after="0" w:line="360" w:lineRule="auto"/>
        <w:rPr>
          <w:sz w:val="24"/>
          <w:szCs w:val="24"/>
          <w:u w:val="single"/>
        </w:rPr>
      </w:pPr>
      <w:r>
        <w:rPr>
          <w:sz w:val="24"/>
          <w:szCs w:val="24"/>
          <w:u w:val="single"/>
        </w:rPr>
        <w:t>Program Evaluation Focal Point</w:t>
      </w:r>
    </w:p>
    <w:p w14:paraId="640876DC" w14:textId="77777777" w:rsidR="0051596C" w:rsidRDefault="0051596C" w:rsidP="00F33E44">
      <w:pPr>
        <w:spacing w:after="0" w:line="360" w:lineRule="auto"/>
        <w:rPr>
          <w:sz w:val="24"/>
          <w:szCs w:val="24"/>
        </w:rPr>
      </w:pPr>
      <w:r>
        <w:rPr>
          <w:sz w:val="24"/>
          <w:szCs w:val="24"/>
        </w:rPr>
        <w:t>Ben Katz, MPH</w:t>
      </w:r>
    </w:p>
    <w:p w14:paraId="782F50B8" w14:textId="77777777" w:rsidR="0051596C" w:rsidRDefault="0051596C" w:rsidP="00F33E44">
      <w:pPr>
        <w:spacing w:after="0" w:line="360" w:lineRule="auto"/>
        <w:rPr>
          <w:sz w:val="24"/>
          <w:szCs w:val="24"/>
        </w:rPr>
      </w:pPr>
      <w:r>
        <w:rPr>
          <w:sz w:val="24"/>
          <w:szCs w:val="24"/>
        </w:rPr>
        <w:t>Epidemiologist 2</w:t>
      </w:r>
    </w:p>
    <w:p w14:paraId="3BEAB4BB" w14:textId="77777777" w:rsidR="0051596C" w:rsidRDefault="0051596C" w:rsidP="00F33E44">
      <w:pPr>
        <w:spacing w:after="0" w:line="360" w:lineRule="auto"/>
        <w:rPr>
          <w:sz w:val="24"/>
          <w:szCs w:val="24"/>
        </w:rPr>
      </w:pPr>
      <w:r>
        <w:rPr>
          <w:sz w:val="24"/>
          <w:szCs w:val="24"/>
        </w:rPr>
        <w:t>710 James Robertson Parkway, 3</w:t>
      </w:r>
      <w:r w:rsidRPr="0051596C">
        <w:rPr>
          <w:sz w:val="24"/>
          <w:szCs w:val="24"/>
          <w:vertAlign w:val="superscript"/>
        </w:rPr>
        <w:t>rd</w:t>
      </w:r>
      <w:r>
        <w:rPr>
          <w:sz w:val="24"/>
          <w:szCs w:val="24"/>
        </w:rPr>
        <w:t xml:space="preserve"> Floor Andrew Johnson Tower, Nashville, TN 37243</w:t>
      </w:r>
    </w:p>
    <w:p w14:paraId="10E5BBAA" w14:textId="77777777" w:rsidR="0051596C" w:rsidRDefault="0051596C" w:rsidP="00F33E44">
      <w:pPr>
        <w:spacing w:after="0" w:line="360" w:lineRule="auto"/>
        <w:rPr>
          <w:sz w:val="24"/>
          <w:szCs w:val="24"/>
        </w:rPr>
      </w:pPr>
      <w:r>
        <w:rPr>
          <w:sz w:val="24"/>
          <w:szCs w:val="24"/>
        </w:rPr>
        <w:t>Ph. 615-253-1369</w:t>
      </w:r>
    </w:p>
    <w:p w14:paraId="031EBF6F" w14:textId="77777777" w:rsidR="0051596C" w:rsidRDefault="0051596C" w:rsidP="00F33E44">
      <w:pPr>
        <w:spacing w:after="0" w:line="360" w:lineRule="auto"/>
        <w:rPr>
          <w:sz w:val="24"/>
          <w:szCs w:val="24"/>
        </w:rPr>
      </w:pPr>
      <w:r>
        <w:rPr>
          <w:sz w:val="24"/>
          <w:szCs w:val="24"/>
        </w:rPr>
        <w:t>Fax: 615-253-1370</w:t>
      </w:r>
    </w:p>
    <w:p w14:paraId="24153D55" w14:textId="5A354FB3" w:rsidR="0051596C" w:rsidRDefault="0064029D" w:rsidP="00F33E44">
      <w:pPr>
        <w:spacing w:after="0" w:line="360" w:lineRule="auto"/>
        <w:rPr>
          <w:sz w:val="24"/>
          <w:szCs w:val="24"/>
        </w:rPr>
      </w:pPr>
      <w:hyperlink r:id="rId14" w:history="1">
        <w:r w:rsidR="0051596C" w:rsidRPr="00F95D67">
          <w:rPr>
            <w:rStyle w:val="Hyperlink"/>
            <w:sz w:val="24"/>
            <w:szCs w:val="24"/>
          </w:rPr>
          <w:t>Ben.Katz@tn.gov</w:t>
        </w:r>
      </w:hyperlink>
    </w:p>
    <w:p w14:paraId="404662E0" w14:textId="77777777" w:rsidR="0051596C" w:rsidRDefault="0051596C" w:rsidP="0051596C">
      <w:pPr>
        <w:spacing w:after="0" w:line="240" w:lineRule="auto"/>
        <w:rPr>
          <w:sz w:val="24"/>
          <w:szCs w:val="24"/>
        </w:rPr>
      </w:pPr>
    </w:p>
    <w:p w14:paraId="57B0B3DA" w14:textId="72702AC7" w:rsidR="0051596C" w:rsidRDefault="0051596C" w:rsidP="0051596C">
      <w:pPr>
        <w:spacing w:after="0" w:line="240" w:lineRule="auto"/>
        <w:rPr>
          <w:b/>
          <w:bCs/>
          <w:sz w:val="24"/>
          <w:szCs w:val="24"/>
          <w:u w:val="single"/>
        </w:rPr>
      </w:pPr>
      <w:r>
        <w:rPr>
          <w:b/>
          <w:bCs/>
          <w:sz w:val="24"/>
          <w:szCs w:val="24"/>
          <w:u w:val="single"/>
        </w:rPr>
        <w:t>Cohort Review</w:t>
      </w:r>
    </w:p>
    <w:p w14:paraId="5425F5EC" w14:textId="77777777" w:rsidR="00DB3CAD" w:rsidRDefault="00DB3CAD" w:rsidP="0051596C">
      <w:pPr>
        <w:spacing w:after="0" w:line="240" w:lineRule="auto"/>
        <w:rPr>
          <w:b/>
          <w:bCs/>
          <w:sz w:val="24"/>
          <w:szCs w:val="24"/>
          <w:u w:val="single"/>
        </w:rPr>
      </w:pPr>
    </w:p>
    <w:tbl>
      <w:tblPr>
        <w:tblStyle w:val="TableGrid"/>
        <w:tblW w:w="0" w:type="auto"/>
        <w:tblLook w:val="04A0" w:firstRow="1" w:lastRow="0" w:firstColumn="1" w:lastColumn="0" w:noHBand="0" w:noVBand="1"/>
      </w:tblPr>
      <w:tblGrid>
        <w:gridCol w:w="2408"/>
        <w:gridCol w:w="6942"/>
      </w:tblGrid>
      <w:tr w:rsidR="0051596C" w14:paraId="0C2C747A" w14:textId="77777777" w:rsidTr="0051596C">
        <w:tc>
          <w:tcPr>
            <w:tcW w:w="6475" w:type="dxa"/>
            <w:shd w:val="clear" w:color="auto" w:fill="D9D9D9" w:themeFill="background1" w:themeFillShade="D9"/>
            <w:vAlign w:val="center"/>
          </w:tcPr>
          <w:p w14:paraId="2833B16C" w14:textId="1B3AAC29" w:rsidR="0051596C" w:rsidRPr="0051596C" w:rsidRDefault="0051596C" w:rsidP="0051596C">
            <w:pPr>
              <w:jc w:val="center"/>
              <w:rPr>
                <w:b/>
                <w:bCs/>
                <w:sz w:val="24"/>
                <w:szCs w:val="24"/>
              </w:rPr>
            </w:pPr>
            <w:r w:rsidRPr="0051596C">
              <w:rPr>
                <w:b/>
                <w:bCs/>
                <w:sz w:val="24"/>
                <w:szCs w:val="24"/>
              </w:rPr>
              <w:t>Element</w:t>
            </w:r>
          </w:p>
        </w:tc>
        <w:tc>
          <w:tcPr>
            <w:tcW w:w="6475" w:type="dxa"/>
            <w:shd w:val="clear" w:color="auto" w:fill="D9D9D9" w:themeFill="background1" w:themeFillShade="D9"/>
            <w:vAlign w:val="center"/>
          </w:tcPr>
          <w:p w14:paraId="622A4F2E" w14:textId="3B755AA5" w:rsidR="0051596C" w:rsidRPr="0051596C" w:rsidRDefault="0051596C" w:rsidP="0051596C">
            <w:pPr>
              <w:jc w:val="center"/>
              <w:rPr>
                <w:b/>
                <w:bCs/>
                <w:sz w:val="24"/>
                <w:szCs w:val="24"/>
              </w:rPr>
            </w:pPr>
            <w:r w:rsidRPr="0051596C">
              <w:rPr>
                <w:b/>
                <w:bCs/>
                <w:sz w:val="24"/>
                <w:szCs w:val="24"/>
              </w:rPr>
              <w:t>Progress</w:t>
            </w:r>
          </w:p>
        </w:tc>
      </w:tr>
      <w:tr w:rsidR="0051596C" w14:paraId="7F98D342" w14:textId="77777777" w:rsidTr="00FC34C1">
        <w:tc>
          <w:tcPr>
            <w:tcW w:w="6475" w:type="dxa"/>
          </w:tcPr>
          <w:p w14:paraId="207D1ADA" w14:textId="4E1FAB99" w:rsidR="0051596C" w:rsidRPr="0051596C" w:rsidRDefault="0051596C" w:rsidP="0051596C">
            <w:pPr>
              <w:rPr>
                <w:sz w:val="24"/>
                <w:szCs w:val="24"/>
              </w:rPr>
            </w:pPr>
            <w:r>
              <w:rPr>
                <w:sz w:val="24"/>
                <w:szCs w:val="24"/>
              </w:rPr>
              <w:t>Date(s) of cohort review(s)</w:t>
            </w:r>
          </w:p>
        </w:tc>
        <w:tc>
          <w:tcPr>
            <w:tcW w:w="6475" w:type="dxa"/>
            <w:vAlign w:val="center"/>
          </w:tcPr>
          <w:p w14:paraId="7A7BEF50" w14:textId="7315D3F6" w:rsidR="0051596C" w:rsidRPr="00F03F48" w:rsidRDefault="00CC0043" w:rsidP="00FC34C1">
            <w:pPr>
              <w:jc w:val="center"/>
              <w:rPr>
                <w:sz w:val="24"/>
                <w:szCs w:val="24"/>
              </w:rPr>
            </w:pPr>
            <w:r>
              <w:rPr>
                <w:sz w:val="24"/>
                <w:szCs w:val="24"/>
              </w:rPr>
              <w:t>April 14, 2021</w:t>
            </w:r>
          </w:p>
        </w:tc>
      </w:tr>
      <w:tr w:rsidR="0051596C" w14:paraId="01203ECE" w14:textId="77777777" w:rsidTr="00FC34C1">
        <w:tc>
          <w:tcPr>
            <w:tcW w:w="6475" w:type="dxa"/>
          </w:tcPr>
          <w:p w14:paraId="24ED8D47" w14:textId="7438090B" w:rsidR="0051596C" w:rsidRPr="00F03F48" w:rsidRDefault="00F03F48" w:rsidP="0051596C">
            <w:pPr>
              <w:rPr>
                <w:sz w:val="24"/>
                <w:szCs w:val="24"/>
              </w:rPr>
            </w:pPr>
            <w:r>
              <w:rPr>
                <w:sz w:val="24"/>
                <w:szCs w:val="24"/>
              </w:rPr>
              <w:t>Number of cases discussed (per review/total)</w:t>
            </w:r>
          </w:p>
        </w:tc>
        <w:tc>
          <w:tcPr>
            <w:tcW w:w="6475" w:type="dxa"/>
            <w:vAlign w:val="center"/>
          </w:tcPr>
          <w:p w14:paraId="4851B1D6" w14:textId="2771822C" w:rsidR="0051596C" w:rsidRPr="00F03F48" w:rsidRDefault="00CC0043" w:rsidP="00FC34C1">
            <w:pPr>
              <w:jc w:val="center"/>
              <w:rPr>
                <w:sz w:val="24"/>
                <w:szCs w:val="24"/>
              </w:rPr>
            </w:pPr>
            <w:r>
              <w:rPr>
                <w:sz w:val="24"/>
                <w:szCs w:val="24"/>
              </w:rPr>
              <w:t>8</w:t>
            </w:r>
          </w:p>
        </w:tc>
      </w:tr>
      <w:tr w:rsidR="0051596C" w14:paraId="388FCACE" w14:textId="77777777" w:rsidTr="00FC34C1">
        <w:tc>
          <w:tcPr>
            <w:tcW w:w="6475" w:type="dxa"/>
          </w:tcPr>
          <w:p w14:paraId="4D161311" w14:textId="198D845E" w:rsidR="0051596C" w:rsidRPr="00F03F48" w:rsidRDefault="00F03F48" w:rsidP="0051596C">
            <w:pPr>
              <w:rPr>
                <w:sz w:val="24"/>
                <w:szCs w:val="24"/>
              </w:rPr>
            </w:pPr>
            <w:r>
              <w:rPr>
                <w:sz w:val="24"/>
                <w:szCs w:val="24"/>
              </w:rPr>
              <w:t>Summary of review process</w:t>
            </w:r>
          </w:p>
        </w:tc>
        <w:tc>
          <w:tcPr>
            <w:tcW w:w="6475" w:type="dxa"/>
            <w:vAlign w:val="center"/>
          </w:tcPr>
          <w:p w14:paraId="62E64FC9" w14:textId="480FEFF0" w:rsidR="0051596C" w:rsidRPr="00F03F48" w:rsidRDefault="00CC0043" w:rsidP="00FC34C1">
            <w:pPr>
              <w:rPr>
                <w:sz w:val="24"/>
                <w:szCs w:val="24"/>
              </w:rPr>
            </w:pPr>
            <w:r>
              <w:rPr>
                <w:sz w:val="24"/>
                <w:szCs w:val="24"/>
              </w:rPr>
              <w:t xml:space="preserve">Due to COVID-19, no cohort reviews were held in 2020.  </w:t>
            </w:r>
          </w:p>
        </w:tc>
      </w:tr>
      <w:tr w:rsidR="0051596C" w14:paraId="77B0DAC9" w14:textId="77777777" w:rsidTr="00FC34C1">
        <w:tc>
          <w:tcPr>
            <w:tcW w:w="6475" w:type="dxa"/>
          </w:tcPr>
          <w:p w14:paraId="7F64132E" w14:textId="3176FE3B" w:rsidR="0051596C" w:rsidRPr="00F03F48" w:rsidRDefault="00F03F48" w:rsidP="0051596C">
            <w:pPr>
              <w:rPr>
                <w:sz w:val="24"/>
                <w:szCs w:val="24"/>
              </w:rPr>
            </w:pPr>
            <w:r>
              <w:rPr>
                <w:sz w:val="24"/>
                <w:szCs w:val="24"/>
              </w:rPr>
              <w:t>Key issues identified and resolved</w:t>
            </w:r>
          </w:p>
        </w:tc>
        <w:tc>
          <w:tcPr>
            <w:tcW w:w="6475" w:type="dxa"/>
            <w:vAlign w:val="center"/>
          </w:tcPr>
          <w:p w14:paraId="3D40BD74" w14:textId="30C086F9" w:rsidR="0051596C" w:rsidRPr="00F03F48" w:rsidRDefault="00FC34C1" w:rsidP="00FC34C1">
            <w:pPr>
              <w:rPr>
                <w:sz w:val="24"/>
                <w:szCs w:val="24"/>
              </w:rPr>
            </w:pPr>
            <w:r>
              <w:rPr>
                <w:sz w:val="24"/>
                <w:szCs w:val="24"/>
              </w:rPr>
              <w:t>Timeliness of reporting of persons with suspected TB diseased from non-public health providers</w:t>
            </w:r>
          </w:p>
        </w:tc>
      </w:tr>
      <w:tr w:rsidR="00F03F48" w14:paraId="5EB2BDA2" w14:textId="77777777" w:rsidTr="00FC34C1">
        <w:tc>
          <w:tcPr>
            <w:tcW w:w="6475" w:type="dxa"/>
          </w:tcPr>
          <w:p w14:paraId="77642337" w14:textId="306CB042" w:rsidR="00F03F48" w:rsidRDefault="00F03F48" w:rsidP="0051596C">
            <w:pPr>
              <w:rPr>
                <w:sz w:val="24"/>
                <w:szCs w:val="24"/>
              </w:rPr>
            </w:pPr>
            <w:r>
              <w:rPr>
                <w:sz w:val="24"/>
                <w:szCs w:val="24"/>
              </w:rPr>
              <w:t>Recommendations</w:t>
            </w:r>
          </w:p>
        </w:tc>
        <w:tc>
          <w:tcPr>
            <w:tcW w:w="6475" w:type="dxa"/>
            <w:vAlign w:val="center"/>
          </w:tcPr>
          <w:p w14:paraId="57A7E2C0" w14:textId="2FE49195" w:rsidR="00F03F48" w:rsidRPr="00F03F48" w:rsidRDefault="00FC34C1" w:rsidP="00FC34C1">
            <w:pPr>
              <w:rPr>
                <w:sz w:val="24"/>
                <w:szCs w:val="24"/>
              </w:rPr>
            </w:pPr>
            <w:r>
              <w:rPr>
                <w:sz w:val="24"/>
                <w:szCs w:val="24"/>
              </w:rPr>
              <w:t xml:space="preserve">Continued outreach and partnership with non-public health providers.  Provide copy of “2021 Reporting Guidance List for </w:t>
            </w:r>
            <w:r>
              <w:rPr>
                <w:sz w:val="24"/>
                <w:szCs w:val="24"/>
              </w:rPr>
              <w:lastRenderedPageBreak/>
              <w:t xml:space="preserve">Healthcare Providers” </w:t>
            </w:r>
            <w:hyperlink r:id="rId15" w:history="1">
              <w:r w:rsidRPr="00DF5F47">
                <w:rPr>
                  <w:rStyle w:val="Hyperlink"/>
                  <w:sz w:val="24"/>
                  <w:szCs w:val="24"/>
                </w:rPr>
                <w:t>https://www.tn.gov/content/dam/tn/health/documents/reportable-diseases/Provider-list-2021.pdf</w:t>
              </w:r>
            </w:hyperlink>
            <w:r>
              <w:rPr>
                <w:sz w:val="24"/>
                <w:szCs w:val="24"/>
              </w:rPr>
              <w:t xml:space="preserve"> and “How to Report for Healthcare Providers” </w:t>
            </w:r>
            <w:hyperlink r:id="rId16" w:history="1">
              <w:r w:rsidRPr="00DF5F47">
                <w:rPr>
                  <w:rStyle w:val="Hyperlink"/>
                  <w:sz w:val="24"/>
                  <w:szCs w:val="24"/>
                </w:rPr>
                <w:t>https://www.tn.gov/content/dam/tn/health/documents/reportable-diseases/2020_HowtoReport_ForHealthcareProviders.pdf</w:t>
              </w:r>
            </w:hyperlink>
            <w:r>
              <w:rPr>
                <w:sz w:val="24"/>
                <w:szCs w:val="24"/>
              </w:rPr>
              <w:t>.  This an ongoing health department activity.</w:t>
            </w:r>
          </w:p>
        </w:tc>
      </w:tr>
      <w:tr w:rsidR="00F03F48" w14:paraId="41FFDFE5" w14:textId="77777777" w:rsidTr="0051596C">
        <w:tc>
          <w:tcPr>
            <w:tcW w:w="6475" w:type="dxa"/>
          </w:tcPr>
          <w:p w14:paraId="082F1B1A" w14:textId="228F262C" w:rsidR="00F03F48" w:rsidRDefault="00F03F48" w:rsidP="0051596C">
            <w:pPr>
              <w:rPr>
                <w:sz w:val="24"/>
                <w:szCs w:val="24"/>
              </w:rPr>
            </w:pPr>
            <w:r>
              <w:rPr>
                <w:sz w:val="24"/>
                <w:szCs w:val="24"/>
              </w:rPr>
              <w:lastRenderedPageBreak/>
              <w:t>New tools or trainings</w:t>
            </w:r>
          </w:p>
        </w:tc>
        <w:tc>
          <w:tcPr>
            <w:tcW w:w="6475" w:type="dxa"/>
          </w:tcPr>
          <w:p w14:paraId="122F7749" w14:textId="5A6419A5" w:rsidR="00F03F48" w:rsidRPr="00F03F48" w:rsidRDefault="00FC34C1" w:rsidP="00CC0043">
            <w:pPr>
              <w:jc w:val="center"/>
              <w:rPr>
                <w:sz w:val="24"/>
                <w:szCs w:val="24"/>
              </w:rPr>
            </w:pPr>
            <w:r>
              <w:rPr>
                <w:sz w:val="24"/>
                <w:szCs w:val="24"/>
              </w:rPr>
              <w:t>None</w:t>
            </w:r>
          </w:p>
        </w:tc>
      </w:tr>
    </w:tbl>
    <w:p w14:paraId="1321CE42" w14:textId="77777777" w:rsidR="00F33E44" w:rsidRDefault="00F33E44" w:rsidP="0051596C">
      <w:pPr>
        <w:spacing w:after="0" w:line="240" w:lineRule="auto"/>
        <w:rPr>
          <w:b/>
          <w:bCs/>
          <w:sz w:val="24"/>
          <w:szCs w:val="24"/>
        </w:rPr>
        <w:sectPr w:rsidR="00F33E44" w:rsidSect="00DB3CAD">
          <w:headerReference w:type="default" r:id="rId17"/>
          <w:pgSz w:w="12240" w:h="15840"/>
          <w:pgMar w:top="1440" w:right="1440" w:bottom="1440" w:left="1440" w:header="720" w:footer="720" w:gutter="0"/>
          <w:cols w:space="720"/>
          <w:docGrid w:linePitch="360"/>
        </w:sectPr>
      </w:pPr>
    </w:p>
    <w:p w14:paraId="6C2894CD" w14:textId="77777777" w:rsidR="0051596C" w:rsidRDefault="00F33E44" w:rsidP="0051596C">
      <w:pPr>
        <w:spacing w:after="0" w:line="240" w:lineRule="auto"/>
        <w:rPr>
          <w:sz w:val="24"/>
          <w:szCs w:val="24"/>
          <w:u w:val="single"/>
        </w:rPr>
      </w:pPr>
      <w:r>
        <w:rPr>
          <w:sz w:val="24"/>
          <w:szCs w:val="24"/>
          <w:u w:val="single"/>
        </w:rPr>
        <w:lastRenderedPageBreak/>
        <w:t>Data Management Plan</w:t>
      </w:r>
    </w:p>
    <w:p w14:paraId="776C2BEE" w14:textId="77777777" w:rsidR="00F33E44" w:rsidRDefault="00F33E44" w:rsidP="0051596C">
      <w:pPr>
        <w:spacing w:after="0" w:line="240" w:lineRule="auto"/>
        <w:rPr>
          <w:sz w:val="24"/>
          <w:szCs w:val="24"/>
          <w:u w:val="single"/>
        </w:rPr>
      </w:pPr>
      <w:r>
        <w:rPr>
          <w:sz w:val="24"/>
          <w:szCs w:val="24"/>
          <w:u w:val="single"/>
        </w:rPr>
        <w:t xml:space="preserve"> </w:t>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F33E44" w14:paraId="1875D0FC" w14:textId="77777777" w:rsidTr="00F33E44">
        <w:tc>
          <w:tcPr>
            <w:tcW w:w="2158" w:type="dxa"/>
            <w:shd w:val="clear" w:color="auto" w:fill="D9D9D9" w:themeFill="background1" w:themeFillShade="D9"/>
            <w:vAlign w:val="center"/>
          </w:tcPr>
          <w:p w14:paraId="2BF58F58" w14:textId="07F9D226" w:rsidR="00F33E44" w:rsidRPr="00F33E44" w:rsidRDefault="00F33E44" w:rsidP="00F33E44">
            <w:pPr>
              <w:jc w:val="center"/>
              <w:rPr>
                <w:b/>
                <w:bCs/>
                <w:sz w:val="24"/>
                <w:szCs w:val="24"/>
              </w:rPr>
            </w:pPr>
            <w:r>
              <w:rPr>
                <w:b/>
                <w:bCs/>
                <w:sz w:val="24"/>
                <w:szCs w:val="24"/>
              </w:rPr>
              <w:t>Dataset Title</w:t>
            </w:r>
          </w:p>
        </w:tc>
        <w:tc>
          <w:tcPr>
            <w:tcW w:w="2158" w:type="dxa"/>
            <w:shd w:val="clear" w:color="auto" w:fill="D9D9D9" w:themeFill="background1" w:themeFillShade="D9"/>
            <w:vAlign w:val="center"/>
          </w:tcPr>
          <w:p w14:paraId="0688EAFB" w14:textId="3E34AFA9" w:rsidR="00F33E44" w:rsidRPr="00F33E44" w:rsidRDefault="00F33E44" w:rsidP="00F33E44">
            <w:pPr>
              <w:jc w:val="center"/>
              <w:rPr>
                <w:b/>
                <w:bCs/>
                <w:sz w:val="24"/>
                <w:szCs w:val="24"/>
              </w:rPr>
            </w:pPr>
            <w:r>
              <w:rPr>
                <w:b/>
                <w:bCs/>
                <w:sz w:val="24"/>
                <w:szCs w:val="24"/>
              </w:rPr>
              <w:t>Study Type/Design</w:t>
            </w:r>
          </w:p>
        </w:tc>
        <w:tc>
          <w:tcPr>
            <w:tcW w:w="2158" w:type="dxa"/>
            <w:shd w:val="clear" w:color="auto" w:fill="D9D9D9" w:themeFill="background1" w:themeFillShade="D9"/>
            <w:vAlign w:val="center"/>
          </w:tcPr>
          <w:p w14:paraId="4DAB41A6" w14:textId="6DB260D1" w:rsidR="00F33E44" w:rsidRPr="00F33E44" w:rsidRDefault="00F33E44" w:rsidP="00F33E44">
            <w:pPr>
              <w:jc w:val="center"/>
              <w:rPr>
                <w:b/>
                <w:bCs/>
                <w:sz w:val="24"/>
                <w:szCs w:val="24"/>
              </w:rPr>
            </w:pPr>
            <w:r>
              <w:rPr>
                <w:b/>
                <w:bCs/>
                <w:sz w:val="24"/>
                <w:szCs w:val="24"/>
              </w:rPr>
              <w:t>Frequency of Data Collection</w:t>
            </w:r>
          </w:p>
        </w:tc>
        <w:tc>
          <w:tcPr>
            <w:tcW w:w="2158" w:type="dxa"/>
            <w:shd w:val="clear" w:color="auto" w:fill="D9D9D9" w:themeFill="background1" w:themeFillShade="D9"/>
            <w:vAlign w:val="center"/>
          </w:tcPr>
          <w:p w14:paraId="3E026C6C" w14:textId="73FF79B7" w:rsidR="00F33E44" w:rsidRPr="00F33E44" w:rsidRDefault="00F33E44" w:rsidP="00F33E44">
            <w:pPr>
              <w:jc w:val="center"/>
              <w:rPr>
                <w:b/>
                <w:bCs/>
                <w:sz w:val="24"/>
                <w:szCs w:val="24"/>
              </w:rPr>
            </w:pPr>
            <w:r>
              <w:rPr>
                <w:b/>
                <w:bCs/>
                <w:sz w:val="24"/>
                <w:szCs w:val="24"/>
              </w:rPr>
              <w:t>Data Collection Timeframe</w:t>
            </w:r>
          </w:p>
        </w:tc>
        <w:tc>
          <w:tcPr>
            <w:tcW w:w="2159" w:type="dxa"/>
            <w:shd w:val="clear" w:color="auto" w:fill="D9D9D9" w:themeFill="background1" w:themeFillShade="D9"/>
            <w:vAlign w:val="center"/>
          </w:tcPr>
          <w:p w14:paraId="7E065362" w14:textId="1C4BD170" w:rsidR="00F33E44" w:rsidRPr="00F33E44" w:rsidRDefault="00F33E44" w:rsidP="00F33E44">
            <w:pPr>
              <w:jc w:val="center"/>
              <w:rPr>
                <w:b/>
                <w:bCs/>
                <w:sz w:val="24"/>
                <w:szCs w:val="24"/>
              </w:rPr>
            </w:pPr>
            <w:r>
              <w:rPr>
                <w:b/>
                <w:bCs/>
                <w:sz w:val="24"/>
                <w:szCs w:val="24"/>
              </w:rPr>
              <w:t>Where Data Will Be Maintained During Study Period</w:t>
            </w:r>
          </w:p>
        </w:tc>
        <w:tc>
          <w:tcPr>
            <w:tcW w:w="2159" w:type="dxa"/>
            <w:shd w:val="clear" w:color="auto" w:fill="D9D9D9" w:themeFill="background1" w:themeFillShade="D9"/>
            <w:vAlign w:val="center"/>
          </w:tcPr>
          <w:p w14:paraId="53B9C2DF" w14:textId="49864801" w:rsidR="00F33E44" w:rsidRPr="00F33E44" w:rsidRDefault="00F33E44" w:rsidP="00F33E44">
            <w:pPr>
              <w:jc w:val="center"/>
              <w:rPr>
                <w:b/>
                <w:bCs/>
                <w:sz w:val="24"/>
                <w:szCs w:val="24"/>
              </w:rPr>
            </w:pPr>
            <w:r>
              <w:rPr>
                <w:b/>
                <w:bCs/>
                <w:sz w:val="24"/>
                <w:szCs w:val="24"/>
              </w:rPr>
              <w:t>Responsible Person/Contact Information</w:t>
            </w:r>
          </w:p>
        </w:tc>
      </w:tr>
      <w:tr w:rsidR="00F33E44" w14:paraId="60801DC6" w14:textId="77777777" w:rsidTr="00C224C6">
        <w:tc>
          <w:tcPr>
            <w:tcW w:w="2158" w:type="dxa"/>
            <w:vAlign w:val="center"/>
          </w:tcPr>
          <w:p w14:paraId="7ADF2391" w14:textId="14FEDDBE" w:rsidR="00F33E44" w:rsidRPr="00F33E44" w:rsidRDefault="002E2A9B" w:rsidP="00C224C6">
            <w:pPr>
              <w:jc w:val="center"/>
              <w:rPr>
                <w:sz w:val="24"/>
                <w:szCs w:val="24"/>
              </w:rPr>
            </w:pPr>
            <w:r>
              <w:rPr>
                <w:sz w:val="24"/>
                <w:szCs w:val="24"/>
              </w:rPr>
              <w:t>Reporting Laboratories</w:t>
            </w:r>
          </w:p>
        </w:tc>
        <w:tc>
          <w:tcPr>
            <w:tcW w:w="2158" w:type="dxa"/>
            <w:vAlign w:val="center"/>
          </w:tcPr>
          <w:p w14:paraId="5D647194" w14:textId="2A5541DA" w:rsidR="00F33E44" w:rsidRPr="00F33E44" w:rsidRDefault="00C224C6" w:rsidP="00C224C6">
            <w:pPr>
              <w:jc w:val="center"/>
              <w:rPr>
                <w:sz w:val="24"/>
                <w:szCs w:val="24"/>
              </w:rPr>
            </w:pPr>
            <w:r>
              <w:rPr>
                <w:sz w:val="24"/>
                <w:szCs w:val="24"/>
              </w:rPr>
              <w:t>Descriptive analysis</w:t>
            </w:r>
          </w:p>
        </w:tc>
        <w:tc>
          <w:tcPr>
            <w:tcW w:w="2158" w:type="dxa"/>
            <w:vAlign w:val="center"/>
          </w:tcPr>
          <w:p w14:paraId="71661700" w14:textId="6EB9E1E9" w:rsidR="00F33E44" w:rsidRPr="00F33E44" w:rsidRDefault="00C224C6" w:rsidP="00C224C6">
            <w:pPr>
              <w:jc w:val="center"/>
              <w:rPr>
                <w:sz w:val="24"/>
                <w:szCs w:val="24"/>
              </w:rPr>
            </w:pPr>
            <w:r>
              <w:rPr>
                <w:sz w:val="24"/>
                <w:szCs w:val="24"/>
              </w:rPr>
              <w:t>At least quarterly</w:t>
            </w:r>
          </w:p>
        </w:tc>
        <w:tc>
          <w:tcPr>
            <w:tcW w:w="2158" w:type="dxa"/>
            <w:vAlign w:val="center"/>
          </w:tcPr>
          <w:p w14:paraId="748D4BD7" w14:textId="1132DE81" w:rsidR="00F33E44" w:rsidRPr="00F33E44" w:rsidRDefault="00C224C6" w:rsidP="00C224C6">
            <w:pPr>
              <w:jc w:val="center"/>
              <w:rPr>
                <w:sz w:val="24"/>
                <w:szCs w:val="24"/>
              </w:rPr>
            </w:pPr>
            <w:r>
              <w:rPr>
                <w:sz w:val="24"/>
                <w:szCs w:val="24"/>
              </w:rPr>
              <w:t>Previous quarter from time of data collection</w:t>
            </w:r>
          </w:p>
        </w:tc>
        <w:tc>
          <w:tcPr>
            <w:tcW w:w="2159" w:type="dxa"/>
            <w:vAlign w:val="center"/>
          </w:tcPr>
          <w:p w14:paraId="6BA36639" w14:textId="72BF05A6" w:rsidR="00F33E44" w:rsidRPr="00F33E44" w:rsidRDefault="00C224C6" w:rsidP="00C224C6">
            <w:pPr>
              <w:jc w:val="center"/>
              <w:rPr>
                <w:sz w:val="24"/>
                <w:szCs w:val="24"/>
              </w:rPr>
            </w:pPr>
            <w:r>
              <w:rPr>
                <w:sz w:val="24"/>
                <w:szCs w:val="24"/>
              </w:rPr>
              <w:t>Secure folder on state network</w:t>
            </w:r>
          </w:p>
        </w:tc>
        <w:tc>
          <w:tcPr>
            <w:tcW w:w="2159" w:type="dxa"/>
            <w:vAlign w:val="center"/>
          </w:tcPr>
          <w:p w14:paraId="5F4422E7" w14:textId="77777777" w:rsidR="00F33E44" w:rsidRDefault="00C224C6" w:rsidP="00C224C6">
            <w:pPr>
              <w:jc w:val="center"/>
              <w:rPr>
                <w:sz w:val="24"/>
                <w:szCs w:val="24"/>
              </w:rPr>
            </w:pPr>
            <w:r>
              <w:rPr>
                <w:sz w:val="24"/>
                <w:szCs w:val="24"/>
              </w:rPr>
              <w:t>Ben Katz</w:t>
            </w:r>
          </w:p>
          <w:p w14:paraId="1D172697" w14:textId="77777777" w:rsidR="00C224C6" w:rsidRDefault="00C224C6" w:rsidP="00C224C6">
            <w:pPr>
              <w:jc w:val="center"/>
              <w:rPr>
                <w:sz w:val="24"/>
                <w:szCs w:val="24"/>
              </w:rPr>
            </w:pPr>
            <w:r>
              <w:rPr>
                <w:sz w:val="24"/>
                <w:szCs w:val="24"/>
              </w:rPr>
              <w:t>615-253-1369</w:t>
            </w:r>
          </w:p>
          <w:p w14:paraId="769580EE" w14:textId="5EA1E817" w:rsidR="00C224C6" w:rsidRPr="00F33E44" w:rsidRDefault="0064029D" w:rsidP="00C224C6">
            <w:pPr>
              <w:jc w:val="center"/>
              <w:rPr>
                <w:sz w:val="24"/>
                <w:szCs w:val="24"/>
              </w:rPr>
            </w:pPr>
            <w:hyperlink r:id="rId18" w:history="1">
              <w:r w:rsidR="00C224C6" w:rsidRPr="00DF5F47">
                <w:rPr>
                  <w:rStyle w:val="Hyperlink"/>
                  <w:sz w:val="24"/>
                  <w:szCs w:val="24"/>
                </w:rPr>
                <w:t>Ben.Katz@tn.gov</w:t>
              </w:r>
            </w:hyperlink>
            <w:r w:rsidR="00C224C6">
              <w:rPr>
                <w:sz w:val="24"/>
                <w:szCs w:val="24"/>
              </w:rPr>
              <w:t xml:space="preserve"> </w:t>
            </w:r>
          </w:p>
        </w:tc>
      </w:tr>
      <w:tr w:rsidR="002E2A9B" w14:paraId="6D2AB4BB" w14:textId="77777777" w:rsidTr="004F08CB">
        <w:tc>
          <w:tcPr>
            <w:tcW w:w="6474" w:type="dxa"/>
            <w:gridSpan w:val="3"/>
            <w:vAlign w:val="center"/>
          </w:tcPr>
          <w:p w14:paraId="332167F0" w14:textId="7E57475F" w:rsidR="002E2A9B" w:rsidRPr="00F33E44" w:rsidRDefault="002E2A9B" w:rsidP="004F08CB">
            <w:pPr>
              <w:rPr>
                <w:sz w:val="24"/>
                <w:szCs w:val="24"/>
              </w:rPr>
            </w:pPr>
            <w:r>
              <w:rPr>
                <w:sz w:val="24"/>
                <w:szCs w:val="24"/>
              </w:rPr>
              <w:t>Describe the content (topics, variables) of the data</w:t>
            </w:r>
          </w:p>
        </w:tc>
        <w:tc>
          <w:tcPr>
            <w:tcW w:w="6476" w:type="dxa"/>
            <w:gridSpan w:val="3"/>
          </w:tcPr>
          <w:p w14:paraId="599A7203" w14:textId="1456155E" w:rsidR="002E2A9B" w:rsidRDefault="004F08CB" w:rsidP="0051596C">
            <w:pPr>
              <w:rPr>
                <w:sz w:val="24"/>
                <w:szCs w:val="24"/>
              </w:rPr>
            </w:pPr>
            <w:r>
              <w:rPr>
                <w:sz w:val="24"/>
                <w:szCs w:val="24"/>
              </w:rPr>
              <w:t xml:space="preserve">National TB Indicator Project (NTIP) reports and line lists  – </w:t>
            </w:r>
          </w:p>
          <w:p w14:paraId="49BEDCC6" w14:textId="77777777" w:rsidR="004F08CB" w:rsidRDefault="004F08CB" w:rsidP="004F08CB">
            <w:pPr>
              <w:pStyle w:val="ListParagraph"/>
              <w:numPr>
                <w:ilvl w:val="0"/>
                <w:numId w:val="34"/>
              </w:numPr>
              <w:rPr>
                <w:sz w:val="24"/>
                <w:szCs w:val="24"/>
              </w:rPr>
            </w:pPr>
            <w:r>
              <w:rPr>
                <w:sz w:val="24"/>
                <w:szCs w:val="24"/>
              </w:rPr>
              <w:t>Laboratory Turnaround Time</w:t>
            </w:r>
          </w:p>
          <w:p w14:paraId="36A195D5" w14:textId="77777777" w:rsidR="004F08CB" w:rsidRDefault="004F08CB" w:rsidP="004F08CB">
            <w:pPr>
              <w:pStyle w:val="ListParagraph"/>
              <w:numPr>
                <w:ilvl w:val="0"/>
                <w:numId w:val="34"/>
              </w:numPr>
              <w:rPr>
                <w:sz w:val="24"/>
                <w:szCs w:val="24"/>
              </w:rPr>
            </w:pPr>
            <w:r>
              <w:rPr>
                <w:sz w:val="24"/>
                <w:szCs w:val="24"/>
              </w:rPr>
              <w:t>Drug-Susceptibility Results</w:t>
            </w:r>
          </w:p>
          <w:p w14:paraId="66C03828" w14:textId="77777777" w:rsidR="004F08CB" w:rsidRDefault="004F08CB" w:rsidP="004F08CB">
            <w:pPr>
              <w:pStyle w:val="ListParagraph"/>
              <w:numPr>
                <w:ilvl w:val="0"/>
                <w:numId w:val="34"/>
              </w:numPr>
              <w:rPr>
                <w:sz w:val="24"/>
                <w:szCs w:val="24"/>
              </w:rPr>
            </w:pPr>
            <w:r>
              <w:rPr>
                <w:sz w:val="24"/>
                <w:szCs w:val="24"/>
              </w:rPr>
              <w:t>Sputum Culture Result Reported</w:t>
            </w:r>
          </w:p>
          <w:p w14:paraId="63802EB5" w14:textId="77777777" w:rsidR="004F08CB" w:rsidRDefault="004F08CB" w:rsidP="004F08CB">
            <w:pPr>
              <w:pStyle w:val="ListParagraph"/>
              <w:numPr>
                <w:ilvl w:val="0"/>
                <w:numId w:val="34"/>
              </w:numPr>
              <w:rPr>
                <w:sz w:val="24"/>
                <w:szCs w:val="24"/>
              </w:rPr>
            </w:pPr>
            <w:r>
              <w:rPr>
                <w:sz w:val="24"/>
                <w:szCs w:val="24"/>
              </w:rPr>
              <w:t>Universal Genotyping</w:t>
            </w:r>
          </w:p>
          <w:p w14:paraId="109433E7" w14:textId="7B35F94B" w:rsidR="004F08CB" w:rsidRDefault="004F08CB" w:rsidP="004F08CB">
            <w:pPr>
              <w:rPr>
                <w:sz w:val="24"/>
                <w:szCs w:val="24"/>
              </w:rPr>
            </w:pPr>
            <w:r>
              <w:rPr>
                <w:sz w:val="24"/>
                <w:szCs w:val="24"/>
              </w:rPr>
              <w:t>Report of a Verified Case of TB (RVCT) variables –</w:t>
            </w:r>
          </w:p>
          <w:p w14:paraId="2045B159" w14:textId="77777777" w:rsidR="004F08CB" w:rsidRDefault="004F08CB" w:rsidP="004F08CB">
            <w:pPr>
              <w:rPr>
                <w:sz w:val="24"/>
                <w:szCs w:val="24"/>
              </w:rPr>
            </w:pPr>
            <w:r>
              <w:rPr>
                <w:sz w:val="24"/>
                <w:szCs w:val="24"/>
              </w:rPr>
              <w:t>#18 Sputum Culture Reporting Laboratory Type</w:t>
            </w:r>
          </w:p>
          <w:p w14:paraId="259D8E85" w14:textId="77777777" w:rsidR="004F08CB" w:rsidRDefault="004F08CB" w:rsidP="004F08CB">
            <w:pPr>
              <w:rPr>
                <w:sz w:val="24"/>
                <w:szCs w:val="24"/>
              </w:rPr>
            </w:pPr>
            <w:r>
              <w:rPr>
                <w:sz w:val="24"/>
                <w:szCs w:val="24"/>
              </w:rPr>
              <w:t>#20 Culture of Tissue and Other Body Fluids Reporting Laboratory Type</w:t>
            </w:r>
          </w:p>
          <w:p w14:paraId="4B5CB494" w14:textId="77777777" w:rsidR="004F08CB" w:rsidRDefault="004F08CB" w:rsidP="004F08CB">
            <w:pPr>
              <w:rPr>
                <w:sz w:val="24"/>
                <w:szCs w:val="24"/>
              </w:rPr>
            </w:pPr>
            <w:r>
              <w:rPr>
                <w:sz w:val="24"/>
                <w:szCs w:val="24"/>
              </w:rPr>
              <w:t>#21 Nucleic Acid Amplification Test Result Reporting Laboratory Type</w:t>
            </w:r>
          </w:p>
          <w:p w14:paraId="261EF88B" w14:textId="77777777" w:rsidR="004F08CB" w:rsidRDefault="004F08CB" w:rsidP="004F08CB">
            <w:pPr>
              <w:rPr>
                <w:sz w:val="24"/>
                <w:szCs w:val="24"/>
              </w:rPr>
            </w:pPr>
            <w:r>
              <w:rPr>
                <w:sz w:val="24"/>
                <w:szCs w:val="24"/>
              </w:rPr>
              <w:t>Locally Defined Fields (LDFs) created in the Tennessee NEDSS-based system TB Program Area Module (TB PAM)</w:t>
            </w:r>
          </w:p>
          <w:p w14:paraId="038DAF4E" w14:textId="77777777" w:rsidR="004F08CB" w:rsidRDefault="004F08CB" w:rsidP="004F08CB">
            <w:pPr>
              <w:pStyle w:val="ListParagraph"/>
              <w:numPr>
                <w:ilvl w:val="0"/>
                <w:numId w:val="35"/>
              </w:numPr>
              <w:rPr>
                <w:sz w:val="24"/>
                <w:szCs w:val="24"/>
              </w:rPr>
            </w:pPr>
            <w:r>
              <w:rPr>
                <w:sz w:val="24"/>
                <w:szCs w:val="24"/>
              </w:rPr>
              <w:t>Reporting Source Type  (e.g., hospital, laboratory, etc.)</w:t>
            </w:r>
          </w:p>
          <w:p w14:paraId="3C40FE84" w14:textId="77777777" w:rsidR="004F08CB" w:rsidRDefault="004F08CB" w:rsidP="004F08CB">
            <w:pPr>
              <w:pStyle w:val="ListParagraph"/>
              <w:numPr>
                <w:ilvl w:val="0"/>
                <w:numId w:val="35"/>
              </w:numPr>
              <w:rPr>
                <w:sz w:val="24"/>
                <w:szCs w:val="24"/>
              </w:rPr>
            </w:pPr>
            <w:r>
              <w:rPr>
                <w:sz w:val="24"/>
                <w:szCs w:val="24"/>
              </w:rPr>
              <w:t>Reporting Organization</w:t>
            </w:r>
          </w:p>
          <w:p w14:paraId="4D5A0638" w14:textId="77777777" w:rsidR="004F08CB" w:rsidRDefault="004F08CB" w:rsidP="004F08CB">
            <w:pPr>
              <w:pStyle w:val="ListParagraph"/>
              <w:numPr>
                <w:ilvl w:val="0"/>
                <w:numId w:val="35"/>
              </w:numPr>
              <w:rPr>
                <w:sz w:val="24"/>
                <w:szCs w:val="24"/>
              </w:rPr>
            </w:pPr>
            <w:r>
              <w:rPr>
                <w:sz w:val="24"/>
                <w:szCs w:val="24"/>
              </w:rPr>
              <w:t>Was the patient hospitalized for this illness?</w:t>
            </w:r>
          </w:p>
          <w:p w14:paraId="73C87B2F" w14:textId="3CFA2ADC" w:rsidR="004F08CB" w:rsidRPr="004F08CB" w:rsidRDefault="004F08CB" w:rsidP="004F08CB">
            <w:pPr>
              <w:pStyle w:val="ListParagraph"/>
              <w:numPr>
                <w:ilvl w:val="0"/>
                <w:numId w:val="35"/>
              </w:numPr>
              <w:rPr>
                <w:sz w:val="24"/>
                <w:szCs w:val="24"/>
              </w:rPr>
            </w:pPr>
            <w:r>
              <w:rPr>
                <w:sz w:val="24"/>
                <w:szCs w:val="24"/>
              </w:rPr>
              <w:t>Hospital Information</w:t>
            </w:r>
          </w:p>
        </w:tc>
      </w:tr>
      <w:tr w:rsidR="004726D5" w14:paraId="116064FC" w14:textId="77777777" w:rsidTr="00737FFC">
        <w:tc>
          <w:tcPr>
            <w:tcW w:w="12950" w:type="dxa"/>
            <w:gridSpan w:val="6"/>
            <w:shd w:val="clear" w:color="auto" w:fill="F2F2F2" w:themeFill="background1" w:themeFillShade="F2"/>
            <w:vAlign w:val="center"/>
          </w:tcPr>
          <w:p w14:paraId="22437807" w14:textId="3D893409" w:rsidR="004726D5" w:rsidRPr="00F33E44" w:rsidRDefault="004726D5" w:rsidP="0051596C">
            <w:pPr>
              <w:rPr>
                <w:sz w:val="24"/>
                <w:szCs w:val="24"/>
              </w:rPr>
            </w:pPr>
            <w:r>
              <w:rPr>
                <w:b/>
                <w:bCs/>
                <w:sz w:val="24"/>
                <w:szCs w:val="24"/>
              </w:rPr>
              <w:t>Description of Standards for Collecting Data</w:t>
            </w:r>
          </w:p>
        </w:tc>
      </w:tr>
      <w:tr w:rsidR="002268FC" w14:paraId="0B18CC84" w14:textId="77777777" w:rsidTr="00D21231">
        <w:tc>
          <w:tcPr>
            <w:tcW w:w="6474" w:type="dxa"/>
            <w:gridSpan w:val="3"/>
            <w:vAlign w:val="center"/>
          </w:tcPr>
          <w:p w14:paraId="74840EC6" w14:textId="0E04A3CA" w:rsidR="002268FC" w:rsidRPr="00F33E44" w:rsidRDefault="002268FC" w:rsidP="00D21231">
            <w:pPr>
              <w:rPr>
                <w:sz w:val="24"/>
                <w:szCs w:val="24"/>
              </w:rPr>
            </w:pPr>
            <w:r>
              <w:rPr>
                <w:sz w:val="24"/>
                <w:szCs w:val="24"/>
              </w:rPr>
              <w:t>Describe the data collection/generation methods</w:t>
            </w:r>
          </w:p>
        </w:tc>
        <w:tc>
          <w:tcPr>
            <w:tcW w:w="6476" w:type="dxa"/>
            <w:gridSpan w:val="3"/>
          </w:tcPr>
          <w:p w14:paraId="095E8B75" w14:textId="3D3A80CE" w:rsidR="002268FC" w:rsidRPr="00F33E44" w:rsidRDefault="002268FC" w:rsidP="0051596C">
            <w:pPr>
              <w:rPr>
                <w:sz w:val="24"/>
                <w:szCs w:val="24"/>
              </w:rPr>
            </w:pPr>
            <w:r>
              <w:rPr>
                <w:sz w:val="24"/>
                <w:szCs w:val="24"/>
              </w:rPr>
              <w:t>Reports and line lists will be generated from the NTIP system at least quarterly.  A standard report will be created in the NEDSS-based system and run at least quarterly.</w:t>
            </w:r>
          </w:p>
        </w:tc>
      </w:tr>
      <w:tr w:rsidR="002268FC" w14:paraId="4AFD8CEC" w14:textId="77777777" w:rsidTr="00D21231">
        <w:tc>
          <w:tcPr>
            <w:tcW w:w="6474" w:type="dxa"/>
            <w:gridSpan w:val="3"/>
            <w:vAlign w:val="center"/>
          </w:tcPr>
          <w:p w14:paraId="73E2FD14" w14:textId="575FAE50" w:rsidR="002268FC" w:rsidRPr="00F33E44" w:rsidRDefault="002268FC" w:rsidP="00D21231">
            <w:pPr>
              <w:rPr>
                <w:sz w:val="24"/>
                <w:szCs w:val="24"/>
              </w:rPr>
            </w:pPr>
            <w:r>
              <w:rPr>
                <w:sz w:val="24"/>
                <w:szCs w:val="24"/>
              </w:rPr>
              <w:lastRenderedPageBreak/>
              <w:t>Describe measures to ensure data quality</w:t>
            </w:r>
          </w:p>
        </w:tc>
        <w:tc>
          <w:tcPr>
            <w:tcW w:w="6476" w:type="dxa"/>
            <w:gridSpan w:val="3"/>
          </w:tcPr>
          <w:p w14:paraId="50DD0B0B" w14:textId="5DCFDC59" w:rsidR="002268FC" w:rsidRPr="00F33E44" w:rsidRDefault="002268FC" w:rsidP="0051596C">
            <w:pPr>
              <w:rPr>
                <w:sz w:val="24"/>
                <w:szCs w:val="24"/>
              </w:rPr>
            </w:pPr>
            <w:r>
              <w:rPr>
                <w:sz w:val="24"/>
                <w:szCs w:val="24"/>
              </w:rPr>
              <w:t>Missing or unknown data will be entered/corrected in the state surveillance system.  Electronic data will be verified for correctness by utilizing patient medical record reviews (paper and electronic medical records) housed at the TTBEP central office.</w:t>
            </w:r>
            <w:r w:rsidR="006E1747">
              <w:rPr>
                <w:sz w:val="24"/>
                <w:szCs w:val="24"/>
              </w:rPr>
              <w:t xml:space="preserve">  Queries of the state public health laboratory LIMS system will be done to confirm/refute that the state lab received a reference specimen or isolate for confirmation.</w:t>
            </w:r>
          </w:p>
        </w:tc>
      </w:tr>
      <w:tr w:rsidR="004726D5" w14:paraId="1EF90248" w14:textId="77777777" w:rsidTr="00737FFC">
        <w:tc>
          <w:tcPr>
            <w:tcW w:w="12950" w:type="dxa"/>
            <w:gridSpan w:val="6"/>
            <w:shd w:val="clear" w:color="auto" w:fill="F2F2F2" w:themeFill="background1" w:themeFillShade="F2"/>
          </w:tcPr>
          <w:p w14:paraId="041E719B" w14:textId="4EEA6824" w:rsidR="004726D5" w:rsidRPr="00F33E44" w:rsidRDefault="004726D5" w:rsidP="0051596C">
            <w:pPr>
              <w:rPr>
                <w:sz w:val="24"/>
                <w:szCs w:val="24"/>
              </w:rPr>
            </w:pPr>
            <w:r>
              <w:rPr>
                <w:b/>
                <w:bCs/>
                <w:sz w:val="24"/>
                <w:szCs w:val="24"/>
              </w:rPr>
              <w:t>Providing Access to Data</w:t>
            </w:r>
          </w:p>
        </w:tc>
      </w:tr>
      <w:tr w:rsidR="006817EA" w14:paraId="727803CD" w14:textId="77777777" w:rsidTr="001113E0">
        <w:tc>
          <w:tcPr>
            <w:tcW w:w="6474" w:type="dxa"/>
            <w:gridSpan w:val="3"/>
            <w:vAlign w:val="center"/>
          </w:tcPr>
          <w:p w14:paraId="3F74352B" w14:textId="6BF92F2B" w:rsidR="006817EA" w:rsidRPr="00F33E44" w:rsidRDefault="006817EA" w:rsidP="001113E0">
            <w:pPr>
              <w:rPr>
                <w:sz w:val="24"/>
                <w:szCs w:val="24"/>
              </w:rPr>
            </w:pPr>
            <w:r>
              <w:rPr>
                <w:sz w:val="24"/>
                <w:szCs w:val="24"/>
              </w:rPr>
              <w:t>Describe what level of access of data will be provided and when it will be made available</w:t>
            </w:r>
          </w:p>
        </w:tc>
        <w:tc>
          <w:tcPr>
            <w:tcW w:w="6476" w:type="dxa"/>
            <w:gridSpan w:val="3"/>
          </w:tcPr>
          <w:p w14:paraId="336CDD71" w14:textId="2C924329" w:rsidR="006817EA" w:rsidRPr="00F33E44" w:rsidRDefault="001113E0" w:rsidP="0051596C">
            <w:pPr>
              <w:rPr>
                <w:sz w:val="24"/>
                <w:szCs w:val="24"/>
              </w:rPr>
            </w:pPr>
            <w:r>
              <w:rPr>
                <w:sz w:val="24"/>
                <w:szCs w:val="24"/>
              </w:rPr>
              <w:t>Central office TTBEP staff including program epidemiologists, program manager, public health nurse consultant manager, and medical director will all have access to these data that will be securely housed on the state network.  Reports will be generated at least quarterly and saved on the state network for central office staff to review as needed.  Reports may be generated more frequently upon request.</w:t>
            </w:r>
          </w:p>
        </w:tc>
      </w:tr>
      <w:tr w:rsidR="006817EA" w14:paraId="2877CDBA" w14:textId="77777777" w:rsidTr="00D21231">
        <w:tc>
          <w:tcPr>
            <w:tcW w:w="6474" w:type="dxa"/>
            <w:gridSpan w:val="3"/>
            <w:vAlign w:val="center"/>
          </w:tcPr>
          <w:p w14:paraId="6CC7952F" w14:textId="6E92EFB0" w:rsidR="006817EA" w:rsidRPr="00F33E44" w:rsidRDefault="006817EA" w:rsidP="00D21231">
            <w:pPr>
              <w:rPr>
                <w:sz w:val="24"/>
                <w:szCs w:val="24"/>
              </w:rPr>
            </w:pPr>
            <w:r>
              <w:rPr>
                <w:sz w:val="24"/>
                <w:szCs w:val="24"/>
              </w:rPr>
              <w:t>Describe when, where, and how the data will be available</w:t>
            </w:r>
          </w:p>
        </w:tc>
        <w:tc>
          <w:tcPr>
            <w:tcW w:w="6476" w:type="dxa"/>
            <w:gridSpan w:val="3"/>
          </w:tcPr>
          <w:p w14:paraId="210A7002" w14:textId="1AFB1274" w:rsidR="006817EA" w:rsidRPr="00F33E44" w:rsidRDefault="00632FCE" w:rsidP="0051596C">
            <w:pPr>
              <w:rPr>
                <w:sz w:val="24"/>
                <w:szCs w:val="24"/>
              </w:rPr>
            </w:pPr>
            <w:r>
              <w:rPr>
                <w:sz w:val="24"/>
                <w:szCs w:val="24"/>
              </w:rPr>
              <w:t xml:space="preserve">See above.  Raw data will be maintained in an Excel spreadsheet.  </w:t>
            </w:r>
          </w:p>
        </w:tc>
      </w:tr>
      <w:tr w:rsidR="006817EA" w14:paraId="101EA19C" w14:textId="77777777" w:rsidTr="00D21231">
        <w:tc>
          <w:tcPr>
            <w:tcW w:w="6474" w:type="dxa"/>
            <w:gridSpan w:val="3"/>
            <w:vAlign w:val="center"/>
          </w:tcPr>
          <w:p w14:paraId="7EB2F160" w14:textId="56E166B9" w:rsidR="006817EA" w:rsidRPr="00F33E44" w:rsidRDefault="006817EA" w:rsidP="00D21231">
            <w:pPr>
              <w:rPr>
                <w:sz w:val="24"/>
                <w:szCs w:val="24"/>
              </w:rPr>
            </w:pPr>
            <w:r>
              <w:rPr>
                <w:sz w:val="24"/>
                <w:szCs w:val="24"/>
              </w:rPr>
              <w:t>If free public access to the data will not be provided, give a justification</w:t>
            </w:r>
          </w:p>
        </w:tc>
        <w:tc>
          <w:tcPr>
            <w:tcW w:w="6476" w:type="dxa"/>
            <w:gridSpan w:val="3"/>
          </w:tcPr>
          <w:p w14:paraId="7BAF5361" w14:textId="3FB3F477" w:rsidR="006817EA" w:rsidRPr="00F33E44" w:rsidRDefault="00003BE9" w:rsidP="0051596C">
            <w:pPr>
              <w:rPr>
                <w:sz w:val="24"/>
                <w:szCs w:val="24"/>
              </w:rPr>
            </w:pPr>
            <w:r>
              <w:rPr>
                <w:sz w:val="24"/>
                <w:szCs w:val="24"/>
              </w:rPr>
              <w:t>There will be no public access.</w:t>
            </w:r>
          </w:p>
        </w:tc>
      </w:tr>
      <w:tr w:rsidR="006817EA" w14:paraId="49074BE0" w14:textId="77777777" w:rsidTr="00D21231">
        <w:tc>
          <w:tcPr>
            <w:tcW w:w="6474" w:type="dxa"/>
            <w:gridSpan w:val="3"/>
            <w:vAlign w:val="center"/>
          </w:tcPr>
          <w:p w14:paraId="14207654" w14:textId="49DA23B2" w:rsidR="006817EA" w:rsidRPr="00F33E44" w:rsidRDefault="006817EA" w:rsidP="00D21231">
            <w:pPr>
              <w:rPr>
                <w:sz w:val="24"/>
                <w:szCs w:val="24"/>
              </w:rPr>
            </w:pPr>
            <w:r>
              <w:rPr>
                <w:sz w:val="24"/>
                <w:szCs w:val="24"/>
              </w:rPr>
              <w:t>For data that will be released, describe procedures for data security, privacy/confidentiality</w:t>
            </w:r>
          </w:p>
        </w:tc>
        <w:tc>
          <w:tcPr>
            <w:tcW w:w="6476" w:type="dxa"/>
            <w:gridSpan w:val="3"/>
          </w:tcPr>
          <w:p w14:paraId="1EEB6ED3" w14:textId="609FBA73" w:rsidR="006817EA" w:rsidRPr="00F33E44" w:rsidRDefault="00003BE9" w:rsidP="0051596C">
            <w:pPr>
              <w:rPr>
                <w:sz w:val="24"/>
                <w:szCs w:val="24"/>
              </w:rPr>
            </w:pPr>
            <w:r>
              <w:rPr>
                <w:sz w:val="24"/>
                <w:szCs w:val="24"/>
              </w:rPr>
              <w:t>Data will be primarily for internal use only.  Aggregate may be reported to reporting laboratories regarding the number of tests performed for which an isolate or reference specimen was not sent to the Tennessee Department of Health, Division of Laboratory Services.</w:t>
            </w:r>
          </w:p>
        </w:tc>
      </w:tr>
      <w:tr w:rsidR="004726D5" w14:paraId="1B4121C5" w14:textId="77777777" w:rsidTr="00737FFC">
        <w:tc>
          <w:tcPr>
            <w:tcW w:w="12950" w:type="dxa"/>
            <w:gridSpan w:val="6"/>
            <w:shd w:val="clear" w:color="auto" w:fill="F2F2F2" w:themeFill="background1" w:themeFillShade="F2"/>
          </w:tcPr>
          <w:p w14:paraId="30CBF34A" w14:textId="5D231B01" w:rsidR="004726D5" w:rsidRPr="00F33E44" w:rsidRDefault="004726D5" w:rsidP="0051596C">
            <w:pPr>
              <w:rPr>
                <w:sz w:val="24"/>
                <w:szCs w:val="24"/>
              </w:rPr>
            </w:pPr>
            <w:r>
              <w:rPr>
                <w:b/>
                <w:bCs/>
                <w:sz w:val="24"/>
                <w:szCs w:val="24"/>
              </w:rPr>
              <w:t>Description of Standards Accompanying Release of data</w:t>
            </w:r>
          </w:p>
        </w:tc>
      </w:tr>
      <w:tr w:rsidR="006817EA" w14:paraId="789B531F" w14:textId="77777777" w:rsidTr="00D21231">
        <w:tc>
          <w:tcPr>
            <w:tcW w:w="6474" w:type="dxa"/>
            <w:gridSpan w:val="3"/>
            <w:vAlign w:val="center"/>
          </w:tcPr>
          <w:p w14:paraId="7D237F76" w14:textId="1F86ADC4" w:rsidR="006817EA" w:rsidRPr="00F33E44" w:rsidRDefault="006817EA" w:rsidP="00D21231">
            <w:pPr>
              <w:rPr>
                <w:sz w:val="24"/>
                <w:szCs w:val="24"/>
              </w:rPr>
            </w:pPr>
            <w:r>
              <w:rPr>
                <w:sz w:val="24"/>
                <w:szCs w:val="24"/>
              </w:rPr>
              <w:t>Describe the established standards to be used to ensure usability and interoperability of data</w:t>
            </w:r>
          </w:p>
        </w:tc>
        <w:tc>
          <w:tcPr>
            <w:tcW w:w="6476" w:type="dxa"/>
            <w:gridSpan w:val="3"/>
          </w:tcPr>
          <w:p w14:paraId="0E629FDB" w14:textId="4633F85D" w:rsidR="006817EA" w:rsidRPr="00F33E44" w:rsidRDefault="00D21231" w:rsidP="0051596C">
            <w:pPr>
              <w:rPr>
                <w:sz w:val="24"/>
                <w:szCs w:val="24"/>
              </w:rPr>
            </w:pPr>
            <w:r>
              <w:rPr>
                <w:sz w:val="24"/>
                <w:szCs w:val="24"/>
              </w:rPr>
              <w:t>NTIP data are updated based on standard HL7 messaging of TB data to CDC.</w:t>
            </w:r>
          </w:p>
        </w:tc>
      </w:tr>
      <w:tr w:rsidR="006817EA" w14:paraId="6A69A62C" w14:textId="77777777" w:rsidTr="00D21231">
        <w:tc>
          <w:tcPr>
            <w:tcW w:w="6474" w:type="dxa"/>
            <w:gridSpan w:val="3"/>
            <w:vAlign w:val="center"/>
          </w:tcPr>
          <w:p w14:paraId="47B0B312" w14:textId="1AD52407" w:rsidR="006817EA" w:rsidRPr="00F33E44" w:rsidRDefault="006817EA" w:rsidP="00D21231">
            <w:pPr>
              <w:rPr>
                <w:sz w:val="24"/>
                <w:szCs w:val="24"/>
              </w:rPr>
            </w:pPr>
            <w:r>
              <w:rPr>
                <w:sz w:val="24"/>
                <w:szCs w:val="24"/>
              </w:rPr>
              <w:t>Describe the documentation that will be available regarding data source</w:t>
            </w:r>
          </w:p>
        </w:tc>
        <w:tc>
          <w:tcPr>
            <w:tcW w:w="6476" w:type="dxa"/>
            <w:gridSpan w:val="3"/>
          </w:tcPr>
          <w:p w14:paraId="35BB383F" w14:textId="59C6CB64" w:rsidR="006817EA" w:rsidRPr="00F33E44" w:rsidRDefault="00D21231" w:rsidP="0051596C">
            <w:pPr>
              <w:rPr>
                <w:sz w:val="24"/>
                <w:szCs w:val="24"/>
              </w:rPr>
            </w:pPr>
            <w:r>
              <w:rPr>
                <w:sz w:val="24"/>
                <w:szCs w:val="24"/>
              </w:rPr>
              <w:t>A description of the data sources will be provided.  Standard descriptions of RVCT variables will be provided to consumers of the data.</w:t>
            </w:r>
          </w:p>
        </w:tc>
      </w:tr>
      <w:tr w:rsidR="006817EA" w14:paraId="5F097176" w14:textId="77777777" w:rsidTr="00D21231">
        <w:tc>
          <w:tcPr>
            <w:tcW w:w="6474" w:type="dxa"/>
            <w:gridSpan w:val="3"/>
            <w:vAlign w:val="center"/>
          </w:tcPr>
          <w:p w14:paraId="4566D129" w14:textId="452290BD" w:rsidR="006817EA" w:rsidRDefault="006817EA" w:rsidP="00D21231">
            <w:pPr>
              <w:rPr>
                <w:sz w:val="24"/>
                <w:szCs w:val="24"/>
              </w:rPr>
            </w:pPr>
            <w:r>
              <w:rPr>
                <w:sz w:val="24"/>
                <w:szCs w:val="24"/>
              </w:rPr>
              <w:lastRenderedPageBreak/>
              <w:t>Describe the documentation that will be available for analysis</w:t>
            </w:r>
          </w:p>
        </w:tc>
        <w:tc>
          <w:tcPr>
            <w:tcW w:w="6476" w:type="dxa"/>
            <w:gridSpan w:val="3"/>
          </w:tcPr>
          <w:p w14:paraId="7758C03A" w14:textId="77777777" w:rsidR="006817EA" w:rsidRDefault="00D21231" w:rsidP="0051596C">
            <w:pPr>
              <w:rPr>
                <w:sz w:val="24"/>
                <w:szCs w:val="24"/>
              </w:rPr>
            </w:pPr>
            <w:r>
              <w:rPr>
                <w:sz w:val="24"/>
                <w:szCs w:val="24"/>
              </w:rPr>
              <w:t>For this descriptive analysis, documentation of methods of data collection and variable descriptions will be provided.</w:t>
            </w:r>
          </w:p>
          <w:p w14:paraId="09F38A33" w14:textId="243DF124" w:rsidR="00D21231" w:rsidRPr="00F33E44" w:rsidRDefault="00D21231" w:rsidP="0051596C">
            <w:pPr>
              <w:rPr>
                <w:sz w:val="24"/>
                <w:szCs w:val="24"/>
              </w:rPr>
            </w:pPr>
          </w:p>
        </w:tc>
      </w:tr>
      <w:tr w:rsidR="004726D5" w14:paraId="51ADA488" w14:textId="77777777" w:rsidTr="004726D5">
        <w:tc>
          <w:tcPr>
            <w:tcW w:w="12950" w:type="dxa"/>
            <w:gridSpan w:val="6"/>
            <w:shd w:val="clear" w:color="auto" w:fill="F2F2F2" w:themeFill="background1" w:themeFillShade="F2"/>
            <w:vAlign w:val="center"/>
          </w:tcPr>
          <w:p w14:paraId="044E7A12" w14:textId="15D8099B" w:rsidR="004726D5" w:rsidRPr="004726D5" w:rsidRDefault="004726D5" w:rsidP="004726D5">
            <w:pPr>
              <w:rPr>
                <w:b/>
                <w:bCs/>
                <w:sz w:val="24"/>
                <w:szCs w:val="24"/>
              </w:rPr>
            </w:pPr>
            <w:r>
              <w:rPr>
                <w:b/>
                <w:bCs/>
                <w:sz w:val="24"/>
                <w:szCs w:val="24"/>
              </w:rPr>
              <w:t>Archival and Long-Term Data Preservation</w:t>
            </w:r>
          </w:p>
        </w:tc>
      </w:tr>
      <w:tr w:rsidR="006817EA" w14:paraId="1923E306" w14:textId="77777777" w:rsidTr="00737FFC">
        <w:tc>
          <w:tcPr>
            <w:tcW w:w="6474" w:type="dxa"/>
            <w:gridSpan w:val="3"/>
          </w:tcPr>
          <w:p w14:paraId="1D2E4D09" w14:textId="0DD80C3F" w:rsidR="006817EA" w:rsidRDefault="006817EA" w:rsidP="0051596C">
            <w:pPr>
              <w:rPr>
                <w:sz w:val="24"/>
                <w:szCs w:val="24"/>
              </w:rPr>
            </w:pPr>
            <w:r>
              <w:rPr>
                <w:sz w:val="24"/>
                <w:szCs w:val="24"/>
              </w:rPr>
              <w:t>Describe the planned long-term preservation or the justification for no long-term preservation</w:t>
            </w:r>
          </w:p>
        </w:tc>
        <w:tc>
          <w:tcPr>
            <w:tcW w:w="6476" w:type="dxa"/>
            <w:gridSpan w:val="3"/>
          </w:tcPr>
          <w:p w14:paraId="16997B82" w14:textId="14C2B23E" w:rsidR="006817EA" w:rsidRPr="00F33E44" w:rsidRDefault="006E1747" w:rsidP="0051596C">
            <w:pPr>
              <w:rPr>
                <w:sz w:val="24"/>
                <w:szCs w:val="24"/>
              </w:rPr>
            </w:pPr>
            <w:r>
              <w:rPr>
                <w:sz w:val="24"/>
                <w:szCs w:val="24"/>
              </w:rPr>
              <w:t>Data will be maintained on the state network and the timeframe for data retention has yet to be determined.</w:t>
            </w:r>
          </w:p>
        </w:tc>
      </w:tr>
      <w:tr w:rsidR="006817EA" w14:paraId="7DC4ADD6" w14:textId="77777777" w:rsidTr="00737FFC">
        <w:tc>
          <w:tcPr>
            <w:tcW w:w="6474" w:type="dxa"/>
            <w:gridSpan w:val="3"/>
          </w:tcPr>
          <w:p w14:paraId="7314F326" w14:textId="2F65385C" w:rsidR="006817EA" w:rsidRDefault="006817EA" w:rsidP="0051596C">
            <w:pPr>
              <w:rPr>
                <w:sz w:val="24"/>
                <w:szCs w:val="24"/>
              </w:rPr>
            </w:pPr>
            <w:r>
              <w:rPr>
                <w:sz w:val="24"/>
                <w:szCs w:val="24"/>
              </w:rPr>
              <w:t>If applicable, name the planned final location of the data and describe who it can be accessed</w:t>
            </w:r>
          </w:p>
        </w:tc>
        <w:tc>
          <w:tcPr>
            <w:tcW w:w="6476" w:type="dxa"/>
            <w:gridSpan w:val="3"/>
          </w:tcPr>
          <w:p w14:paraId="289F2E6C" w14:textId="47696452" w:rsidR="006817EA" w:rsidRPr="00F33E44" w:rsidRDefault="006E1747" w:rsidP="0051596C">
            <w:pPr>
              <w:rPr>
                <w:sz w:val="24"/>
                <w:szCs w:val="24"/>
              </w:rPr>
            </w:pPr>
            <w:r>
              <w:rPr>
                <w:sz w:val="24"/>
                <w:szCs w:val="24"/>
              </w:rPr>
              <w:t>Data will be maintained on the state network and will be available to TTBEP central office staff including program epidemiologist, program manager, public health nurse consultant manager, and medical director.</w:t>
            </w:r>
          </w:p>
        </w:tc>
      </w:tr>
    </w:tbl>
    <w:p w14:paraId="39C97ACA" w14:textId="40BB95BC" w:rsidR="00F33E44" w:rsidRPr="00F33E44" w:rsidRDefault="00F33E44" w:rsidP="0051596C">
      <w:pPr>
        <w:spacing w:after="0" w:line="240" w:lineRule="auto"/>
        <w:rPr>
          <w:sz w:val="24"/>
          <w:szCs w:val="24"/>
          <w:u w:val="single"/>
        </w:rPr>
        <w:sectPr w:rsidR="00F33E44" w:rsidRPr="00F33E44" w:rsidSect="00F33E44">
          <w:headerReference w:type="default" r:id="rId19"/>
          <w:pgSz w:w="15840" w:h="12240" w:orient="landscape"/>
          <w:pgMar w:top="1440" w:right="1440" w:bottom="1440" w:left="1440" w:header="720" w:footer="720" w:gutter="0"/>
          <w:cols w:space="720"/>
          <w:docGrid w:linePitch="360"/>
        </w:sectPr>
      </w:pPr>
    </w:p>
    <w:p w14:paraId="71F557D6" w14:textId="15A18FA7" w:rsidR="00A00F63" w:rsidRPr="00BB3854" w:rsidRDefault="00A00F63" w:rsidP="00A00F63">
      <w:pPr>
        <w:spacing w:after="0" w:line="240" w:lineRule="auto"/>
        <w:rPr>
          <w:b/>
          <w:sz w:val="24"/>
          <w:szCs w:val="24"/>
          <w:u w:val="single"/>
        </w:rPr>
      </w:pPr>
      <w:r>
        <w:rPr>
          <w:b/>
          <w:sz w:val="24"/>
          <w:szCs w:val="24"/>
          <w:u w:val="single"/>
        </w:rPr>
        <w:lastRenderedPageBreak/>
        <w:t>HUMAN RESOURCE DEVELOPMENT</w:t>
      </w:r>
    </w:p>
    <w:p w14:paraId="38A2021C" w14:textId="01CFA1CB" w:rsidR="00F6320B" w:rsidRDefault="00F6320B" w:rsidP="00A00F63">
      <w:pPr>
        <w:spacing w:after="0" w:line="240" w:lineRule="auto"/>
        <w:rPr>
          <w:sz w:val="24"/>
          <w:szCs w:val="24"/>
          <w:u w:val="single"/>
        </w:rPr>
      </w:pPr>
    </w:p>
    <w:tbl>
      <w:tblPr>
        <w:tblStyle w:val="TableGrid"/>
        <w:tblW w:w="0" w:type="auto"/>
        <w:tblLook w:val="04A0" w:firstRow="1" w:lastRow="0" w:firstColumn="1" w:lastColumn="0" w:noHBand="0" w:noVBand="1"/>
      </w:tblPr>
      <w:tblGrid>
        <w:gridCol w:w="5035"/>
        <w:gridCol w:w="7915"/>
      </w:tblGrid>
      <w:tr w:rsidR="00D93B08" w14:paraId="2B4B3588" w14:textId="77777777" w:rsidTr="00D93B08">
        <w:tc>
          <w:tcPr>
            <w:tcW w:w="5035" w:type="dxa"/>
            <w:shd w:val="clear" w:color="auto" w:fill="D9D9D9" w:themeFill="background1" w:themeFillShade="D9"/>
          </w:tcPr>
          <w:p w14:paraId="64AE3D8B" w14:textId="60A2F67E" w:rsidR="00D93B08" w:rsidRPr="00D93B08" w:rsidRDefault="00D93B08" w:rsidP="00D93B08">
            <w:pPr>
              <w:jc w:val="center"/>
              <w:rPr>
                <w:b/>
                <w:bCs/>
                <w:sz w:val="24"/>
                <w:szCs w:val="24"/>
              </w:rPr>
            </w:pPr>
            <w:r w:rsidRPr="00D93B08">
              <w:rPr>
                <w:b/>
                <w:bCs/>
                <w:sz w:val="24"/>
                <w:szCs w:val="24"/>
              </w:rPr>
              <w:t>Activity</w:t>
            </w:r>
          </w:p>
        </w:tc>
        <w:tc>
          <w:tcPr>
            <w:tcW w:w="7915" w:type="dxa"/>
            <w:shd w:val="clear" w:color="auto" w:fill="D9D9D9" w:themeFill="background1" w:themeFillShade="D9"/>
          </w:tcPr>
          <w:p w14:paraId="0B7BE6A0" w14:textId="2A5A2EAD" w:rsidR="00D93B08" w:rsidRPr="00D93B08" w:rsidRDefault="00D93B08" w:rsidP="00D93B08">
            <w:pPr>
              <w:jc w:val="center"/>
              <w:rPr>
                <w:b/>
                <w:bCs/>
                <w:sz w:val="24"/>
                <w:szCs w:val="24"/>
              </w:rPr>
            </w:pPr>
            <w:r>
              <w:rPr>
                <w:b/>
                <w:bCs/>
                <w:sz w:val="24"/>
                <w:szCs w:val="24"/>
              </w:rPr>
              <w:t>Narrative</w:t>
            </w:r>
          </w:p>
        </w:tc>
      </w:tr>
      <w:tr w:rsidR="00D93B08" w14:paraId="41FE552F" w14:textId="77777777" w:rsidTr="00B334CA">
        <w:tc>
          <w:tcPr>
            <w:tcW w:w="5035" w:type="dxa"/>
            <w:vAlign w:val="center"/>
          </w:tcPr>
          <w:p w14:paraId="7F517F17" w14:textId="2CF945DA" w:rsidR="00D93B08" w:rsidRPr="00D93B08" w:rsidRDefault="00D93B08" w:rsidP="00B334CA">
            <w:pPr>
              <w:rPr>
                <w:sz w:val="24"/>
                <w:szCs w:val="24"/>
              </w:rPr>
            </w:pPr>
            <w:r>
              <w:rPr>
                <w:sz w:val="24"/>
                <w:szCs w:val="24"/>
              </w:rPr>
              <w:t>Description of use of HRD funds</w:t>
            </w:r>
          </w:p>
        </w:tc>
        <w:tc>
          <w:tcPr>
            <w:tcW w:w="7915" w:type="dxa"/>
          </w:tcPr>
          <w:p w14:paraId="748589A4" w14:textId="5E10B0C9" w:rsidR="00D93B08" w:rsidRPr="00D93B08" w:rsidRDefault="00B334CA" w:rsidP="00A00F63">
            <w:pPr>
              <w:rPr>
                <w:sz w:val="24"/>
                <w:szCs w:val="24"/>
              </w:rPr>
            </w:pPr>
            <w:r>
              <w:rPr>
                <w:sz w:val="24"/>
                <w:szCs w:val="24"/>
              </w:rPr>
              <w:t xml:space="preserve">For budget period 2020, planned uses of HRD funding included: annual statewide conference, travel and lodging for National TB conference, travel and lodging for regional staff to attend the Program Managers course, travel and lodging for the TB ETN/PEN conference, and travel for one regional TB program staff to attend the Comprehensive Clinical Course hosted by the Southeastern National TB Center (SNTC).  </w:t>
            </w:r>
            <w:r w:rsidR="006673C1">
              <w:rPr>
                <w:sz w:val="24"/>
                <w:szCs w:val="24"/>
              </w:rPr>
              <w:t>The Tennessee TB program did not hold a statewide annual conference.  In addition, the National TB Conference was virtual, therefore no HRD funds were used for travel and lodging to this conference.  During 2020, one regional TB clinician attended the SNTC Comprehensive Clinical Course virtually (no funding was needed for travel and lodging).  HRD funds for budget period 2020 were used to purchase registration for the virtual National TB Conference ($1,075).  In addition, funds during this budget period were used for registration</w:t>
            </w:r>
            <w:r w:rsidR="00300B57">
              <w:rPr>
                <w:sz w:val="24"/>
                <w:szCs w:val="24"/>
              </w:rPr>
              <w:t xml:space="preserve"> ($750)</w:t>
            </w:r>
            <w:r w:rsidR="006673C1">
              <w:rPr>
                <w:sz w:val="24"/>
                <w:szCs w:val="24"/>
              </w:rPr>
              <w:t xml:space="preserve"> for the TB program medical director to attend The Union-North America Region (NAR) conference.  At the time of this report, no HRD budget period 2021 has been spent.</w:t>
            </w:r>
          </w:p>
        </w:tc>
      </w:tr>
      <w:tr w:rsidR="00D93B08" w14:paraId="325097AA" w14:textId="77777777" w:rsidTr="00B334CA">
        <w:tc>
          <w:tcPr>
            <w:tcW w:w="5035" w:type="dxa"/>
            <w:vAlign w:val="center"/>
          </w:tcPr>
          <w:p w14:paraId="5516C89C" w14:textId="5479DDF2" w:rsidR="00D93B08" w:rsidRPr="00D93B08" w:rsidRDefault="00D93B08" w:rsidP="00B334CA">
            <w:pPr>
              <w:rPr>
                <w:sz w:val="24"/>
                <w:szCs w:val="24"/>
              </w:rPr>
            </w:pPr>
            <w:r>
              <w:rPr>
                <w:sz w:val="24"/>
                <w:szCs w:val="24"/>
              </w:rPr>
              <w:t>Training courses provide</w:t>
            </w:r>
            <w:r w:rsidR="00A430AF">
              <w:rPr>
                <w:sz w:val="24"/>
                <w:szCs w:val="24"/>
              </w:rPr>
              <w:t>d</w:t>
            </w:r>
          </w:p>
        </w:tc>
        <w:tc>
          <w:tcPr>
            <w:tcW w:w="7915" w:type="dxa"/>
          </w:tcPr>
          <w:p w14:paraId="6E3E0A40" w14:textId="77777777" w:rsidR="008A1DC8" w:rsidRDefault="008A1DC8" w:rsidP="00A00F63">
            <w:pPr>
              <w:rPr>
                <w:sz w:val="24"/>
                <w:szCs w:val="24"/>
              </w:rPr>
            </w:pPr>
            <w:r>
              <w:rPr>
                <w:sz w:val="24"/>
                <w:szCs w:val="24"/>
              </w:rPr>
              <w:t>The Tennessee TB Elimination program held the following trainings:</w:t>
            </w:r>
          </w:p>
          <w:p w14:paraId="611080B8" w14:textId="5D1C1DA8" w:rsidR="00D93B08" w:rsidRDefault="008A1DC8" w:rsidP="00A00F63">
            <w:pPr>
              <w:rPr>
                <w:sz w:val="24"/>
                <w:szCs w:val="24"/>
              </w:rPr>
            </w:pPr>
            <w:r>
              <w:rPr>
                <w:sz w:val="24"/>
                <w:szCs w:val="24"/>
              </w:rPr>
              <w:t>2020:</w:t>
            </w:r>
          </w:p>
          <w:p w14:paraId="1AAA8FDF" w14:textId="0D4394D8" w:rsidR="008A1DC8" w:rsidRPr="008A1DC8" w:rsidRDefault="008A1DC8" w:rsidP="00114B41">
            <w:pPr>
              <w:pStyle w:val="ListParagraph"/>
              <w:numPr>
                <w:ilvl w:val="0"/>
                <w:numId w:val="7"/>
              </w:numPr>
              <w:rPr>
                <w:sz w:val="24"/>
                <w:szCs w:val="24"/>
              </w:rPr>
            </w:pPr>
            <w:r>
              <w:rPr>
                <w:sz w:val="24"/>
                <w:szCs w:val="24"/>
              </w:rPr>
              <w:t>NEDSS-based system (NBS) training for new TB staff</w:t>
            </w:r>
          </w:p>
          <w:p w14:paraId="634D0EE6" w14:textId="77777777" w:rsidR="008A1DC8" w:rsidRDefault="008A1DC8" w:rsidP="00A00F63">
            <w:pPr>
              <w:rPr>
                <w:sz w:val="24"/>
                <w:szCs w:val="24"/>
              </w:rPr>
            </w:pPr>
            <w:r>
              <w:rPr>
                <w:sz w:val="24"/>
                <w:szCs w:val="24"/>
              </w:rPr>
              <w:t>2021:</w:t>
            </w:r>
          </w:p>
          <w:p w14:paraId="79DCEB01" w14:textId="77777777" w:rsidR="008A1DC8" w:rsidRDefault="008A1DC8" w:rsidP="00114B41">
            <w:pPr>
              <w:pStyle w:val="ListParagraph"/>
              <w:numPr>
                <w:ilvl w:val="0"/>
                <w:numId w:val="7"/>
              </w:numPr>
              <w:rPr>
                <w:sz w:val="24"/>
                <w:szCs w:val="24"/>
              </w:rPr>
            </w:pPr>
            <w:r>
              <w:rPr>
                <w:sz w:val="24"/>
                <w:szCs w:val="24"/>
              </w:rPr>
              <w:t>New ARPE form training for regional TB staff</w:t>
            </w:r>
          </w:p>
          <w:p w14:paraId="76E53EFD" w14:textId="77777777" w:rsidR="008A1DC8" w:rsidRDefault="008A1DC8" w:rsidP="00114B41">
            <w:pPr>
              <w:pStyle w:val="ListParagraph"/>
              <w:numPr>
                <w:ilvl w:val="0"/>
                <w:numId w:val="7"/>
              </w:numPr>
              <w:rPr>
                <w:sz w:val="24"/>
                <w:szCs w:val="24"/>
              </w:rPr>
            </w:pPr>
            <w:r>
              <w:rPr>
                <w:sz w:val="24"/>
                <w:szCs w:val="24"/>
              </w:rPr>
              <w:t>New TB case manager training</w:t>
            </w:r>
          </w:p>
          <w:p w14:paraId="661AEF06" w14:textId="07833477" w:rsidR="008A1DC8" w:rsidRPr="008A1DC8" w:rsidRDefault="008A1DC8" w:rsidP="00114B41">
            <w:pPr>
              <w:pStyle w:val="ListParagraph"/>
              <w:numPr>
                <w:ilvl w:val="0"/>
                <w:numId w:val="7"/>
              </w:numPr>
              <w:rPr>
                <w:sz w:val="24"/>
                <w:szCs w:val="24"/>
              </w:rPr>
            </w:pPr>
            <w:r>
              <w:rPr>
                <w:sz w:val="24"/>
                <w:szCs w:val="24"/>
              </w:rPr>
              <w:t>ARPE training for Ohio TB program staff</w:t>
            </w:r>
          </w:p>
        </w:tc>
      </w:tr>
      <w:tr w:rsidR="00D93B08" w14:paraId="7A366F44" w14:textId="77777777" w:rsidTr="00B334CA">
        <w:tc>
          <w:tcPr>
            <w:tcW w:w="5035" w:type="dxa"/>
            <w:vAlign w:val="center"/>
          </w:tcPr>
          <w:p w14:paraId="58D73078" w14:textId="27C69B1D" w:rsidR="00D93B08" w:rsidRPr="00D93B08" w:rsidRDefault="00D93B08" w:rsidP="00B334CA">
            <w:pPr>
              <w:rPr>
                <w:sz w:val="24"/>
                <w:szCs w:val="24"/>
              </w:rPr>
            </w:pPr>
            <w:r>
              <w:rPr>
                <w:sz w:val="24"/>
                <w:szCs w:val="24"/>
              </w:rPr>
              <w:t>Training courses attended</w:t>
            </w:r>
          </w:p>
        </w:tc>
        <w:tc>
          <w:tcPr>
            <w:tcW w:w="7915" w:type="dxa"/>
          </w:tcPr>
          <w:p w14:paraId="16A43740" w14:textId="77777777" w:rsidR="00D93B08" w:rsidRDefault="00A430AF" w:rsidP="00A00F63">
            <w:pPr>
              <w:rPr>
                <w:sz w:val="24"/>
                <w:szCs w:val="24"/>
              </w:rPr>
            </w:pPr>
            <w:r>
              <w:rPr>
                <w:sz w:val="24"/>
                <w:szCs w:val="24"/>
              </w:rPr>
              <w:t>2020: 30 training events were attended by 91 state and regional TB staff</w:t>
            </w:r>
          </w:p>
          <w:p w14:paraId="526B5205" w14:textId="2D690F49" w:rsidR="00A430AF" w:rsidRPr="00D93B08" w:rsidRDefault="00A430AF" w:rsidP="00A00F63">
            <w:pPr>
              <w:rPr>
                <w:sz w:val="24"/>
                <w:szCs w:val="24"/>
              </w:rPr>
            </w:pPr>
            <w:r>
              <w:rPr>
                <w:sz w:val="24"/>
                <w:szCs w:val="24"/>
              </w:rPr>
              <w:t xml:space="preserve">2021: </w:t>
            </w:r>
            <w:r w:rsidR="009E631F">
              <w:rPr>
                <w:sz w:val="24"/>
                <w:szCs w:val="24"/>
              </w:rPr>
              <w:t>21 training events were attended by 124 state and regional TB staff</w:t>
            </w:r>
          </w:p>
        </w:tc>
      </w:tr>
      <w:tr w:rsidR="00D93B08" w14:paraId="39C7DD2E" w14:textId="77777777" w:rsidTr="00B334CA">
        <w:tc>
          <w:tcPr>
            <w:tcW w:w="5035" w:type="dxa"/>
            <w:vAlign w:val="center"/>
          </w:tcPr>
          <w:p w14:paraId="155781A9" w14:textId="0F651846" w:rsidR="00D93B08" w:rsidRPr="00D93B08" w:rsidRDefault="00D93B08" w:rsidP="00B334CA">
            <w:pPr>
              <w:rPr>
                <w:sz w:val="24"/>
                <w:szCs w:val="24"/>
              </w:rPr>
            </w:pPr>
            <w:r>
              <w:rPr>
                <w:sz w:val="24"/>
                <w:szCs w:val="24"/>
              </w:rPr>
              <w:t>Educational resources purchased or leased</w:t>
            </w:r>
          </w:p>
        </w:tc>
        <w:tc>
          <w:tcPr>
            <w:tcW w:w="7915" w:type="dxa"/>
          </w:tcPr>
          <w:p w14:paraId="5915F0E8" w14:textId="2874B234" w:rsidR="00D93B08" w:rsidRPr="00D93B08" w:rsidRDefault="009E631F" w:rsidP="00A00F63">
            <w:pPr>
              <w:rPr>
                <w:sz w:val="24"/>
                <w:szCs w:val="24"/>
              </w:rPr>
            </w:pPr>
            <w:r>
              <w:rPr>
                <w:sz w:val="24"/>
                <w:szCs w:val="24"/>
              </w:rPr>
              <w:t xml:space="preserve">Seventh Edition 2021 “Core Curriculum on Tuberculosis: What the Clinician Should Know” manuals were ordered free of charge and provided to each regional TB program and central office staff; “Radiographic Manifestations of </w:t>
            </w:r>
            <w:r>
              <w:rPr>
                <w:sz w:val="24"/>
                <w:szCs w:val="24"/>
              </w:rPr>
              <w:lastRenderedPageBreak/>
              <w:t>Tuberculosis” 2</w:t>
            </w:r>
            <w:r w:rsidRPr="009E631F">
              <w:rPr>
                <w:sz w:val="24"/>
                <w:szCs w:val="24"/>
                <w:vertAlign w:val="superscript"/>
              </w:rPr>
              <w:t>nd</w:t>
            </w:r>
            <w:r>
              <w:rPr>
                <w:sz w:val="24"/>
                <w:szCs w:val="24"/>
              </w:rPr>
              <w:t xml:space="preserve"> edition from Curry International Center (free of charge) were ordered and sent to each regional TB program.  </w:t>
            </w:r>
          </w:p>
        </w:tc>
      </w:tr>
      <w:tr w:rsidR="00D93B08" w14:paraId="2556E8C5" w14:textId="77777777" w:rsidTr="00B334CA">
        <w:tc>
          <w:tcPr>
            <w:tcW w:w="5035" w:type="dxa"/>
            <w:vAlign w:val="center"/>
          </w:tcPr>
          <w:p w14:paraId="6E5DDCE8" w14:textId="28B4B04C" w:rsidR="00D93B08" w:rsidRDefault="00D93B08" w:rsidP="00B334CA">
            <w:pPr>
              <w:rPr>
                <w:sz w:val="24"/>
                <w:szCs w:val="24"/>
              </w:rPr>
            </w:pPr>
            <w:r>
              <w:rPr>
                <w:sz w:val="24"/>
                <w:szCs w:val="24"/>
              </w:rPr>
              <w:lastRenderedPageBreak/>
              <w:t>Educational materials developed</w:t>
            </w:r>
          </w:p>
        </w:tc>
        <w:tc>
          <w:tcPr>
            <w:tcW w:w="7915" w:type="dxa"/>
          </w:tcPr>
          <w:p w14:paraId="21F0937D" w14:textId="552C33E7" w:rsidR="00D93B08" w:rsidRPr="00CF2E39" w:rsidRDefault="00CF2E39" w:rsidP="00114B41">
            <w:pPr>
              <w:pStyle w:val="ListParagraph"/>
              <w:numPr>
                <w:ilvl w:val="0"/>
                <w:numId w:val="3"/>
              </w:numPr>
              <w:ind w:left="346"/>
              <w:rPr>
                <w:sz w:val="24"/>
                <w:szCs w:val="24"/>
              </w:rPr>
            </w:pPr>
            <w:r>
              <w:rPr>
                <w:sz w:val="24"/>
                <w:szCs w:val="24"/>
              </w:rPr>
              <w:t>Tennessee TB Elimination Program emocha</w:t>
            </w:r>
            <w:r>
              <w:rPr>
                <w:rFonts w:cstheme="minorHAnsi"/>
                <w:sz w:val="24"/>
                <w:szCs w:val="24"/>
                <w:vertAlign w:val="superscript"/>
              </w:rPr>
              <w:t>®</w:t>
            </w:r>
            <w:r>
              <w:rPr>
                <w:sz w:val="24"/>
                <w:szCs w:val="24"/>
              </w:rPr>
              <w:t xml:space="preserve"> User Guide </w:t>
            </w:r>
          </w:p>
        </w:tc>
      </w:tr>
      <w:tr w:rsidR="00D93B08" w14:paraId="78B7243D" w14:textId="77777777" w:rsidTr="00B334CA">
        <w:tc>
          <w:tcPr>
            <w:tcW w:w="5035" w:type="dxa"/>
            <w:vAlign w:val="center"/>
          </w:tcPr>
          <w:p w14:paraId="5F21B24E" w14:textId="6F7F0DC3" w:rsidR="00D93B08" w:rsidRDefault="00D93B08" w:rsidP="00B334CA">
            <w:pPr>
              <w:rPr>
                <w:sz w:val="24"/>
                <w:szCs w:val="24"/>
              </w:rPr>
            </w:pPr>
            <w:r>
              <w:rPr>
                <w:sz w:val="24"/>
                <w:szCs w:val="24"/>
              </w:rPr>
              <w:t>Description of collaboration with partners, such as those serving high-risk populations</w:t>
            </w:r>
          </w:p>
        </w:tc>
        <w:tc>
          <w:tcPr>
            <w:tcW w:w="7915" w:type="dxa"/>
          </w:tcPr>
          <w:p w14:paraId="2AC23D51" w14:textId="77777777" w:rsidR="00D93B08" w:rsidRPr="00D93B08" w:rsidRDefault="00D93B08" w:rsidP="00A00F63">
            <w:pPr>
              <w:rPr>
                <w:sz w:val="24"/>
                <w:szCs w:val="24"/>
              </w:rPr>
            </w:pPr>
          </w:p>
        </w:tc>
      </w:tr>
      <w:tr w:rsidR="00D93B08" w14:paraId="1F82EE92" w14:textId="77777777" w:rsidTr="00B334CA">
        <w:tc>
          <w:tcPr>
            <w:tcW w:w="5035" w:type="dxa"/>
            <w:vAlign w:val="center"/>
          </w:tcPr>
          <w:p w14:paraId="68ADDDEE" w14:textId="40E9E170" w:rsidR="00D93B08" w:rsidRDefault="00D93B08" w:rsidP="00B334CA">
            <w:pPr>
              <w:rPr>
                <w:sz w:val="24"/>
                <w:szCs w:val="24"/>
              </w:rPr>
            </w:pPr>
            <w:r>
              <w:rPr>
                <w:sz w:val="24"/>
                <w:szCs w:val="24"/>
              </w:rPr>
              <w:t>Attendance at TB ETN conference and focal point meeting</w:t>
            </w:r>
          </w:p>
        </w:tc>
        <w:tc>
          <w:tcPr>
            <w:tcW w:w="7915" w:type="dxa"/>
          </w:tcPr>
          <w:p w14:paraId="7127D0D2" w14:textId="327C39B0" w:rsidR="00D93B08" w:rsidRPr="00D93B08" w:rsidRDefault="008A1DC8" w:rsidP="00A00F63">
            <w:pPr>
              <w:rPr>
                <w:sz w:val="24"/>
                <w:szCs w:val="24"/>
              </w:rPr>
            </w:pPr>
            <w:r>
              <w:rPr>
                <w:sz w:val="24"/>
                <w:szCs w:val="24"/>
              </w:rPr>
              <w:t>There was no TB ETN conference held during 2020.</w:t>
            </w:r>
          </w:p>
        </w:tc>
      </w:tr>
      <w:tr w:rsidR="00D93B08" w14:paraId="6691888C" w14:textId="77777777" w:rsidTr="00B334CA">
        <w:tc>
          <w:tcPr>
            <w:tcW w:w="5035" w:type="dxa"/>
            <w:vAlign w:val="center"/>
          </w:tcPr>
          <w:p w14:paraId="7BA26642" w14:textId="7AEBE53B" w:rsidR="00D93B08" w:rsidRDefault="00D93B08" w:rsidP="00B334CA">
            <w:pPr>
              <w:rPr>
                <w:sz w:val="24"/>
                <w:szCs w:val="24"/>
              </w:rPr>
            </w:pPr>
            <w:r>
              <w:rPr>
                <w:sz w:val="24"/>
                <w:szCs w:val="24"/>
              </w:rPr>
              <w:t>Salary for training and education personnel</w:t>
            </w:r>
          </w:p>
        </w:tc>
        <w:tc>
          <w:tcPr>
            <w:tcW w:w="7915" w:type="dxa"/>
          </w:tcPr>
          <w:p w14:paraId="2039DAF4" w14:textId="4FCA339D" w:rsidR="00D93B08" w:rsidRPr="00D93B08" w:rsidRDefault="006673C1" w:rsidP="00A00F63">
            <w:pPr>
              <w:rPr>
                <w:sz w:val="24"/>
                <w:szCs w:val="24"/>
              </w:rPr>
            </w:pPr>
            <w:r>
              <w:rPr>
                <w:sz w:val="24"/>
                <w:szCs w:val="24"/>
              </w:rPr>
              <w:t>The salary for the Tennessee TB Elimination Program’s Education and Training focal point is supported by state funding</w:t>
            </w:r>
          </w:p>
        </w:tc>
      </w:tr>
    </w:tbl>
    <w:p w14:paraId="157E9DB9" w14:textId="10648AAF" w:rsidR="00D93B08" w:rsidRDefault="00D93B08" w:rsidP="00A00F63">
      <w:pPr>
        <w:spacing w:after="0" w:line="240" w:lineRule="auto"/>
        <w:rPr>
          <w:sz w:val="24"/>
          <w:szCs w:val="24"/>
          <w:u w:val="single"/>
        </w:rPr>
      </w:pPr>
    </w:p>
    <w:p w14:paraId="7C29133E" w14:textId="4EB21CEB" w:rsidR="00DB3CAD" w:rsidRDefault="00DB3CAD" w:rsidP="00A00F63">
      <w:pPr>
        <w:spacing w:after="0" w:line="240" w:lineRule="auto"/>
        <w:rPr>
          <w:sz w:val="24"/>
          <w:szCs w:val="24"/>
          <w:u w:val="single"/>
        </w:rPr>
      </w:pPr>
      <w:r>
        <w:rPr>
          <w:sz w:val="24"/>
          <w:szCs w:val="24"/>
          <w:u w:val="single"/>
        </w:rPr>
        <w:t>HRD Work Plan</w:t>
      </w:r>
    </w:p>
    <w:p w14:paraId="220C3AAA" w14:textId="2A58FA5F" w:rsidR="00DB3CAD" w:rsidRDefault="00DB3CAD" w:rsidP="00A00F63">
      <w:pPr>
        <w:spacing w:after="0" w:line="240" w:lineRule="auto"/>
        <w:rPr>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DB3CAD" w14:paraId="7A0D4A29" w14:textId="77777777" w:rsidTr="00DB3CAD">
        <w:tc>
          <w:tcPr>
            <w:tcW w:w="12950" w:type="dxa"/>
            <w:gridSpan w:val="5"/>
            <w:shd w:val="clear" w:color="auto" w:fill="D9D9D9" w:themeFill="background1" w:themeFillShade="D9"/>
          </w:tcPr>
          <w:p w14:paraId="3B886166" w14:textId="46A8557B" w:rsidR="00DB3CAD" w:rsidRPr="00DB3CAD" w:rsidRDefault="00DB3CAD" w:rsidP="00A00F63">
            <w:pPr>
              <w:rPr>
                <w:b/>
                <w:bCs/>
                <w:sz w:val="24"/>
                <w:szCs w:val="24"/>
              </w:rPr>
            </w:pPr>
            <w:r>
              <w:rPr>
                <w:b/>
                <w:bCs/>
                <w:sz w:val="24"/>
                <w:szCs w:val="24"/>
              </w:rPr>
              <w:t xml:space="preserve">Strategy </w:t>
            </w:r>
            <w:r w:rsidR="00AA1AA9">
              <w:rPr>
                <w:b/>
                <w:bCs/>
                <w:sz w:val="24"/>
                <w:szCs w:val="24"/>
              </w:rPr>
              <w:t>5</w:t>
            </w:r>
            <w:r>
              <w:rPr>
                <w:b/>
                <w:bCs/>
                <w:sz w:val="24"/>
                <w:szCs w:val="24"/>
              </w:rPr>
              <w:t>: Human Resource Development (HRD)</w:t>
            </w:r>
          </w:p>
        </w:tc>
      </w:tr>
      <w:tr w:rsidR="00DB3CAD" w14:paraId="58CF1905" w14:textId="77777777" w:rsidTr="00DB3CAD">
        <w:tc>
          <w:tcPr>
            <w:tcW w:w="5180" w:type="dxa"/>
            <w:gridSpan w:val="2"/>
            <w:shd w:val="clear" w:color="auto" w:fill="F2F2F2" w:themeFill="background1" w:themeFillShade="F2"/>
            <w:vAlign w:val="center"/>
          </w:tcPr>
          <w:p w14:paraId="2337F462" w14:textId="0109DDE7" w:rsidR="00DB3CAD" w:rsidRPr="00DB3CAD" w:rsidRDefault="00DB3CAD" w:rsidP="00DB3CAD">
            <w:pPr>
              <w:jc w:val="center"/>
              <w:rPr>
                <w:b/>
                <w:bCs/>
                <w:sz w:val="24"/>
                <w:szCs w:val="24"/>
              </w:rPr>
            </w:pPr>
            <w:r>
              <w:rPr>
                <w:b/>
                <w:bCs/>
                <w:sz w:val="24"/>
                <w:szCs w:val="24"/>
              </w:rPr>
              <w:t>Related Outcomes</w:t>
            </w:r>
          </w:p>
        </w:tc>
        <w:tc>
          <w:tcPr>
            <w:tcW w:w="7770" w:type="dxa"/>
            <w:gridSpan w:val="3"/>
            <w:shd w:val="clear" w:color="auto" w:fill="F2F2F2" w:themeFill="background1" w:themeFillShade="F2"/>
            <w:vAlign w:val="center"/>
          </w:tcPr>
          <w:p w14:paraId="6B3E8707" w14:textId="3D108057" w:rsidR="00DB3CAD" w:rsidRPr="00DB3CAD" w:rsidRDefault="00DB3CAD" w:rsidP="00DB3CAD">
            <w:pPr>
              <w:jc w:val="center"/>
              <w:rPr>
                <w:b/>
                <w:bCs/>
                <w:sz w:val="24"/>
                <w:szCs w:val="24"/>
              </w:rPr>
            </w:pPr>
            <w:r>
              <w:rPr>
                <w:b/>
                <w:bCs/>
                <w:sz w:val="24"/>
                <w:szCs w:val="24"/>
              </w:rPr>
              <w:t>Measures of Success</w:t>
            </w:r>
          </w:p>
        </w:tc>
      </w:tr>
      <w:tr w:rsidR="00DB3CAD" w14:paraId="51F34C86" w14:textId="77777777" w:rsidTr="00DB3CAD">
        <w:tc>
          <w:tcPr>
            <w:tcW w:w="5180" w:type="dxa"/>
            <w:gridSpan w:val="2"/>
          </w:tcPr>
          <w:p w14:paraId="3A243CFB" w14:textId="1D437C50" w:rsidR="00DB3CAD" w:rsidRPr="00DB3CAD" w:rsidRDefault="00DB3CAD" w:rsidP="00A00F63">
            <w:pPr>
              <w:rPr>
                <w:sz w:val="24"/>
                <w:szCs w:val="24"/>
              </w:rPr>
            </w:pPr>
            <w:r>
              <w:rPr>
                <w:sz w:val="24"/>
                <w:szCs w:val="24"/>
                <w:u w:val="single"/>
              </w:rPr>
              <w:t>Increase</w:t>
            </w:r>
            <w:r>
              <w:rPr>
                <w:sz w:val="24"/>
                <w:szCs w:val="24"/>
              </w:rPr>
              <w:t xml:space="preserve"> in: (1) availability/accessibility of competency-based education; (2) awareness and use of HRD resources; (3) awareness of TB among patients, providers, and community; (4) capacity to diagnose/treat high-risk populations with TB infection (TBI)</w:t>
            </w:r>
          </w:p>
        </w:tc>
        <w:tc>
          <w:tcPr>
            <w:tcW w:w="7770" w:type="dxa"/>
            <w:gridSpan w:val="3"/>
            <w:vAlign w:val="center"/>
          </w:tcPr>
          <w:p w14:paraId="2CCBA89A" w14:textId="77777777" w:rsidR="00DB3CAD" w:rsidRDefault="00DB3CAD" w:rsidP="00114B41">
            <w:pPr>
              <w:pStyle w:val="ListParagraph"/>
              <w:numPr>
                <w:ilvl w:val="0"/>
                <w:numId w:val="8"/>
              </w:numPr>
              <w:ind w:left="376"/>
              <w:rPr>
                <w:sz w:val="24"/>
                <w:szCs w:val="24"/>
              </w:rPr>
            </w:pPr>
            <w:r>
              <w:rPr>
                <w:sz w:val="24"/>
                <w:szCs w:val="24"/>
              </w:rPr>
              <w:t>Number of training sessions held</w:t>
            </w:r>
          </w:p>
          <w:p w14:paraId="1C21A63E" w14:textId="76635F88" w:rsidR="00DB3CAD" w:rsidRPr="00DB3CAD" w:rsidRDefault="00DB3CAD" w:rsidP="00114B41">
            <w:pPr>
              <w:pStyle w:val="ListParagraph"/>
              <w:numPr>
                <w:ilvl w:val="0"/>
                <w:numId w:val="8"/>
              </w:numPr>
              <w:ind w:left="376"/>
              <w:rPr>
                <w:sz w:val="24"/>
                <w:szCs w:val="24"/>
              </w:rPr>
            </w:pPr>
            <w:r>
              <w:rPr>
                <w:sz w:val="24"/>
                <w:szCs w:val="24"/>
              </w:rPr>
              <w:t>Number of trainings attended</w:t>
            </w:r>
          </w:p>
        </w:tc>
      </w:tr>
      <w:tr w:rsidR="00DB3CAD" w14:paraId="33E6B554" w14:textId="77777777" w:rsidTr="006E0132">
        <w:tc>
          <w:tcPr>
            <w:tcW w:w="2590" w:type="dxa"/>
            <w:shd w:val="clear" w:color="auto" w:fill="F2F2F2" w:themeFill="background1" w:themeFillShade="F2"/>
            <w:vAlign w:val="center"/>
          </w:tcPr>
          <w:p w14:paraId="7DCB8CC3" w14:textId="32EAC7E8" w:rsidR="00DB3CAD" w:rsidRPr="006E0132" w:rsidRDefault="006E0132" w:rsidP="006E0132">
            <w:pPr>
              <w:jc w:val="center"/>
              <w:rPr>
                <w:b/>
                <w:bCs/>
                <w:sz w:val="24"/>
                <w:szCs w:val="24"/>
              </w:rPr>
            </w:pPr>
            <w:r>
              <w:rPr>
                <w:b/>
                <w:bCs/>
                <w:sz w:val="24"/>
                <w:szCs w:val="24"/>
              </w:rPr>
              <w:t>Objectives</w:t>
            </w:r>
          </w:p>
        </w:tc>
        <w:tc>
          <w:tcPr>
            <w:tcW w:w="2590" w:type="dxa"/>
            <w:shd w:val="clear" w:color="auto" w:fill="F2F2F2" w:themeFill="background1" w:themeFillShade="F2"/>
            <w:vAlign w:val="center"/>
          </w:tcPr>
          <w:p w14:paraId="04E41E1D" w14:textId="7E56FE30" w:rsidR="00DB3CAD" w:rsidRPr="006E0132" w:rsidRDefault="006E0132" w:rsidP="006E0132">
            <w:pPr>
              <w:jc w:val="center"/>
              <w:rPr>
                <w:b/>
                <w:bCs/>
                <w:sz w:val="24"/>
                <w:szCs w:val="24"/>
              </w:rPr>
            </w:pPr>
            <w:r>
              <w:rPr>
                <w:b/>
                <w:bCs/>
                <w:sz w:val="24"/>
                <w:szCs w:val="24"/>
              </w:rPr>
              <w:t>Activities</w:t>
            </w:r>
          </w:p>
        </w:tc>
        <w:tc>
          <w:tcPr>
            <w:tcW w:w="2590" w:type="dxa"/>
            <w:shd w:val="clear" w:color="auto" w:fill="F2F2F2" w:themeFill="background1" w:themeFillShade="F2"/>
            <w:vAlign w:val="center"/>
          </w:tcPr>
          <w:p w14:paraId="3E63E905" w14:textId="4E46A7CD" w:rsidR="00DB3CAD" w:rsidRPr="006E0132" w:rsidRDefault="006E0132" w:rsidP="006E0132">
            <w:pPr>
              <w:jc w:val="center"/>
              <w:rPr>
                <w:b/>
                <w:bCs/>
                <w:sz w:val="24"/>
                <w:szCs w:val="24"/>
              </w:rPr>
            </w:pPr>
            <w:r>
              <w:rPr>
                <w:b/>
                <w:bCs/>
                <w:sz w:val="24"/>
                <w:szCs w:val="24"/>
              </w:rPr>
              <w:t>Timeline</w:t>
            </w:r>
          </w:p>
        </w:tc>
        <w:tc>
          <w:tcPr>
            <w:tcW w:w="2590" w:type="dxa"/>
            <w:shd w:val="clear" w:color="auto" w:fill="F2F2F2" w:themeFill="background1" w:themeFillShade="F2"/>
            <w:vAlign w:val="center"/>
          </w:tcPr>
          <w:p w14:paraId="19EF3E49" w14:textId="39D789B0" w:rsidR="00DB3CAD" w:rsidRPr="006E0132" w:rsidRDefault="006E0132" w:rsidP="006E0132">
            <w:pPr>
              <w:jc w:val="center"/>
              <w:rPr>
                <w:b/>
                <w:bCs/>
                <w:sz w:val="24"/>
                <w:szCs w:val="24"/>
              </w:rPr>
            </w:pPr>
            <w:r>
              <w:rPr>
                <w:b/>
                <w:bCs/>
                <w:sz w:val="24"/>
                <w:szCs w:val="24"/>
              </w:rPr>
              <w:t>Successes</w:t>
            </w:r>
          </w:p>
        </w:tc>
        <w:tc>
          <w:tcPr>
            <w:tcW w:w="2590" w:type="dxa"/>
            <w:shd w:val="clear" w:color="auto" w:fill="F2F2F2" w:themeFill="background1" w:themeFillShade="F2"/>
            <w:vAlign w:val="center"/>
          </w:tcPr>
          <w:p w14:paraId="0A35255A" w14:textId="380213B2" w:rsidR="00DB3CAD" w:rsidRPr="006E0132" w:rsidRDefault="006E0132" w:rsidP="006E0132">
            <w:pPr>
              <w:jc w:val="center"/>
              <w:rPr>
                <w:b/>
                <w:bCs/>
                <w:sz w:val="24"/>
                <w:szCs w:val="24"/>
              </w:rPr>
            </w:pPr>
            <w:r>
              <w:rPr>
                <w:b/>
                <w:bCs/>
                <w:sz w:val="24"/>
                <w:szCs w:val="24"/>
              </w:rPr>
              <w:t>Barriers</w:t>
            </w:r>
          </w:p>
        </w:tc>
      </w:tr>
      <w:tr w:rsidR="00DB3CAD" w14:paraId="40F66F17" w14:textId="77777777" w:rsidTr="006E0132">
        <w:tc>
          <w:tcPr>
            <w:tcW w:w="2590" w:type="dxa"/>
            <w:vAlign w:val="center"/>
          </w:tcPr>
          <w:p w14:paraId="34C723DE" w14:textId="6897B4E0" w:rsidR="00DB3CAD" w:rsidRDefault="006E0132" w:rsidP="006E0132">
            <w:pPr>
              <w:rPr>
                <w:sz w:val="24"/>
                <w:szCs w:val="24"/>
              </w:rPr>
            </w:pPr>
            <w:r>
              <w:rPr>
                <w:sz w:val="24"/>
                <w:szCs w:val="24"/>
              </w:rPr>
              <w:t>Designate a staff member to serve as TB education and training focal point</w:t>
            </w:r>
          </w:p>
        </w:tc>
        <w:tc>
          <w:tcPr>
            <w:tcW w:w="2590" w:type="dxa"/>
          </w:tcPr>
          <w:p w14:paraId="56B7D902" w14:textId="2A5AD571" w:rsidR="00DB3CAD" w:rsidRPr="006E0132" w:rsidRDefault="006E0132" w:rsidP="00A00F63">
            <w:pPr>
              <w:rPr>
                <w:sz w:val="24"/>
                <w:szCs w:val="24"/>
              </w:rPr>
            </w:pPr>
            <w:r>
              <w:rPr>
                <w:sz w:val="24"/>
                <w:szCs w:val="24"/>
              </w:rPr>
              <w:t>Identify staff member to serve as TB education and training focal point.  Include education and training activities in staff’s individual performance plan (IPP)</w:t>
            </w:r>
            <w:r w:rsidR="00D70204">
              <w:rPr>
                <w:sz w:val="24"/>
                <w:szCs w:val="24"/>
              </w:rPr>
              <w:t xml:space="preserve"> with focused action steps</w:t>
            </w:r>
            <w:r>
              <w:rPr>
                <w:sz w:val="24"/>
                <w:szCs w:val="24"/>
              </w:rPr>
              <w:t xml:space="preserve"> </w:t>
            </w:r>
            <w:r w:rsidRPr="006E0132">
              <w:rPr>
                <w:b/>
                <w:bCs/>
                <w:sz w:val="24"/>
                <w:szCs w:val="24"/>
              </w:rPr>
              <w:t>(new)</w:t>
            </w:r>
          </w:p>
        </w:tc>
        <w:tc>
          <w:tcPr>
            <w:tcW w:w="2590" w:type="dxa"/>
            <w:vAlign w:val="center"/>
          </w:tcPr>
          <w:p w14:paraId="660D0800" w14:textId="2724E8BC" w:rsidR="00DB3CAD" w:rsidRDefault="006E0132" w:rsidP="006E0132">
            <w:pPr>
              <w:jc w:val="center"/>
              <w:rPr>
                <w:sz w:val="24"/>
                <w:szCs w:val="24"/>
              </w:rPr>
            </w:pPr>
            <w:r>
              <w:rPr>
                <w:sz w:val="24"/>
                <w:szCs w:val="24"/>
              </w:rPr>
              <w:t>Annually</w:t>
            </w:r>
          </w:p>
        </w:tc>
        <w:tc>
          <w:tcPr>
            <w:tcW w:w="2590" w:type="dxa"/>
          </w:tcPr>
          <w:p w14:paraId="1CF8E5E2" w14:textId="1FE2428E" w:rsidR="00DB3CAD" w:rsidRDefault="006E0132" w:rsidP="00A00F63">
            <w:pPr>
              <w:rPr>
                <w:sz w:val="24"/>
                <w:szCs w:val="24"/>
              </w:rPr>
            </w:pPr>
            <w:r>
              <w:rPr>
                <w:sz w:val="24"/>
                <w:szCs w:val="24"/>
              </w:rPr>
              <w:t xml:space="preserve">Trudy Stein-Hart, epidemiologist, has served in the role of TB education and training focal point for the TB program for several years.  A work outcome statement has been added to Trudy Stein-Hart’s IPP stating, </w:t>
            </w:r>
            <w:r>
              <w:rPr>
                <w:sz w:val="24"/>
                <w:szCs w:val="24"/>
              </w:rPr>
              <w:lastRenderedPageBreak/>
              <w:t>“Serve as the Education and Training Network (ETN) focal point as required by the Centers for Disease Control and Prevention (CDC) Division of TB Elimination (DTBE) Cooperative Agreement.</w:t>
            </w:r>
          </w:p>
        </w:tc>
        <w:tc>
          <w:tcPr>
            <w:tcW w:w="2590" w:type="dxa"/>
          </w:tcPr>
          <w:p w14:paraId="1397C893" w14:textId="2066CB1F" w:rsidR="00DB3CAD" w:rsidRDefault="006E0132" w:rsidP="00A00F63">
            <w:pPr>
              <w:rPr>
                <w:sz w:val="24"/>
                <w:szCs w:val="24"/>
              </w:rPr>
            </w:pPr>
            <w:r>
              <w:rPr>
                <w:sz w:val="24"/>
                <w:szCs w:val="24"/>
              </w:rPr>
              <w:lastRenderedPageBreak/>
              <w:t xml:space="preserve">Due to COVID-19 and several training and education opportunities that were planned by the TB program and would have involved extensive work for the education and training focal point were cancelled. </w:t>
            </w:r>
          </w:p>
        </w:tc>
      </w:tr>
      <w:tr w:rsidR="00DF44C0" w14:paraId="410240B8" w14:textId="77777777" w:rsidTr="00AA598C">
        <w:tc>
          <w:tcPr>
            <w:tcW w:w="2590" w:type="dxa"/>
            <w:vAlign w:val="center"/>
          </w:tcPr>
          <w:p w14:paraId="354B6E9A" w14:textId="1B891F4B" w:rsidR="00DF44C0" w:rsidRDefault="00DF44C0" w:rsidP="006E0132">
            <w:pPr>
              <w:rPr>
                <w:sz w:val="24"/>
                <w:szCs w:val="24"/>
              </w:rPr>
            </w:pPr>
            <w:r>
              <w:rPr>
                <w:sz w:val="24"/>
                <w:szCs w:val="24"/>
              </w:rPr>
              <w:t>Register focal point as a member of TB Education and Training Network (TB ETN)</w:t>
            </w:r>
          </w:p>
        </w:tc>
        <w:tc>
          <w:tcPr>
            <w:tcW w:w="2590" w:type="dxa"/>
            <w:vAlign w:val="center"/>
          </w:tcPr>
          <w:p w14:paraId="29DED9D2" w14:textId="4224D2FF" w:rsidR="00DF44C0" w:rsidRDefault="00AA598C" w:rsidP="00AA598C">
            <w:pPr>
              <w:rPr>
                <w:sz w:val="24"/>
                <w:szCs w:val="24"/>
              </w:rPr>
            </w:pPr>
            <w:r>
              <w:rPr>
                <w:sz w:val="24"/>
                <w:szCs w:val="24"/>
              </w:rPr>
              <w:t>TB ETN membership form completed and returned to CDC</w:t>
            </w:r>
          </w:p>
        </w:tc>
        <w:tc>
          <w:tcPr>
            <w:tcW w:w="2590" w:type="dxa"/>
            <w:vAlign w:val="center"/>
          </w:tcPr>
          <w:p w14:paraId="655718E4" w14:textId="7883458F" w:rsidR="00DF44C0" w:rsidRDefault="00AA598C" w:rsidP="006E0132">
            <w:pPr>
              <w:jc w:val="center"/>
              <w:rPr>
                <w:sz w:val="24"/>
                <w:szCs w:val="24"/>
              </w:rPr>
            </w:pPr>
            <w:r>
              <w:rPr>
                <w:sz w:val="24"/>
                <w:szCs w:val="24"/>
              </w:rPr>
              <w:t>Annually</w:t>
            </w:r>
          </w:p>
        </w:tc>
        <w:tc>
          <w:tcPr>
            <w:tcW w:w="2590" w:type="dxa"/>
            <w:vAlign w:val="center"/>
          </w:tcPr>
          <w:p w14:paraId="5962C73B" w14:textId="27EDAFA4" w:rsidR="00DF44C0" w:rsidRDefault="00AA598C" w:rsidP="00AA598C">
            <w:pPr>
              <w:rPr>
                <w:sz w:val="24"/>
                <w:szCs w:val="24"/>
              </w:rPr>
            </w:pPr>
            <w:r>
              <w:rPr>
                <w:sz w:val="24"/>
                <w:szCs w:val="24"/>
              </w:rPr>
              <w:t>Trudy Stein-Hart is currently a member of TB ETN</w:t>
            </w:r>
          </w:p>
        </w:tc>
        <w:tc>
          <w:tcPr>
            <w:tcW w:w="2590" w:type="dxa"/>
            <w:vAlign w:val="center"/>
          </w:tcPr>
          <w:p w14:paraId="3D820B8F" w14:textId="4AB43810" w:rsidR="00DF44C0" w:rsidRDefault="00AA598C" w:rsidP="00AA598C">
            <w:pPr>
              <w:rPr>
                <w:sz w:val="24"/>
                <w:szCs w:val="24"/>
              </w:rPr>
            </w:pPr>
            <w:r>
              <w:rPr>
                <w:sz w:val="24"/>
                <w:szCs w:val="24"/>
              </w:rPr>
              <w:t>None identified</w:t>
            </w:r>
            <w:r w:rsidR="0086272E">
              <w:rPr>
                <w:sz w:val="24"/>
                <w:szCs w:val="24"/>
              </w:rPr>
              <w:t>.</w:t>
            </w:r>
          </w:p>
        </w:tc>
      </w:tr>
      <w:tr w:rsidR="005C19B7" w14:paraId="4368D972" w14:textId="77777777" w:rsidTr="00AA598C">
        <w:tc>
          <w:tcPr>
            <w:tcW w:w="2590" w:type="dxa"/>
            <w:vAlign w:val="center"/>
          </w:tcPr>
          <w:p w14:paraId="1CC36AE5" w14:textId="77392351" w:rsidR="005C19B7" w:rsidRDefault="005C19B7" w:rsidP="006E0132">
            <w:pPr>
              <w:rPr>
                <w:sz w:val="24"/>
                <w:szCs w:val="24"/>
              </w:rPr>
            </w:pPr>
            <w:r>
              <w:rPr>
                <w:sz w:val="24"/>
                <w:szCs w:val="24"/>
              </w:rPr>
              <w:t>Identify Centers of Excellence (CoE) training opportunities and disseminate to state, region, and local TB staff</w:t>
            </w:r>
          </w:p>
        </w:tc>
        <w:tc>
          <w:tcPr>
            <w:tcW w:w="2590" w:type="dxa"/>
            <w:vAlign w:val="center"/>
          </w:tcPr>
          <w:p w14:paraId="6B748254" w14:textId="77777777" w:rsidR="005C19B7" w:rsidRDefault="005C19B7" w:rsidP="00114B41">
            <w:pPr>
              <w:pStyle w:val="ListParagraph"/>
              <w:numPr>
                <w:ilvl w:val="0"/>
                <w:numId w:val="9"/>
              </w:numPr>
              <w:ind w:left="361"/>
              <w:rPr>
                <w:sz w:val="24"/>
                <w:szCs w:val="24"/>
              </w:rPr>
            </w:pPr>
            <w:r>
              <w:rPr>
                <w:sz w:val="24"/>
                <w:szCs w:val="24"/>
              </w:rPr>
              <w:t>Sign-up for CoE newsletter and training announcements</w:t>
            </w:r>
          </w:p>
          <w:p w14:paraId="0FE8992D" w14:textId="44B0185D" w:rsidR="005C19B7" w:rsidRPr="005C19B7" w:rsidRDefault="005C19B7" w:rsidP="00114B41">
            <w:pPr>
              <w:pStyle w:val="ListParagraph"/>
              <w:numPr>
                <w:ilvl w:val="0"/>
                <w:numId w:val="9"/>
              </w:numPr>
              <w:ind w:left="361"/>
              <w:rPr>
                <w:sz w:val="24"/>
                <w:szCs w:val="24"/>
              </w:rPr>
            </w:pPr>
            <w:r>
              <w:rPr>
                <w:sz w:val="24"/>
                <w:szCs w:val="24"/>
              </w:rPr>
              <w:t xml:space="preserve">Monitor CoE website for calendar of education and training opportunities </w:t>
            </w:r>
            <w:r>
              <w:rPr>
                <w:b/>
                <w:bCs/>
                <w:sz w:val="24"/>
                <w:szCs w:val="24"/>
              </w:rPr>
              <w:t>(new)</w:t>
            </w:r>
          </w:p>
        </w:tc>
        <w:tc>
          <w:tcPr>
            <w:tcW w:w="2590" w:type="dxa"/>
            <w:vAlign w:val="center"/>
          </w:tcPr>
          <w:p w14:paraId="69491FD9" w14:textId="7FD37FC0" w:rsidR="005C19B7" w:rsidRDefault="00D53B12" w:rsidP="006E0132">
            <w:pPr>
              <w:jc w:val="center"/>
              <w:rPr>
                <w:sz w:val="24"/>
                <w:szCs w:val="24"/>
              </w:rPr>
            </w:pPr>
            <w:r>
              <w:rPr>
                <w:sz w:val="24"/>
                <w:szCs w:val="24"/>
              </w:rPr>
              <w:t>Monthly</w:t>
            </w:r>
          </w:p>
        </w:tc>
        <w:tc>
          <w:tcPr>
            <w:tcW w:w="2590" w:type="dxa"/>
            <w:vAlign w:val="center"/>
          </w:tcPr>
          <w:p w14:paraId="2C5406B2" w14:textId="77777777" w:rsidR="005C19B7" w:rsidRDefault="00D53B12" w:rsidP="00114B41">
            <w:pPr>
              <w:pStyle w:val="ListParagraph"/>
              <w:numPr>
                <w:ilvl w:val="0"/>
                <w:numId w:val="10"/>
              </w:numPr>
              <w:ind w:left="301"/>
              <w:rPr>
                <w:sz w:val="24"/>
                <w:szCs w:val="24"/>
              </w:rPr>
            </w:pPr>
            <w:r w:rsidRPr="00D53B12">
              <w:rPr>
                <w:sz w:val="24"/>
                <w:szCs w:val="24"/>
              </w:rPr>
              <w:t>Both the TB program manager and TB education and training focal point receive the Southeastern National TB Center (regional CoE for Tennessee) newsletter and training announcements</w:t>
            </w:r>
          </w:p>
          <w:p w14:paraId="3557B321" w14:textId="605B5767" w:rsidR="00D53B12" w:rsidRPr="00D53B12" w:rsidRDefault="00D53B12" w:rsidP="00114B41">
            <w:pPr>
              <w:pStyle w:val="ListParagraph"/>
              <w:numPr>
                <w:ilvl w:val="0"/>
                <w:numId w:val="10"/>
              </w:numPr>
              <w:ind w:left="301"/>
              <w:rPr>
                <w:sz w:val="24"/>
                <w:szCs w:val="24"/>
              </w:rPr>
            </w:pPr>
            <w:r>
              <w:rPr>
                <w:sz w:val="24"/>
                <w:szCs w:val="24"/>
              </w:rPr>
              <w:t xml:space="preserve">In 2020, seven (7) CoE trainings were attended by 21 state and regional TB staff.  Between January 1 – </w:t>
            </w:r>
            <w:r>
              <w:rPr>
                <w:sz w:val="24"/>
                <w:szCs w:val="24"/>
              </w:rPr>
              <w:lastRenderedPageBreak/>
              <w:t>June 30, 2021, six (6) CoE trainings were attended by 15 state and regional TB staff</w:t>
            </w:r>
          </w:p>
        </w:tc>
        <w:tc>
          <w:tcPr>
            <w:tcW w:w="2590" w:type="dxa"/>
            <w:vAlign w:val="center"/>
          </w:tcPr>
          <w:p w14:paraId="007FD707" w14:textId="7ED79ACC" w:rsidR="005C19B7" w:rsidRDefault="0086272E" w:rsidP="00AA598C">
            <w:pPr>
              <w:rPr>
                <w:sz w:val="24"/>
                <w:szCs w:val="24"/>
              </w:rPr>
            </w:pPr>
            <w:r>
              <w:rPr>
                <w:sz w:val="24"/>
                <w:szCs w:val="24"/>
              </w:rPr>
              <w:lastRenderedPageBreak/>
              <w:t>None identified.</w:t>
            </w:r>
          </w:p>
        </w:tc>
      </w:tr>
      <w:tr w:rsidR="00D53B12" w14:paraId="0F670298" w14:textId="77777777" w:rsidTr="00AA598C">
        <w:tc>
          <w:tcPr>
            <w:tcW w:w="2590" w:type="dxa"/>
            <w:vAlign w:val="center"/>
          </w:tcPr>
          <w:p w14:paraId="7462089F" w14:textId="48E8F6AA" w:rsidR="00D53B12" w:rsidRDefault="00D53B12" w:rsidP="006E0132">
            <w:pPr>
              <w:rPr>
                <w:sz w:val="24"/>
                <w:szCs w:val="24"/>
              </w:rPr>
            </w:pPr>
            <w:r>
              <w:rPr>
                <w:sz w:val="24"/>
                <w:szCs w:val="24"/>
              </w:rPr>
              <w:t xml:space="preserve">Establish </w:t>
            </w:r>
            <w:r w:rsidR="009C692A">
              <w:rPr>
                <w:sz w:val="24"/>
                <w:szCs w:val="24"/>
              </w:rPr>
              <w:t>partnerships with organizations that serve high-risk populations</w:t>
            </w:r>
          </w:p>
        </w:tc>
        <w:tc>
          <w:tcPr>
            <w:tcW w:w="2590" w:type="dxa"/>
            <w:vAlign w:val="center"/>
          </w:tcPr>
          <w:p w14:paraId="6FF1B3DF" w14:textId="3BDAAA92" w:rsidR="00D53B12" w:rsidRPr="00D53B12" w:rsidRDefault="00A82F47" w:rsidP="00D53B12">
            <w:pPr>
              <w:rPr>
                <w:sz w:val="24"/>
                <w:szCs w:val="24"/>
              </w:rPr>
            </w:pPr>
            <w:r>
              <w:rPr>
                <w:sz w:val="24"/>
                <w:szCs w:val="24"/>
              </w:rPr>
              <w:t>Ensure implementation of Community Partnerships to End TB (CPETB) initiative</w:t>
            </w:r>
          </w:p>
        </w:tc>
        <w:tc>
          <w:tcPr>
            <w:tcW w:w="2590" w:type="dxa"/>
            <w:vAlign w:val="center"/>
          </w:tcPr>
          <w:p w14:paraId="268E5272" w14:textId="0F0AB21B" w:rsidR="00D53B12" w:rsidRPr="00A82F47" w:rsidRDefault="00A82F47" w:rsidP="006E0132">
            <w:pPr>
              <w:jc w:val="center"/>
              <w:rPr>
                <w:b/>
                <w:bCs/>
                <w:sz w:val="24"/>
                <w:szCs w:val="24"/>
              </w:rPr>
            </w:pPr>
            <w:r>
              <w:rPr>
                <w:sz w:val="24"/>
                <w:szCs w:val="24"/>
              </w:rPr>
              <w:t xml:space="preserve">December 31, 2022 </w:t>
            </w:r>
            <w:r>
              <w:rPr>
                <w:b/>
                <w:bCs/>
                <w:sz w:val="24"/>
                <w:szCs w:val="24"/>
              </w:rPr>
              <w:t>(new)</w:t>
            </w:r>
          </w:p>
        </w:tc>
        <w:tc>
          <w:tcPr>
            <w:tcW w:w="2590" w:type="dxa"/>
            <w:vAlign w:val="center"/>
          </w:tcPr>
          <w:p w14:paraId="62CDE58E" w14:textId="77777777" w:rsidR="00D53B12" w:rsidRDefault="00A82F47" w:rsidP="00D53B12">
            <w:pPr>
              <w:rPr>
                <w:sz w:val="24"/>
                <w:szCs w:val="24"/>
              </w:rPr>
            </w:pPr>
            <w:r>
              <w:rPr>
                <w:sz w:val="24"/>
                <w:szCs w:val="24"/>
              </w:rPr>
              <w:t>June 10, 2021: survey sent to all regional TB program managers to assess feasibility of resuming CPETB initiative</w:t>
            </w:r>
          </w:p>
          <w:p w14:paraId="3CFDB090" w14:textId="6A1698AD" w:rsidR="00A82F47" w:rsidRPr="00D53B12" w:rsidRDefault="00A82F47" w:rsidP="00D53B12">
            <w:pPr>
              <w:rPr>
                <w:sz w:val="24"/>
                <w:szCs w:val="24"/>
              </w:rPr>
            </w:pPr>
            <w:r>
              <w:rPr>
                <w:sz w:val="24"/>
                <w:szCs w:val="24"/>
              </w:rPr>
              <w:t>June 17, 2021: statewide TB call held to discuss results of survey and reintroduce initiative; most TB programs indicated initiative implementation was feasible beginning in 2022</w:t>
            </w:r>
          </w:p>
        </w:tc>
        <w:tc>
          <w:tcPr>
            <w:tcW w:w="2590" w:type="dxa"/>
            <w:vAlign w:val="center"/>
          </w:tcPr>
          <w:p w14:paraId="6B24484D" w14:textId="77777777" w:rsidR="00D53B12" w:rsidRDefault="00A82F47" w:rsidP="00AA598C">
            <w:pPr>
              <w:rPr>
                <w:sz w:val="24"/>
                <w:szCs w:val="24"/>
              </w:rPr>
            </w:pPr>
            <w:r>
              <w:rPr>
                <w:sz w:val="24"/>
                <w:szCs w:val="24"/>
              </w:rPr>
              <w:t>Barriers identified from the 6/10/21 survey of regional case managers include:</w:t>
            </w:r>
          </w:p>
          <w:p w14:paraId="1FA722A2" w14:textId="7AC7888E" w:rsidR="00A82F47" w:rsidRDefault="00A82F47" w:rsidP="00114B41">
            <w:pPr>
              <w:pStyle w:val="ListParagraph"/>
              <w:numPr>
                <w:ilvl w:val="0"/>
                <w:numId w:val="11"/>
              </w:numPr>
              <w:ind w:left="331"/>
              <w:rPr>
                <w:sz w:val="24"/>
                <w:szCs w:val="24"/>
              </w:rPr>
            </w:pPr>
            <w:r>
              <w:rPr>
                <w:sz w:val="24"/>
                <w:szCs w:val="24"/>
              </w:rPr>
              <w:t>regional TB program staffing and ability to effectively implement initiative</w:t>
            </w:r>
          </w:p>
          <w:p w14:paraId="29327263" w14:textId="77777777" w:rsidR="00A82F47" w:rsidRDefault="00A82F47" w:rsidP="00114B41">
            <w:pPr>
              <w:pStyle w:val="ListParagraph"/>
              <w:numPr>
                <w:ilvl w:val="0"/>
                <w:numId w:val="11"/>
              </w:numPr>
              <w:ind w:left="331"/>
              <w:rPr>
                <w:sz w:val="24"/>
                <w:szCs w:val="24"/>
              </w:rPr>
            </w:pPr>
            <w:r>
              <w:rPr>
                <w:sz w:val="24"/>
                <w:szCs w:val="24"/>
              </w:rPr>
              <w:t>COVID-19 uncertainty</w:t>
            </w:r>
          </w:p>
          <w:p w14:paraId="2AA51F84" w14:textId="38710D29" w:rsidR="00A82F47" w:rsidRDefault="00A82F47" w:rsidP="00114B41">
            <w:pPr>
              <w:pStyle w:val="ListParagraph"/>
              <w:numPr>
                <w:ilvl w:val="0"/>
                <w:numId w:val="11"/>
              </w:numPr>
              <w:ind w:left="331"/>
              <w:rPr>
                <w:sz w:val="24"/>
                <w:szCs w:val="24"/>
              </w:rPr>
            </w:pPr>
            <w:r>
              <w:rPr>
                <w:sz w:val="24"/>
                <w:szCs w:val="24"/>
              </w:rPr>
              <w:t>scheduling</w:t>
            </w:r>
          </w:p>
          <w:p w14:paraId="6B6B5349" w14:textId="3B1A103F" w:rsidR="00A82F47" w:rsidRPr="00A82F47" w:rsidRDefault="00A82F47" w:rsidP="00114B41">
            <w:pPr>
              <w:pStyle w:val="ListParagraph"/>
              <w:numPr>
                <w:ilvl w:val="0"/>
                <w:numId w:val="11"/>
              </w:numPr>
              <w:ind w:left="331"/>
              <w:rPr>
                <w:sz w:val="24"/>
                <w:szCs w:val="24"/>
              </w:rPr>
            </w:pPr>
            <w:r>
              <w:rPr>
                <w:sz w:val="24"/>
                <w:szCs w:val="24"/>
              </w:rPr>
              <w:t>cooperation from community partners</w:t>
            </w:r>
          </w:p>
        </w:tc>
      </w:tr>
      <w:tr w:rsidR="009C692A" w14:paraId="42D9A07A" w14:textId="77777777" w:rsidTr="00AA598C">
        <w:tc>
          <w:tcPr>
            <w:tcW w:w="2590" w:type="dxa"/>
            <w:vAlign w:val="center"/>
          </w:tcPr>
          <w:p w14:paraId="57EB486A" w14:textId="59DFF96D" w:rsidR="009C692A" w:rsidRDefault="009C692A" w:rsidP="006E0132">
            <w:pPr>
              <w:rPr>
                <w:sz w:val="24"/>
                <w:szCs w:val="24"/>
              </w:rPr>
            </w:pPr>
            <w:r>
              <w:rPr>
                <w:sz w:val="24"/>
                <w:szCs w:val="24"/>
              </w:rPr>
              <w:t>Hold bi-monthly statewide conference calls with 100% regional attendance</w:t>
            </w:r>
          </w:p>
        </w:tc>
        <w:tc>
          <w:tcPr>
            <w:tcW w:w="2590" w:type="dxa"/>
            <w:vAlign w:val="center"/>
          </w:tcPr>
          <w:p w14:paraId="44BA261E" w14:textId="77777777" w:rsidR="009C692A" w:rsidRDefault="00F1777E" w:rsidP="00114B41">
            <w:pPr>
              <w:pStyle w:val="ListParagraph"/>
              <w:numPr>
                <w:ilvl w:val="0"/>
                <w:numId w:val="12"/>
              </w:numPr>
              <w:ind w:left="361"/>
              <w:rPr>
                <w:sz w:val="24"/>
                <w:szCs w:val="24"/>
              </w:rPr>
            </w:pPr>
            <w:r>
              <w:rPr>
                <w:sz w:val="24"/>
                <w:szCs w:val="24"/>
              </w:rPr>
              <w:t>Provide conference call calendar</w:t>
            </w:r>
          </w:p>
          <w:p w14:paraId="7D91A202" w14:textId="77777777" w:rsidR="00F1777E" w:rsidRDefault="00F1777E" w:rsidP="00114B41">
            <w:pPr>
              <w:pStyle w:val="ListParagraph"/>
              <w:numPr>
                <w:ilvl w:val="0"/>
                <w:numId w:val="12"/>
              </w:numPr>
              <w:ind w:left="361"/>
              <w:rPr>
                <w:sz w:val="24"/>
                <w:szCs w:val="24"/>
              </w:rPr>
            </w:pPr>
            <w:r>
              <w:rPr>
                <w:sz w:val="24"/>
                <w:szCs w:val="24"/>
              </w:rPr>
              <w:t>Create and send calendar invites</w:t>
            </w:r>
          </w:p>
          <w:p w14:paraId="7846023D" w14:textId="0709DCCC" w:rsidR="00F1777E" w:rsidRPr="00F1777E" w:rsidRDefault="00F1777E" w:rsidP="00114B41">
            <w:pPr>
              <w:pStyle w:val="ListParagraph"/>
              <w:numPr>
                <w:ilvl w:val="0"/>
                <w:numId w:val="12"/>
              </w:numPr>
              <w:ind w:left="361"/>
              <w:rPr>
                <w:sz w:val="24"/>
                <w:szCs w:val="24"/>
              </w:rPr>
            </w:pPr>
            <w:r>
              <w:rPr>
                <w:sz w:val="24"/>
                <w:szCs w:val="24"/>
              </w:rPr>
              <w:t>Develop agenda and materials for each call</w:t>
            </w:r>
          </w:p>
        </w:tc>
        <w:tc>
          <w:tcPr>
            <w:tcW w:w="2590" w:type="dxa"/>
            <w:vAlign w:val="center"/>
          </w:tcPr>
          <w:p w14:paraId="30D0E867" w14:textId="50390810" w:rsidR="009C692A" w:rsidRDefault="00F1777E" w:rsidP="006E0132">
            <w:pPr>
              <w:jc w:val="center"/>
              <w:rPr>
                <w:sz w:val="24"/>
                <w:szCs w:val="24"/>
              </w:rPr>
            </w:pPr>
            <w:r>
              <w:rPr>
                <w:sz w:val="24"/>
                <w:szCs w:val="24"/>
              </w:rPr>
              <w:t>Bi-monthly</w:t>
            </w:r>
          </w:p>
        </w:tc>
        <w:tc>
          <w:tcPr>
            <w:tcW w:w="2590" w:type="dxa"/>
            <w:vAlign w:val="center"/>
          </w:tcPr>
          <w:p w14:paraId="59709633" w14:textId="7A30BB54" w:rsidR="009C692A" w:rsidRPr="00D53B12" w:rsidRDefault="00F1777E" w:rsidP="00D53B12">
            <w:pPr>
              <w:rPr>
                <w:sz w:val="24"/>
                <w:szCs w:val="24"/>
              </w:rPr>
            </w:pPr>
            <w:r>
              <w:rPr>
                <w:sz w:val="24"/>
                <w:szCs w:val="24"/>
              </w:rPr>
              <w:t>The conference call held in June 2021 was the first statewide call since the beginning of COVID-19 that all had 100% regional attendance</w:t>
            </w:r>
          </w:p>
        </w:tc>
        <w:tc>
          <w:tcPr>
            <w:tcW w:w="2590" w:type="dxa"/>
            <w:vAlign w:val="center"/>
          </w:tcPr>
          <w:p w14:paraId="4F3F1A1D" w14:textId="00BE2ED4" w:rsidR="009C692A" w:rsidRDefault="00420614" w:rsidP="00AA598C">
            <w:pPr>
              <w:rPr>
                <w:sz w:val="24"/>
                <w:szCs w:val="24"/>
              </w:rPr>
            </w:pPr>
            <w:r>
              <w:rPr>
                <w:sz w:val="24"/>
                <w:szCs w:val="24"/>
              </w:rPr>
              <w:t>Statewide conference calls were temporarily suspended for the majority of 2020 due to COVID-19; the conference call scheduled resumed in 2021</w:t>
            </w:r>
          </w:p>
        </w:tc>
      </w:tr>
      <w:tr w:rsidR="009C692A" w14:paraId="600E6268" w14:textId="77777777" w:rsidTr="00AA598C">
        <w:tc>
          <w:tcPr>
            <w:tcW w:w="2590" w:type="dxa"/>
            <w:vAlign w:val="center"/>
          </w:tcPr>
          <w:p w14:paraId="66D03DF7" w14:textId="7AF6E0CD" w:rsidR="009C692A" w:rsidRDefault="009C692A" w:rsidP="006E0132">
            <w:pPr>
              <w:rPr>
                <w:sz w:val="24"/>
                <w:szCs w:val="24"/>
              </w:rPr>
            </w:pPr>
            <w:r>
              <w:rPr>
                <w:sz w:val="24"/>
                <w:szCs w:val="24"/>
              </w:rPr>
              <w:t>Plan and present a clinical symposium</w:t>
            </w:r>
          </w:p>
        </w:tc>
        <w:tc>
          <w:tcPr>
            <w:tcW w:w="2590" w:type="dxa"/>
            <w:vAlign w:val="center"/>
          </w:tcPr>
          <w:p w14:paraId="3341AB6F" w14:textId="77777777" w:rsidR="009C692A" w:rsidRDefault="00420614" w:rsidP="00114B41">
            <w:pPr>
              <w:pStyle w:val="ListParagraph"/>
              <w:numPr>
                <w:ilvl w:val="0"/>
                <w:numId w:val="13"/>
              </w:numPr>
              <w:ind w:left="361"/>
              <w:rPr>
                <w:sz w:val="24"/>
                <w:szCs w:val="24"/>
              </w:rPr>
            </w:pPr>
            <w:r w:rsidRPr="00420614">
              <w:rPr>
                <w:sz w:val="24"/>
                <w:szCs w:val="24"/>
              </w:rPr>
              <w:t xml:space="preserve">Convene a symposium planning committee to </w:t>
            </w:r>
            <w:r w:rsidRPr="00420614">
              <w:rPr>
                <w:sz w:val="24"/>
                <w:szCs w:val="24"/>
              </w:rPr>
              <w:lastRenderedPageBreak/>
              <w:t>develop agenda/content</w:t>
            </w:r>
          </w:p>
          <w:p w14:paraId="15F6207C" w14:textId="77777777" w:rsidR="00420614" w:rsidRDefault="00420614" w:rsidP="00114B41">
            <w:pPr>
              <w:pStyle w:val="ListParagraph"/>
              <w:numPr>
                <w:ilvl w:val="0"/>
                <w:numId w:val="13"/>
              </w:numPr>
              <w:ind w:left="361"/>
              <w:rPr>
                <w:sz w:val="24"/>
                <w:szCs w:val="24"/>
              </w:rPr>
            </w:pPr>
            <w:r>
              <w:rPr>
                <w:sz w:val="24"/>
                <w:szCs w:val="24"/>
              </w:rPr>
              <w:t>Identify date(s) and location for the symposium</w:t>
            </w:r>
          </w:p>
          <w:p w14:paraId="5DE612DB" w14:textId="6E4A7614" w:rsidR="00420614" w:rsidRPr="00420614" w:rsidRDefault="00420614" w:rsidP="00114B41">
            <w:pPr>
              <w:pStyle w:val="ListParagraph"/>
              <w:numPr>
                <w:ilvl w:val="0"/>
                <w:numId w:val="13"/>
              </w:numPr>
              <w:ind w:left="361"/>
              <w:rPr>
                <w:sz w:val="24"/>
                <w:szCs w:val="24"/>
              </w:rPr>
            </w:pPr>
            <w:r>
              <w:rPr>
                <w:sz w:val="24"/>
                <w:szCs w:val="24"/>
              </w:rPr>
              <w:t>Identify presenters</w:t>
            </w:r>
          </w:p>
        </w:tc>
        <w:tc>
          <w:tcPr>
            <w:tcW w:w="2590" w:type="dxa"/>
            <w:vAlign w:val="center"/>
          </w:tcPr>
          <w:p w14:paraId="5E6E4B80" w14:textId="69512A89" w:rsidR="009C692A" w:rsidRDefault="00420614" w:rsidP="006E0132">
            <w:pPr>
              <w:jc w:val="center"/>
              <w:rPr>
                <w:sz w:val="24"/>
                <w:szCs w:val="24"/>
              </w:rPr>
            </w:pPr>
            <w:r>
              <w:rPr>
                <w:sz w:val="24"/>
                <w:szCs w:val="24"/>
              </w:rPr>
              <w:lastRenderedPageBreak/>
              <w:t>Bi-annually</w:t>
            </w:r>
          </w:p>
        </w:tc>
        <w:tc>
          <w:tcPr>
            <w:tcW w:w="2590" w:type="dxa"/>
            <w:vAlign w:val="center"/>
          </w:tcPr>
          <w:p w14:paraId="48535593" w14:textId="799AF8AD" w:rsidR="009C692A" w:rsidRPr="00D53B12" w:rsidRDefault="0086272E" w:rsidP="00D53B12">
            <w:pPr>
              <w:rPr>
                <w:sz w:val="24"/>
                <w:szCs w:val="24"/>
              </w:rPr>
            </w:pPr>
            <w:r>
              <w:rPr>
                <w:sz w:val="24"/>
                <w:szCs w:val="24"/>
              </w:rPr>
              <w:t>None.</w:t>
            </w:r>
          </w:p>
        </w:tc>
        <w:tc>
          <w:tcPr>
            <w:tcW w:w="2590" w:type="dxa"/>
            <w:vAlign w:val="center"/>
          </w:tcPr>
          <w:p w14:paraId="4006CDB5" w14:textId="721E6EBE" w:rsidR="009C692A" w:rsidRDefault="00420614" w:rsidP="00AA598C">
            <w:pPr>
              <w:rPr>
                <w:sz w:val="24"/>
                <w:szCs w:val="24"/>
              </w:rPr>
            </w:pPr>
            <w:r>
              <w:rPr>
                <w:sz w:val="24"/>
                <w:szCs w:val="24"/>
              </w:rPr>
              <w:t xml:space="preserve">HRD funds were allocated in 2020 and again in 2021 to </w:t>
            </w:r>
            <w:r>
              <w:rPr>
                <w:sz w:val="24"/>
                <w:szCs w:val="24"/>
              </w:rPr>
              <w:lastRenderedPageBreak/>
              <w:t xml:space="preserve">conduct a clinical symposium but due to COVID-19, the symposium was postponed </w:t>
            </w:r>
          </w:p>
        </w:tc>
      </w:tr>
      <w:tr w:rsidR="009C692A" w14:paraId="78754076" w14:textId="77777777" w:rsidTr="00AA598C">
        <w:tc>
          <w:tcPr>
            <w:tcW w:w="2590" w:type="dxa"/>
            <w:vAlign w:val="center"/>
          </w:tcPr>
          <w:p w14:paraId="5DEE63E7" w14:textId="22C64038" w:rsidR="009C692A" w:rsidRDefault="009C692A" w:rsidP="006E0132">
            <w:pPr>
              <w:rPr>
                <w:sz w:val="24"/>
                <w:szCs w:val="24"/>
              </w:rPr>
            </w:pPr>
            <w:r>
              <w:rPr>
                <w:sz w:val="24"/>
                <w:szCs w:val="24"/>
              </w:rPr>
              <w:lastRenderedPageBreak/>
              <w:t>Provide quarterly new case manager training</w:t>
            </w:r>
          </w:p>
        </w:tc>
        <w:tc>
          <w:tcPr>
            <w:tcW w:w="2590" w:type="dxa"/>
            <w:vAlign w:val="center"/>
          </w:tcPr>
          <w:p w14:paraId="231156A6" w14:textId="77777777" w:rsidR="009C692A" w:rsidRDefault="0056312B" w:rsidP="0056312B">
            <w:pPr>
              <w:pStyle w:val="ListParagraph"/>
              <w:numPr>
                <w:ilvl w:val="0"/>
                <w:numId w:val="17"/>
              </w:numPr>
              <w:ind w:left="361"/>
              <w:rPr>
                <w:sz w:val="24"/>
                <w:szCs w:val="24"/>
              </w:rPr>
            </w:pPr>
            <w:r>
              <w:rPr>
                <w:sz w:val="24"/>
                <w:szCs w:val="24"/>
              </w:rPr>
              <w:t>Review existing case manager training content</w:t>
            </w:r>
          </w:p>
          <w:p w14:paraId="1D7B8C48" w14:textId="399CA8F2" w:rsidR="0056312B" w:rsidRPr="0056312B" w:rsidRDefault="00350FF9" w:rsidP="0056312B">
            <w:pPr>
              <w:pStyle w:val="ListParagraph"/>
              <w:numPr>
                <w:ilvl w:val="0"/>
                <w:numId w:val="17"/>
              </w:numPr>
              <w:ind w:left="361"/>
              <w:rPr>
                <w:sz w:val="24"/>
                <w:szCs w:val="24"/>
              </w:rPr>
            </w:pPr>
            <w:r>
              <w:rPr>
                <w:sz w:val="24"/>
                <w:szCs w:val="24"/>
              </w:rPr>
              <w:t>Update content for case manager training as needed</w:t>
            </w:r>
          </w:p>
        </w:tc>
        <w:tc>
          <w:tcPr>
            <w:tcW w:w="2590" w:type="dxa"/>
            <w:vAlign w:val="center"/>
          </w:tcPr>
          <w:p w14:paraId="27C16732" w14:textId="3A36838D" w:rsidR="009C692A" w:rsidRDefault="0031462E" w:rsidP="006E0132">
            <w:pPr>
              <w:jc w:val="center"/>
              <w:rPr>
                <w:sz w:val="24"/>
                <w:szCs w:val="24"/>
              </w:rPr>
            </w:pPr>
            <w:r>
              <w:rPr>
                <w:sz w:val="24"/>
                <w:szCs w:val="24"/>
              </w:rPr>
              <w:t>Annually</w:t>
            </w:r>
          </w:p>
        </w:tc>
        <w:tc>
          <w:tcPr>
            <w:tcW w:w="2590" w:type="dxa"/>
            <w:vAlign w:val="center"/>
          </w:tcPr>
          <w:p w14:paraId="437868A4" w14:textId="77777777" w:rsidR="009C692A" w:rsidRDefault="00761AFE" w:rsidP="00D53B12">
            <w:pPr>
              <w:rPr>
                <w:sz w:val="24"/>
                <w:szCs w:val="24"/>
              </w:rPr>
            </w:pPr>
            <w:r>
              <w:rPr>
                <w:sz w:val="24"/>
                <w:szCs w:val="24"/>
              </w:rPr>
              <w:t>2020: no new case manager trainings were held due to the lack of need/demand</w:t>
            </w:r>
          </w:p>
          <w:p w14:paraId="41A0B61E" w14:textId="3EC459D0" w:rsidR="00761AFE" w:rsidRPr="00D53B12" w:rsidRDefault="00761AFE" w:rsidP="00D53B12">
            <w:pPr>
              <w:rPr>
                <w:sz w:val="24"/>
                <w:szCs w:val="24"/>
              </w:rPr>
            </w:pPr>
            <w:r>
              <w:rPr>
                <w:sz w:val="24"/>
                <w:szCs w:val="24"/>
              </w:rPr>
              <w:t>Jan – June 2021: one (1) case manager training was held for one (1) new regional case manager</w:t>
            </w:r>
          </w:p>
        </w:tc>
        <w:tc>
          <w:tcPr>
            <w:tcW w:w="2590" w:type="dxa"/>
            <w:vAlign w:val="center"/>
          </w:tcPr>
          <w:p w14:paraId="44C9D02F" w14:textId="77777777" w:rsidR="009C692A" w:rsidRDefault="0086272E" w:rsidP="0086272E">
            <w:pPr>
              <w:pStyle w:val="ListParagraph"/>
              <w:numPr>
                <w:ilvl w:val="0"/>
                <w:numId w:val="31"/>
              </w:numPr>
              <w:ind w:left="331"/>
              <w:rPr>
                <w:sz w:val="24"/>
                <w:szCs w:val="24"/>
              </w:rPr>
            </w:pPr>
            <w:r w:rsidRPr="0086272E">
              <w:rPr>
                <w:sz w:val="24"/>
                <w:szCs w:val="24"/>
              </w:rPr>
              <w:t>Coordinating schedules of the central office public health nurse case manager and the new regional TB case manager</w:t>
            </w:r>
          </w:p>
          <w:p w14:paraId="4D776547" w14:textId="0CFD9EC3" w:rsidR="0086272E" w:rsidRPr="0086272E" w:rsidRDefault="0086272E" w:rsidP="0086272E">
            <w:pPr>
              <w:pStyle w:val="ListParagraph"/>
              <w:numPr>
                <w:ilvl w:val="0"/>
                <w:numId w:val="31"/>
              </w:numPr>
              <w:ind w:left="331"/>
              <w:rPr>
                <w:sz w:val="24"/>
                <w:szCs w:val="24"/>
              </w:rPr>
            </w:pPr>
            <w:r>
              <w:rPr>
                <w:sz w:val="24"/>
                <w:szCs w:val="24"/>
              </w:rPr>
              <w:t>Navigating technical issues with conducting the training online</w:t>
            </w:r>
          </w:p>
        </w:tc>
      </w:tr>
    </w:tbl>
    <w:p w14:paraId="3289D8C4" w14:textId="77777777" w:rsidR="00DB3CAD" w:rsidRDefault="00DB3CAD" w:rsidP="00A00F63">
      <w:pPr>
        <w:spacing w:after="0" w:line="240" w:lineRule="auto"/>
        <w:rPr>
          <w:sz w:val="24"/>
          <w:szCs w:val="24"/>
        </w:rPr>
      </w:pPr>
    </w:p>
    <w:p w14:paraId="719D7A7D" w14:textId="77777777" w:rsidR="00DB3CAD" w:rsidRDefault="00DB3CAD" w:rsidP="00182689">
      <w:pPr>
        <w:spacing w:after="0" w:line="360" w:lineRule="auto"/>
        <w:rPr>
          <w:sz w:val="24"/>
          <w:szCs w:val="24"/>
          <w:u w:val="single"/>
        </w:rPr>
      </w:pPr>
      <w:r>
        <w:rPr>
          <w:sz w:val="24"/>
          <w:szCs w:val="24"/>
          <w:u w:val="single"/>
        </w:rPr>
        <w:t>Education and Training Focal Point</w:t>
      </w:r>
    </w:p>
    <w:p w14:paraId="4171121C" w14:textId="77777777" w:rsidR="00DB3CAD" w:rsidRDefault="00DB3CAD" w:rsidP="00182689">
      <w:pPr>
        <w:spacing w:after="0" w:line="360" w:lineRule="auto"/>
        <w:rPr>
          <w:sz w:val="24"/>
          <w:szCs w:val="24"/>
        </w:rPr>
      </w:pPr>
      <w:r>
        <w:rPr>
          <w:sz w:val="24"/>
          <w:szCs w:val="24"/>
        </w:rPr>
        <w:t>Trudy Stein-Hart, Epidemiologist 2</w:t>
      </w:r>
    </w:p>
    <w:p w14:paraId="29D08A06" w14:textId="77777777" w:rsidR="00DB3CAD" w:rsidRDefault="00DB3CAD" w:rsidP="00182689">
      <w:pPr>
        <w:spacing w:after="0" w:line="360" w:lineRule="auto"/>
        <w:rPr>
          <w:sz w:val="24"/>
          <w:szCs w:val="24"/>
        </w:rPr>
      </w:pPr>
      <w:r>
        <w:rPr>
          <w:sz w:val="24"/>
          <w:szCs w:val="24"/>
        </w:rPr>
        <w:t>710 James Robertson Parkway, 3</w:t>
      </w:r>
      <w:r w:rsidRPr="0051596C">
        <w:rPr>
          <w:sz w:val="24"/>
          <w:szCs w:val="24"/>
          <w:vertAlign w:val="superscript"/>
        </w:rPr>
        <w:t>rd</w:t>
      </w:r>
      <w:r>
        <w:rPr>
          <w:sz w:val="24"/>
          <w:szCs w:val="24"/>
        </w:rPr>
        <w:t xml:space="preserve"> Floor Andrew Johnson Tower, Nashville, TN 37243</w:t>
      </w:r>
    </w:p>
    <w:p w14:paraId="404BD774" w14:textId="77777777" w:rsidR="00DB3CAD" w:rsidRDefault="00DB3CAD" w:rsidP="00182689">
      <w:pPr>
        <w:spacing w:after="0" w:line="360" w:lineRule="auto"/>
        <w:rPr>
          <w:sz w:val="24"/>
          <w:szCs w:val="24"/>
        </w:rPr>
      </w:pPr>
      <w:r>
        <w:rPr>
          <w:sz w:val="24"/>
          <w:szCs w:val="24"/>
        </w:rPr>
        <w:t>Ph. 615-532-8505</w:t>
      </w:r>
    </w:p>
    <w:p w14:paraId="38955DB9" w14:textId="77777777" w:rsidR="00DB3CAD" w:rsidRDefault="00DB3CAD" w:rsidP="00182689">
      <w:pPr>
        <w:spacing w:after="0" w:line="360" w:lineRule="auto"/>
        <w:rPr>
          <w:sz w:val="24"/>
          <w:szCs w:val="24"/>
        </w:rPr>
      </w:pPr>
      <w:r>
        <w:rPr>
          <w:sz w:val="24"/>
          <w:szCs w:val="24"/>
        </w:rPr>
        <w:t>Fax: 615-253-1370</w:t>
      </w:r>
    </w:p>
    <w:p w14:paraId="55396137" w14:textId="77777777" w:rsidR="00DB3CAD" w:rsidRDefault="0064029D" w:rsidP="00182689">
      <w:pPr>
        <w:spacing w:after="0" w:line="360" w:lineRule="auto"/>
        <w:rPr>
          <w:sz w:val="24"/>
          <w:szCs w:val="24"/>
        </w:rPr>
      </w:pPr>
      <w:hyperlink r:id="rId20" w:history="1">
        <w:r w:rsidR="00DB3CAD" w:rsidRPr="001B2656">
          <w:rPr>
            <w:rStyle w:val="Hyperlink"/>
            <w:sz w:val="24"/>
            <w:szCs w:val="24"/>
          </w:rPr>
          <w:t>Trudy.Stein-Hart@tn.gov</w:t>
        </w:r>
      </w:hyperlink>
      <w:r w:rsidR="00DB3CAD">
        <w:rPr>
          <w:sz w:val="24"/>
          <w:szCs w:val="24"/>
        </w:rPr>
        <w:t xml:space="preserve"> </w:t>
      </w:r>
    </w:p>
    <w:p w14:paraId="1553611C" w14:textId="77777777" w:rsidR="00DB3CAD" w:rsidRPr="0056720D" w:rsidRDefault="00DB3CAD" w:rsidP="00182689">
      <w:pPr>
        <w:spacing w:after="0" w:line="360" w:lineRule="auto"/>
        <w:rPr>
          <w:sz w:val="24"/>
          <w:szCs w:val="24"/>
        </w:rPr>
        <w:sectPr w:rsidR="00DB3CAD" w:rsidRPr="0056720D" w:rsidSect="0056720D">
          <w:headerReference w:type="default" r:id="rId21"/>
          <w:pgSz w:w="15840" w:h="12240" w:orient="landscape"/>
          <w:pgMar w:top="1440" w:right="1440" w:bottom="1440" w:left="1440" w:header="720" w:footer="720" w:gutter="0"/>
          <w:cols w:space="720"/>
          <w:docGrid w:linePitch="360"/>
        </w:sectPr>
      </w:pPr>
    </w:p>
    <w:p w14:paraId="73F80FF3" w14:textId="1F171DB8" w:rsidR="00970D36" w:rsidRDefault="00837870" w:rsidP="00A00F63">
      <w:pPr>
        <w:spacing w:after="0" w:line="240" w:lineRule="auto"/>
        <w:rPr>
          <w:b/>
          <w:sz w:val="24"/>
          <w:szCs w:val="24"/>
          <w:u w:val="single"/>
        </w:rPr>
      </w:pPr>
      <w:r>
        <w:rPr>
          <w:b/>
          <w:sz w:val="24"/>
          <w:szCs w:val="24"/>
          <w:u w:val="single"/>
        </w:rPr>
        <w:lastRenderedPageBreak/>
        <w:t>PUBLIC HEALTH LABORATORY STRENGTHENING</w:t>
      </w:r>
    </w:p>
    <w:p w14:paraId="54DBDF81" w14:textId="121A3288" w:rsidR="00182689" w:rsidRDefault="00182689" w:rsidP="00A00F63">
      <w:pPr>
        <w:spacing w:after="0" w:line="240" w:lineRule="auto"/>
        <w:rPr>
          <w:b/>
          <w:sz w:val="24"/>
          <w:szCs w:val="24"/>
          <w:u w:val="single"/>
        </w:rPr>
      </w:pPr>
    </w:p>
    <w:p w14:paraId="121136A5" w14:textId="2271C835" w:rsidR="00182689" w:rsidRDefault="00182689" w:rsidP="00A00F63">
      <w:pPr>
        <w:spacing w:after="0" w:line="240" w:lineRule="auto"/>
        <w:rPr>
          <w:bCs/>
          <w:sz w:val="24"/>
          <w:szCs w:val="24"/>
          <w:u w:val="single"/>
        </w:rPr>
      </w:pPr>
      <w:r>
        <w:rPr>
          <w:bCs/>
          <w:sz w:val="24"/>
          <w:szCs w:val="24"/>
          <w:u w:val="single"/>
        </w:rPr>
        <w:t>Organizational Chart</w:t>
      </w:r>
    </w:p>
    <w:p w14:paraId="5CBC5960" w14:textId="7A3AF97E" w:rsidR="00182689" w:rsidRDefault="00182689" w:rsidP="00A00F63">
      <w:pPr>
        <w:spacing w:after="0" w:line="240" w:lineRule="auto"/>
        <w:rPr>
          <w:bCs/>
          <w:sz w:val="24"/>
          <w:szCs w:val="24"/>
          <w:u w:val="single"/>
        </w:rPr>
      </w:pPr>
    </w:p>
    <w:p w14:paraId="1AEE25D9" w14:textId="77777777" w:rsidR="000B64D0" w:rsidRDefault="000B64D0" w:rsidP="00A00F63">
      <w:pPr>
        <w:spacing w:after="0" w:line="240" w:lineRule="auto"/>
        <w:rPr>
          <w:bCs/>
          <w:sz w:val="24"/>
          <w:szCs w:val="24"/>
          <w:u w:val="single"/>
        </w:rPr>
        <w:sectPr w:rsidR="000B64D0" w:rsidSect="000B64D0">
          <w:headerReference w:type="default" r:id="rId22"/>
          <w:pgSz w:w="12240" w:h="15840"/>
          <w:pgMar w:top="1440" w:right="1440" w:bottom="1440" w:left="1440" w:header="720" w:footer="720" w:gutter="0"/>
          <w:cols w:space="720"/>
          <w:docGrid w:linePitch="360"/>
        </w:sectPr>
      </w:pPr>
      <w:r w:rsidRPr="000B64D0">
        <w:rPr>
          <w:bCs/>
          <w:noProof/>
          <w:sz w:val="24"/>
          <w:szCs w:val="24"/>
        </w:rPr>
        <mc:AlternateContent>
          <mc:Choice Requires="wps">
            <w:drawing>
              <wp:anchor distT="45720" distB="45720" distL="114300" distR="114300" simplePos="0" relativeHeight="251661312" behindDoc="0" locked="0" layoutInCell="1" allowOverlap="1" wp14:anchorId="46FD52F1" wp14:editId="7D69703D">
                <wp:simplePos x="0" y="0"/>
                <wp:positionH relativeFrom="page">
                  <wp:posOffset>4591050</wp:posOffset>
                </wp:positionH>
                <wp:positionV relativeFrom="paragraph">
                  <wp:posOffset>3605530</wp:posOffset>
                </wp:positionV>
                <wp:extent cx="2686050" cy="2876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876550"/>
                        </a:xfrm>
                        <a:prstGeom prst="rect">
                          <a:avLst/>
                        </a:prstGeom>
                        <a:solidFill>
                          <a:srgbClr val="FFFFFF"/>
                        </a:solidFill>
                        <a:ln w="9525">
                          <a:noFill/>
                          <a:miter lim="800000"/>
                          <a:headEnd/>
                          <a:tailEnd/>
                        </a:ln>
                      </wps:spPr>
                      <wps:txbx>
                        <w:txbxContent>
                          <w:p w14:paraId="39E42799" w14:textId="6370329E" w:rsidR="00737FFC" w:rsidRDefault="00737FFC">
                            <w:pPr>
                              <w:rPr>
                                <w:sz w:val="24"/>
                                <w:szCs w:val="24"/>
                                <w:u w:val="single"/>
                              </w:rPr>
                            </w:pPr>
                            <w:r>
                              <w:rPr>
                                <w:sz w:val="24"/>
                                <w:szCs w:val="24"/>
                                <w:u w:val="single"/>
                              </w:rPr>
                              <w:t>Laboratory Contact</w:t>
                            </w:r>
                          </w:p>
                          <w:p w14:paraId="6252B967" w14:textId="23BE67E6" w:rsidR="00737FFC" w:rsidRDefault="00737FFC">
                            <w:pPr>
                              <w:rPr>
                                <w:sz w:val="24"/>
                                <w:szCs w:val="24"/>
                              </w:rPr>
                            </w:pPr>
                            <w:r>
                              <w:rPr>
                                <w:sz w:val="24"/>
                                <w:szCs w:val="24"/>
                              </w:rPr>
                              <w:t>Tabatha East</w:t>
                            </w:r>
                          </w:p>
                          <w:p w14:paraId="5AA4AAEF" w14:textId="017DD639" w:rsidR="00737FFC" w:rsidRDefault="00737FFC">
                            <w:pPr>
                              <w:rPr>
                                <w:sz w:val="24"/>
                                <w:szCs w:val="24"/>
                              </w:rPr>
                            </w:pPr>
                            <w:r>
                              <w:rPr>
                                <w:sz w:val="24"/>
                                <w:szCs w:val="24"/>
                              </w:rPr>
                              <w:t>Assistant Director, Clinical Microbiology</w:t>
                            </w:r>
                          </w:p>
                          <w:p w14:paraId="538FFBE2" w14:textId="7A53C624" w:rsidR="00737FFC" w:rsidRDefault="00737FFC">
                            <w:pPr>
                              <w:rPr>
                                <w:sz w:val="24"/>
                                <w:szCs w:val="24"/>
                              </w:rPr>
                            </w:pPr>
                            <w:r>
                              <w:rPr>
                                <w:sz w:val="24"/>
                                <w:szCs w:val="24"/>
                              </w:rPr>
                              <w:t>Tennessee Department of Health, Division of Laboratory Services</w:t>
                            </w:r>
                          </w:p>
                          <w:p w14:paraId="7AE53CB9" w14:textId="7658C4B2" w:rsidR="00737FFC" w:rsidRDefault="00737FFC">
                            <w:pPr>
                              <w:rPr>
                                <w:sz w:val="24"/>
                                <w:szCs w:val="24"/>
                              </w:rPr>
                            </w:pPr>
                            <w:r>
                              <w:rPr>
                                <w:sz w:val="24"/>
                                <w:szCs w:val="24"/>
                              </w:rPr>
                              <w:t>630 Hart Lane</w:t>
                            </w:r>
                          </w:p>
                          <w:p w14:paraId="467ED39B" w14:textId="2D88A903" w:rsidR="00737FFC" w:rsidRDefault="00737FFC">
                            <w:pPr>
                              <w:rPr>
                                <w:sz w:val="24"/>
                                <w:szCs w:val="24"/>
                              </w:rPr>
                            </w:pPr>
                            <w:r>
                              <w:rPr>
                                <w:sz w:val="24"/>
                                <w:szCs w:val="24"/>
                              </w:rPr>
                              <w:t>Nashville, TN 3724</w:t>
                            </w:r>
                          </w:p>
                          <w:p w14:paraId="6EC8A6D6" w14:textId="6084C57C" w:rsidR="00737FFC" w:rsidRDefault="00737FFC">
                            <w:pPr>
                              <w:rPr>
                                <w:sz w:val="24"/>
                                <w:szCs w:val="24"/>
                              </w:rPr>
                            </w:pPr>
                            <w:r>
                              <w:rPr>
                                <w:sz w:val="24"/>
                                <w:szCs w:val="24"/>
                              </w:rPr>
                              <w:t>Ph: 615-262-6460   Fax: 615-262-6393</w:t>
                            </w:r>
                          </w:p>
                          <w:p w14:paraId="60990CB2" w14:textId="7A0E0604" w:rsidR="00737FFC" w:rsidRDefault="00737FFC">
                            <w:pPr>
                              <w:rPr>
                                <w:sz w:val="24"/>
                                <w:szCs w:val="24"/>
                              </w:rPr>
                            </w:pPr>
                            <w:r>
                              <w:rPr>
                                <w:sz w:val="24"/>
                                <w:szCs w:val="24"/>
                              </w:rPr>
                              <w:t xml:space="preserve">Email: </w:t>
                            </w:r>
                            <w:hyperlink r:id="rId23" w:history="1">
                              <w:r w:rsidRPr="00F66A9D">
                                <w:rPr>
                                  <w:rStyle w:val="Hyperlink"/>
                                  <w:sz w:val="24"/>
                                  <w:szCs w:val="24"/>
                                </w:rPr>
                                <w:t>Tabatha.East@tn.gov</w:t>
                              </w:r>
                            </w:hyperlink>
                            <w:r>
                              <w:rPr>
                                <w:sz w:val="24"/>
                                <w:szCs w:val="24"/>
                              </w:rPr>
                              <w:t xml:space="preserve"> </w:t>
                            </w:r>
                          </w:p>
                          <w:p w14:paraId="782CFC5D" w14:textId="77777777" w:rsidR="00737FFC" w:rsidRPr="000B64D0" w:rsidRDefault="00737FF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D52F1" id="_x0000_t202" coordsize="21600,21600" o:spt="202" path="m,l,21600r21600,l21600,xe">
                <v:stroke joinstyle="miter"/>
                <v:path gradientshapeok="t" o:connecttype="rect"/>
              </v:shapetype>
              <v:shape id="Text Box 2" o:spid="_x0000_s1026" type="#_x0000_t202" style="position:absolute;margin-left:361.5pt;margin-top:283.9pt;width:211.5pt;height:22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" stroked="f">
                <v:textbox>
                  <w:txbxContent>
                    <w:p w14:paraId="39E42799" w14:textId="6370329E" w:rsidR="00737FFC" w:rsidRDefault="00737FFC">
                      <w:pPr>
                        <w:rPr>
                          <w:sz w:val="24"/>
                          <w:szCs w:val="24"/>
                          <w:u w:val="single"/>
                        </w:rPr>
                      </w:pPr>
                      <w:r>
                        <w:rPr>
                          <w:sz w:val="24"/>
                          <w:szCs w:val="24"/>
                          <w:u w:val="single"/>
                        </w:rPr>
                        <w:t>Laboratory Contact</w:t>
                      </w:r>
                    </w:p>
                    <w:p w14:paraId="6252B967" w14:textId="23BE67E6" w:rsidR="00737FFC" w:rsidRDefault="00737FFC">
                      <w:pPr>
                        <w:rPr>
                          <w:sz w:val="24"/>
                          <w:szCs w:val="24"/>
                        </w:rPr>
                      </w:pPr>
                      <w:r>
                        <w:rPr>
                          <w:sz w:val="24"/>
                          <w:szCs w:val="24"/>
                        </w:rPr>
                        <w:t>Tabatha East</w:t>
                      </w:r>
                    </w:p>
                    <w:p w14:paraId="5AA4AAEF" w14:textId="017DD639" w:rsidR="00737FFC" w:rsidRDefault="00737FFC">
                      <w:pPr>
                        <w:rPr>
                          <w:sz w:val="24"/>
                          <w:szCs w:val="24"/>
                        </w:rPr>
                      </w:pPr>
                      <w:r>
                        <w:rPr>
                          <w:sz w:val="24"/>
                          <w:szCs w:val="24"/>
                        </w:rPr>
                        <w:t>Assistant Director, Clinical Microbiology</w:t>
                      </w:r>
                    </w:p>
                    <w:p w14:paraId="538FFBE2" w14:textId="7A53C624" w:rsidR="00737FFC" w:rsidRDefault="00737FFC">
                      <w:pPr>
                        <w:rPr>
                          <w:sz w:val="24"/>
                          <w:szCs w:val="24"/>
                        </w:rPr>
                      </w:pPr>
                      <w:r>
                        <w:rPr>
                          <w:sz w:val="24"/>
                          <w:szCs w:val="24"/>
                        </w:rPr>
                        <w:t>Tennessee Department of Health, Division of Laboratory Services</w:t>
                      </w:r>
                    </w:p>
                    <w:p w14:paraId="7AE53CB9" w14:textId="7658C4B2" w:rsidR="00737FFC" w:rsidRDefault="00737FFC">
                      <w:pPr>
                        <w:rPr>
                          <w:sz w:val="24"/>
                          <w:szCs w:val="24"/>
                        </w:rPr>
                      </w:pPr>
                      <w:r>
                        <w:rPr>
                          <w:sz w:val="24"/>
                          <w:szCs w:val="24"/>
                        </w:rPr>
                        <w:t>630 Hart Lane</w:t>
                      </w:r>
                    </w:p>
                    <w:p w14:paraId="467ED39B" w14:textId="2D88A903" w:rsidR="00737FFC" w:rsidRDefault="00737FFC">
                      <w:pPr>
                        <w:rPr>
                          <w:sz w:val="24"/>
                          <w:szCs w:val="24"/>
                        </w:rPr>
                      </w:pPr>
                      <w:r>
                        <w:rPr>
                          <w:sz w:val="24"/>
                          <w:szCs w:val="24"/>
                        </w:rPr>
                        <w:t>Nashville, TN 3724</w:t>
                      </w:r>
                    </w:p>
                    <w:p w14:paraId="6EC8A6D6" w14:textId="6084C57C" w:rsidR="00737FFC" w:rsidRDefault="00737FFC">
                      <w:pPr>
                        <w:rPr>
                          <w:sz w:val="24"/>
                          <w:szCs w:val="24"/>
                        </w:rPr>
                      </w:pPr>
                      <w:r>
                        <w:rPr>
                          <w:sz w:val="24"/>
                          <w:szCs w:val="24"/>
                        </w:rPr>
                        <w:t>Ph: 615-262-6460   Fax: 615-262-6393</w:t>
                      </w:r>
                    </w:p>
                    <w:p w14:paraId="60990CB2" w14:textId="7A0E0604" w:rsidR="00737FFC" w:rsidRDefault="00737FFC">
                      <w:pPr>
                        <w:rPr>
                          <w:sz w:val="24"/>
                          <w:szCs w:val="24"/>
                        </w:rPr>
                      </w:pPr>
                      <w:r>
                        <w:rPr>
                          <w:sz w:val="24"/>
                          <w:szCs w:val="24"/>
                        </w:rPr>
                        <w:t xml:space="preserve">Email: </w:t>
                      </w:r>
                      <w:hyperlink r:id="rId24" w:history="1">
                        <w:r w:rsidRPr="00F66A9D">
                          <w:rPr>
                            <w:rStyle w:val="Hyperlink"/>
                            <w:sz w:val="24"/>
                            <w:szCs w:val="24"/>
                          </w:rPr>
                          <w:t>Tabatha.East@tn.gov</w:t>
                        </w:r>
                      </w:hyperlink>
                      <w:r>
                        <w:rPr>
                          <w:sz w:val="24"/>
                          <w:szCs w:val="24"/>
                        </w:rPr>
                        <w:t xml:space="preserve"> </w:t>
                      </w:r>
                    </w:p>
                    <w:p w14:paraId="782CFC5D" w14:textId="77777777" w:rsidR="00737FFC" w:rsidRPr="000B64D0" w:rsidRDefault="00737FFC">
                      <w:pPr>
                        <w:rPr>
                          <w:sz w:val="24"/>
                          <w:szCs w:val="24"/>
                        </w:rPr>
                      </w:pPr>
                    </w:p>
                  </w:txbxContent>
                </v:textbox>
                <w10:wrap type="square" anchorx="page"/>
              </v:shape>
            </w:pict>
          </mc:Fallback>
        </mc:AlternateContent>
      </w:r>
      <w:r w:rsidR="0064029D">
        <w:rPr>
          <w:noProof/>
        </w:rPr>
        <w:object w:dxaOrig="1440" w:dyaOrig="1440" w14:anchorId="0C2E4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35pt;width:343.5pt;height:516pt;z-index:251659264;mso-position-horizontal-relative:text;mso-position-vertical-relative:text">
            <v:imagedata r:id="rId25" o:title=""/>
            <w10:wrap type="square" side="right"/>
          </v:shape>
          <o:OLEObject Type="Embed" ProgID="Visio.Drawing.15" ShapeID="_x0000_s1028" DrawAspect="Content" ObjectID="_1690179546" r:id="rId26"/>
        </w:object>
      </w:r>
      <w:r>
        <w:br w:type="textWrapping" w:clear="all"/>
      </w:r>
    </w:p>
    <w:p w14:paraId="0F818B5D" w14:textId="2A998042" w:rsidR="00182689" w:rsidRDefault="001222A0" w:rsidP="00A00F63">
      <w:pPr>
        <w:spacing w:after="0" w:line="240" w:lineRule="auto"/>
        <w:rPr>
          <w:bCs/>
          <w:sz w:val="24"/>
          <w:szCs w:val="24"/>
          <w:u w:val="single"/>
        </w:rPr>
      </w:pPr>
      <w:r>
        <w:rPr>
          <w:bCs/>
          <w:sz w:val="24"/>
          <w:szCs w:val="24"/>
          <w:u w:val="single"/>
        </w:rPr>
        <w:lastRenderedPageBreak/>
        <w:t>Laboratory Methods and Testing Algorithm</w:t>
      </w:r>
    </w:p>
    <w:p w14:paraId="74C5794C" w14:textId="77777777" w:rsidR="00964946" w:rsidRDefault="00964946" w:rsidP="00A00F63">
      <w:pPr>
        <w:spacing w:after="0" w:line="240" w:lineRule="auto"/>
        <w:rPr>
          <w:bCs/>
          <w:sz w:val="24"/>
          <w:szCs w:val="24"/>
          <w:u w:val="single"/>
        </w:rPr>
      </w:pPr>
    </w:p>
    <w:tbl>
      <w:tblPr>
        <w:tblStyle w:val="TableGrid"/>
        <w:tblW w:w="12955" w:type="dxa"/>
        <w:tblLook w:val="04A0" w:firstRow="1" w:lastRow="0" w:firstColumn="1" w:lastColumn="0" w:noHBand="0" w:noVBand="1"/>
      </w:tblPr>
      <w:tblGrid>
        <w:gridCol w:w="2433"/>
        <w:gridCol w:w="8714"/>
        <w:gridCol w:w="1808"/>
      </w:tblGrid>
      <w:tr w:rsidR="001222A0" w14:paraId="0A041E39" w14:textId="16665C72" w:rsidTr="00EB6E8C">
        <w:tc>
          <w:tcPr>
            <w:tcW w:w="2433" w:type="dxa"/>
            <w:shd w:val="clear" w:color="auto" w:fill="D9D9D9" w:themeFill="background1" w:themeFillShade="D9"/>
            <w:vAlign w:val="center"/>
          </w:tcPr>
          <w:p w14:paraId="69924030" w14:textId="6B2C3C15" w:rsidR="001222A0" w:rsidRPr="001222A0" w:rsidRDefault="001222A0" w:rsidP="001222A0">
            <w:pPr>
              <w:jc w:val="center"/>
              <w:rPr>
                <w:b/>
                <w:sz w:val="24"/>
                <w:szCs w:val="24"/>
              </w:rPr>
            </w:pPr>
            <w:r>
              <w:rPr>
                <w:b/>
                <w:sz w:val="24"/>
                <w:szCs w:val="24"/>
              </w:rPr>
              <w:t>Test Method</w:t>
            </w:r>
          </w:p>
        </w:tc>
        <w:tc>
          <w:tcPr>
            <w:tcW w:w="9524" w:type="dxa"/>
            <w:shd w:val="clear" w:color="auto" w:fill="D9D9D9" w:themeFill="background1" w:themeFillShade="D9"/>
            <w:vAlign w:val="center"/>
          </w:tcPr>
          <w:p w14:paraId="2AB5582A" w14:textId="06762E96" w:rsidR="001222A0" w:rsidRPr="001222A0" w:rsidRDefault="001222A0" w:rsidP="001222A0">
            <w:pPr>
              <w:jc w:val="center"/>
              <w:rPr>
                <w:b/>
                <w:sz w:val="24"/>
                <w:szCs w:val="24"/>
              </w:rPr>
            </w:pPr>
            <w:r>
              <w:rPr>
                <w:b/>
                <w:sz w:val="24"/>
                <w:szCs w:val="24"/>
              </w:rPr>
              <w:t>Description</w:t>
            </w:r>
          </w:p>
        </w:tc>
        <w:tc>
          <w:tcPr>
            <w:tcW w:w="998" w:type="dxa"/>
            <w:shd w:val="clear" w:color="auto" w:fill="D9D9D9" w:themeFill="background1" w:themeFillShade="D9"/>
          </w:tcPr>
          <w:p w14:paraId="6FF54B71" w14:textId="7C33B96B" w:rsidR="001222A0" w:rsidRDefault="001222A0" w:rsidP="001222A0">
            <w:pPr>
              <w:jc w:val="center"/>
              <w:rPr>
                <w:b/>
                <w:sz w:val="24"/>
                <w:szCs w:val="24"/>
              </w:rPr>
            </w:pPr>
            <w:r>
              <w:rPr>
                <w:b/>
                <w:sz w:val="24"/>
                <w:szCs w:val="24"/>
              </w:rPr>
              <w:t>Testing Frequency</w:t>
            </w:r>
          </w:p>
        </w:tc>
      </w:tr>
      <w:tr w:rsidR="001222A0" w14:paraId="18110822" w14:textId="305C1993" w:rsidTr="00EB6E8C">
        <w:tc>
          <w:tcPr>
            <w:tcW w:w="2433" w:type="dxa"/>
            <w:vAlign w:val="center"/>
          </w:tcPr>
          <w:p w14:paraId="5B0837D0" w14:textId="72B9665F" w:rsidR="001222A0" w:rsidRDefault="001222A0" w:rsidP="001222A0">
            <w:pPr>
              <w:jc w:val="center"/>
              <w:rPr>
                <w:bCs/>
                <w:sz w:val="24"/>
                <w:szCs w:val="24"/>
              </w:rPr>
            </w:pPr>
            <w:r>
              <w:rPr>
                <w:bCs/>
                <w:sz w:val="24"/>
                <w:szCs w:val="24"/>
              </w:rPr>
              <w:t>Specimen Processing</w:t>
            </w:r>
          </w:p>
        </w:tc>
        <w:tc>
          <w:tcPr>
            <w:tcW w:w="9524" w:type="dxa"/>
          </w:tcPr>
          <w:p w14:paraId="65520EDC" w14:textId="1C94066E" w:rsidR="001222A0" w:rsidRDefault="001222A0" w:rsidP="00A00F63">
            <w:pPr>
              <w:rPr>
                <w:bCs/>
                <w:sz w:val="24"/>
                <w:szCs w:val="24"/>
              </w:rPr>
            </w:pPr>
            <w:r>
              <w:rPr>
                <w:bCs/>
                <w:sz w:val="24"/>
                <w:szCs w:val="24"/>
              </w:rPr>
              <w:t xml:space="preserve">All non-sterile specimens must be processed through a digestion and decontamination procedure.  This procedure employs N-acetyl-L-cysteine (NALC) as a mucolytic agent (digestion) and sodium hydroxide (NaOH) to decontaminate.  The sodium citrate included in this mixture exerts a stabilizing effect on the acetyl-cysteine because of its ability to bind (by chelation) many heavy metal ions that may be present in this specimen.  Reflex testing: acid-fast bacilli (AFB) smear, liquid media, and solid media.  </w:t>
            </w:r>
          </w:p>
        </w:tc>
        <w:tc>
          <w:tcPr>
            <w:tcW w:w="998" w:type="dxa"/>
            <w:vAlign w:val="center"/>
          </w:tcPr>
          <w:p w14:paraId="584DE90E" w14:textId="12E59FFA" w:rsidR="001222A0" w:rsidRDefault="001222A0" w:rsidP="001222A0">
            <w:pPr>
              <w:jc w:val="center"/>
              <w:rPr>
                <w:bCs/>
                <w:sz w:val="24"/>
                <w:szCs w:val="24"/>
              </w:rPr>
            </w:pPr>
            <w:r>
              <w:rPr>
                <w:bCs/>
                <w:sz w:val="24"/>
                <w:szCs w:val="24"/>
              </w:rPr>
              <w:t>Monday-Friday</w:t>
            </w:r>
          </w:p>
        </w:tc>
      </w:tr>
      <w:tr w:rsidR="001222A0" w14:paraId="3E127201" w14:textId="3FF290F5" w:rsidTr="00EB6E8C">
        <w:tc>
          <w:tcPr>
            <w:tcW w:w="2433" w:type="dxa"/>
            <w:vAlign w:val="center"/>
          </w:tcPr>
          <w:p w14:paraId="6071BDA4" w14:textId="0B785CE5" w:rsidR="001222A0" w:rsidRDefault="001222A0" w:rsidP="001222A0">
            <w:pPr>
              <w:jc w:val="center"/>
              <w:rPr>
                <w:bCs/>
                <w:sz w:val="24"/>
                <w:szCs w:val="24"/>
              </w:rPr>
            </w:pPr>
            <w:r>
              <w:rPr>
                <w:bCs/>
                <w:sz w:val="24"/>
                <w:szCs w:val="24"/>
              </w:rPr>
              <w:t>AFB Smear</w:t>
            </w:r>
          </w:p>
        </w:tc>
        <w:tc>
          <w:tcPr>
            <w:tcW w:w="9524" w:type="dxa"/>
          </w:tcPr>
          <w:p w14:paraId="06852CC0" w14:textId="5702836D" w:rsidR="001222A0" w:rsidRPr="001222A0" w:rsidRDefault="001222A0" w:rsidP="00A00F63">
            <w:pPr>
              <w:rPr>
                <w:bCs/>
                <w:sz w:val="24"/>
                <w:szCs w:val="24"/>
              </w:rPr>
            </w:pPr>
            <w:r>
              <w:rPr>
                <w:bCs/>
                <w:sz w:val="24"/>
                <w:szCs w:val="24"/>
              </w:rPr>
              <w:t>Direct and processed samples have slides reviewed for the presence of AFB by fluorochrome smear.  New AFB smear-positive specimens reflex to Cepheid GeneXpert</w:t>
            </w:r>
            <w:r>
              <w:rPr>
                <w:rFonts w:cstheme="minorHAnsi"/>
                <w:bCs/>
                <w:sz w:val="24"/>
                <w:szCs w:val="24"/>
                <w:vertAlign w:val="superscript"/>
              </w:rPr>
              <w:t>®</w:t>
            </w:r>
            <w:r>
              <w:rPr>
                <w:bCs/>
                <w:sz w:val="24"/>
                <w:szCs w:val="24"/>
              </w:rPr>
              <w:t xml:space="preserve"> MTB RIF assay.</w:t>
            </w:r>
          </w:p>
        </w:tc>
        <w:tc>
          <w:tcPr>
            <w:tcW w:w="998" w:type="dxa"/>
            <w:vAlign w:val="center"/>
          </w:tcPr>
          <w:p w14:paraId="57AFDCCC" w14:textId="2E35EDD4" w:rsidR="001222A0" w:rsidRDefault="001222A0" w:rsidP="001222A0">
            <w:pPr>
              <w:jc w:val="center"/>
              <w:rPr>
                <w:bCs/>
                <w:sz w:val="24"/>
                <w:szCs w:val="24"/>
              </w:rPr>
            </w:pPr>
            <w:r>
              <w:rPr>
                <w:bCs/>
                <w:sz w:val="24"/>
                <w:szCs w:val="24"/>
              </w:rPr>
              <w:t>Monday-Friday</w:t>
            </w:r>
          </w:p>
        </w:tc>
      </w:tr>
      <w:tr w:rsidR="001222A0" w14:paraId="411B5D04" w14:textId="10B65721" w:rsidTr="00EB6E8C">
        <w:tc>
          <w:tcPr>
            <w:tcW w:w="2433" w:type="dxa"/>
            <w:vAlign w:val="center"/>
          </w:tcPr>
          <w:p w14:paraId="64AC694D" w14:textId="4B24F816" w:rsidR="001222A0" w:rsidRDefault="00832E9A" w:rsidP="001222A0">
            <w:pPr>
              <w:jc w:val="center"/>
              <w:rPr>
                <w:bCs/>
                <w:sz w:val="24"/>
                <w:szCs w:val="24"/>
              </w:rPr>
            </w:pPr>
            <w:r>
              <w:rPr>
                <w:bCs/>
                <w:sz w:val="24"/>
                <w:szCs w:val="24"/>
              </w:rPr>
              <w:t>AFB Solid Media Culture</w:t>
            </w:r>
          </w:p>
        </w:tc>
        <w:tc>
          <w:tcPr>
            <w:tcW w:w="9524" w:type="dxa"/>
          </w:tcPr>
          <w:p w14:paraId="0B1EB570" w14:textId="77777777" w:rsidR="001222A0" w:rsidRDefault="00832E9A" w:rsidP="00A00F63">
            <w:pPr>
              <w:rPr>
                <w:bCs/>
                <w:sz w:val="24"/>
                <w:szCs w:val="24"/>
              </w:rPr>
            </w:pPr>
            <w:r>
              <w:rPr>
                <w:bCs/>
                <w:sz w:val="24"/>
                <w:szCs w:val="24"/>
              </w:rPr>
              <w:t>All direct and processed samples are inoculated to 7H11 Mitchison bi-plates and possible growth is reviewed weekly after week two (2) of CO</w:t>
            </w:r>
            <w:r>
              <w:rPr>
                <w:bCs/>
                <w:sz w:val="24"/>
                <w:szCs w:val="24"/>
                <w:vertAlign w:val="subscript"/>
              </w:rPr>
              <w:t>2</w:t>
            </w:r>
            <w:r>
              <w:rPr>
                <w:bCs/>
                <w:sz w:val="24"/>
                <w:szCs w:val="24"/>
              </w:rPr>
              <w:t xml:space="preserve"> incubation.  Pates are reviewed for up to six (6) weeks in total.  All samples suspected of mycobacterium growth are sent to MALDI-TOF for identification following a one (1)-month culture referral policy.</w:t>
            </w:r>
          </w:p>
          <w:p w14:paraId="5247A229" w14:textId="77777777" w:rsidR="00832E9A" w:rsidRDefault="00832E9A" w:rsidP="00A00F63">
            <w:pPr>
              <w:rPr>
                <w:bCs/>
                <w:sz w:val="24"/>
                <w:szCs w:val="24"/>
              </w:rPr>
            </w:pPr>
            <w:r>
              <w:rPr>
                <w:bCs/>
                <w:sz w:val="24"/>
                <w:szCs w:val="24"/>
                <w:u w:val="single"/>
              </w:rPr>
              <w:t>Culture referral policy</w:t>
            </w:r>
          </w:p>
          <w:p w14:paraId="3A1BA937" w14:textId="77777777" w:rsidR="00832E9A" w:rsidRDefault="00832E9A" w:rsidP="00832E9A">
            <w:pPr>
              <w:pStyle w:val="ListParagraph"/>
              <w:numPr>
                <w:ilvl w:val="0"/>
                <w:numId w:val="18"/>
              </w:numPr>
              <w:rPr>
                <w:bCs/>
                <w:sz w:val="24"/>
                <w:szCs w:val="24"/>
              </w:rPr>
            </w:pPr>
            <w:r>
              <w:rPr>
                <w:bCs/>
                <w:sz w:val="24"/>
                <w:szCs w:val="24"/>
              </w:rPr>
              <w:t xml:space="preserve">Any specimen received on the same patient for one (1) months following the identification will be referred to the </w:t>
            </w:r>
            <w:r w:rsidR="00C80B38">
              <w:rPr>
                <w:bCs/>
                <w:sz w:val="24"/>
                <w:szCs w:val="24"/>
              </w:rPr>
              <w:t>identified isolate.  Referral would be based on the date of collection of each isolation and morphology must be consistent for referral.</w:t>
            </w:r>
          </w:p>
          <w:p w14:paraId="4550A01D" w14:textId="20A03E97" w:rsidR="00C80B38" w:rsidRPr="00832E9A" w:rsidRDefault="00C80B38" w:rsidP="00832E9A">
            <w:pPr>
              <w:pStyle w:val="ListParagraph"/>
              <w:numPr>
                <w:ilvl w:val="0"/>
                <w:numId w:val="18"/>
              </w:numPr>
              <w:rPr>
                <w:bCs/>
                <w:sz w:val="24"/>
                <w:szCs w:val="24"/>
              </w:rPr>
            </w:pPr>
            <w:r>
              <w:rPr>
                <w:bCs/>
                <w:sz w:val="24"/>
                <w:szCs w:val="24"/>
              </w:rPr>
              <w:t>If morphology does not match, possible mixed culture, or the timeframe is &gt;1 month from identification, the specimen will be sent for identification testing.</w:t>
            </w:r>
          </w:p>
        </w:tc>
        <w:tc>
          <w:tcPr>
            <w:tcW w:w="998" w:type="dxa"/>
            <w:vAlign w:val="center"/>
          </w:tcPr>
          <w:p w14:paraId="3E39385F" w14:textId="17939B31" w:rsidR="001222A0" w:rsidRDefault="00832E9A" w:rsidP="001222A0">
            <w:pPr>
              <w:jc w:val="center"/>
              <w:rPr>
                <w:bCs/>
                <w:sz w:val="24"/>
                <w:szCs w:val="24"/>
              </w:rPr>
            </w:pPr>
            <w:r>
              <w:rPr>
                <w:bCs/>
                <w:sz w:val="24"/>
                <w:szCs w:val="24"/>
              </w:rPr>
              <w:t>Monday-Friday</w:t>
            </w:r>
          </w:p>
        </w:tc>
      </w:tr>
      <w:tr w:rsidR="001222A0" w14:paraId="2D855445" w14:textId="343474DF" w:rsidTr="00EB6E8C">
        <w:tc>
          <w:tcPr>
            <w:tcW w:w="2433" w:type="dxa"/>
            <w:vAlign w:val="center"/>
          </w:tcPr>
          <w:p w14:paraId="51CC2C2F" w14:textId="1E248A63" w:rsidR="001222A0" w:rsidRDefault="00C80B38" w:rsidP="001222A0">
            <w:pPr>
              <w:jc w:val="center"/>
              <w:rPr>
                <w:bCs/>
                <w:sz w:val="24"/>
                <w:szCs w:val="24"/>
              </w:rPr>
            </w:pPr>
            <w:r>
              <w:rPr>
                <w:bCs/>
                <w:sz w:val="24"/>
                <w:szCs w:val="24"/>
              </w:rPr>
              <w:t>AFB Liquid Media Culture</w:t>
            </w:r>
          </w:p>
        </w:tc>
        <w:tc>
          <w:tcPr>
            <w:tcW w:w="9524" w:type="dxa"/>
          </w:tcPr>
          <w:p w14:paraId="5EF6E53F" w14:textId="77777777" w:rsidR="001222A0" w:rsidRDefault="00C80B38" w:rsidP="00A00F63">
            <w:pPr>
              <w:rPr>
                <w:bCs/>
                <w:sz w:val="24"/>
                <w:szCs w:val="24"/>
              </w:rPr>
            </w:pPr>
            <w:r>
              <w:rPr>
                <w:bCs/>
                <w:sz w:val="24"/>
                <w:szCs w:val="24"/>
              </w:rPr>
              <w:t>VersaTREK</w:t>
            </w:r>
            <w:r>
              <w:rPr>
                <w:rFonts w:cstheme="minorHAnsi"/>
                <w:bCs/>
                <w:sz w:val="24"/>
                <w:szCs w:val="24"/>
                <w:vertAlign w:val="superscript"/>
              </w:rPr>
              <w:t>®</w:t>
            </w:r>
            <w:r>
              <w:rPr>
                <w:bCs/>
                <w:sz w:val="24"/>
                <w:szCs w:val="24"/>
              </w:rPr>
              <w:t xml:space="preserve"> Myco System is FDA-cleared for the rapid detection of mycobacteria in clinical specimens.  The following sources were used during the clinical evaluation of the VersaTREK</w:t>
            </w:r>
            <w:r>
              <w:rPr>
                <w:rFonts w:cstheme="minorHAnsi"/>
                <w:bCs/>
                <w:sz w:val="24"/>
                <w:szCs w:val="24"/>
                <w:vertAlign w:val="superscript"/>
              </w:rPr>
              <w:t>®</w:t>
            </w:r>
            <w:r>
              <w:rPr>
                <w:bCs/>
                <w:sz w:val="24"/>
                <w:szCs w:val="24"/>
              </w:rPr>
              <w:t xml:space="preserve"> Culture System: respiratory (including sputum, lavage, etc.), body fluids (including CSF, synovial fluid, pleural fluid, etc.), urine, stool, gastric aspirates, tissues, blood, and bone marrow.</w:t>
            </w:r>
          </w:p>
          <w:p w14:paraId="20C7D6BA" w14:textId="1F886680" w:rsidR="00C80B38" w:rsidRPr="00812172" w:rsidRDefault="00C80B38" w:rsidP="00A00F63">
            <w:pPr>
              <w:rPr>
                <w:bCs/>
                <w:sz w:val="24"/>
                <w:szCs w:val="24"/>
              </w:rPr>
            </w:pPr>
            <w:r>
              <w:rPr>
                <w:bCs/>
                <w:sz w:val="24"/>
                <w:szCs w:val="24"/>
              </w:rPr>
              <w:lastRenderedPageBreak/>
              <w:t>The system combines a liquid culture medium (VersaTREK</w:t>
            </w:r>
            <w:r>
              <w:rPr>
                <w:rFonts w:cstheme="minorHAnsi"/>
                <w:bCs/>
                <w:sz w:val="24"/>
                <w:szCs w:val="24"/>
                <w:vertAlign w:val="superscript"/>
              </w:rPr>
              <w:t>®</w:t>
            </w:r>
            <w:r>
              <w:rPr>
                <w:bCs/>
                <w:sz w:val="24"/>
                <w:szCs w:val="24"/>
              </w:rPr>
              <w:t xml:space="preserve"> Myco Formula), a growth supplement (VersaTREK</w:t>
            </w:r>
            <w:r>
              <w:rPr>
                <w:rFonts w:cstheme="minorHAnsi"/>
                <w:bCs/>
                <w:sz w:val="24"/>
                <w:szCs w:val="24"/>
                <w:vertAlign w:val="superscript"/>
              </w:rPr>
              <w:t>®</w:t>
            </w:r>
            <w:r>
              <w:rPr>
                <w:bCs/>
                <w:sz w:val="24"/>
                <w:szCs w:val="24"/>
              </w:rPr>
              <w:t xml:space="preserve"> Myco GS Formula), and an antibiotic supplement (VersaTREK</w:t>
            </w:r>
            <w:r>
              <w:rPr>
                <w:rFonts w:cstheme="minorHAnsi"/>
                <w:bCs/>
                <w:sz w:val="24"/>
                <w:szCs w:val="24"/>
                <w:vertAlign w:val="superscript"/>
              </w:rPr>
              <w:t>®</w:t>
            </w:r>
            <w:r>
              <w:rPr>
                <w:bCs/>
                <w:sz w:val="24"/>
                <w:szCs w:val="24"/>
              </w:rPr>
              <w:t xml:space="preserve"> Myco PVNA Formula).  The VersaTREK</w:t>
            </w:r>
            <w:r>
              <w:rPr>
                <w:rFonts w:cstheme="minorHAnsi"/>
                <w:bCs/>
                <w:sz w:val="24"/>
                <w:szCs w:val="24"/>
                <w:vertAlign w:val="superscript"/>
              </w:rPr>
              <w:t>®</w:t>
            </w:r>
            <w:r>
              <w:rPr>
                <w:bCs/>
                <w:sz w:val="24"/>
                <w:szCs w:val="24"/>
              </w:rPr>
              <w:t xml:space="preserve"> growth supplement provides substances essential for the growth of mycobacteria.  The VersaTREK</w:t>
            </w:r>
            <w:r>
              <w:rPr>
                <w:rFonts w:cstheme="minorHAnsi"/>
                <w:bCs/>
                <w:sz w:val="24"/>
                <w:szCs w:val="24"/>
                <w:vertAlign w:val="superscript"/>
              </w:rPr>
              <w:t>®</w:t>
            </w:r>
            <w:r>
              <w:rPr>
                <w:bCs/>
                <w:sz w:val="24"/>
                <w:szCs w:val="24"/>
              </w:rPr>
              <w:t xml:space="preserve"> Myco PVNA contains a mixture of antimicrobial agents used to suppress the growth of contaminating bacteria.  Sponges in the VersaTREK</w:t>
            </w:r>
            <w:r>
              <w:rPr>
                <w:rFonts w:cstheme="minorHAnsi"/>
                <w:bCs/>
                <w:sz w:val="24"/>
                <w:szCs w:val="24"/>
                <w:vertAlign w:val="superscript"/>
              </w:rPr>
              <w:t>®</w:t>
            </w:r>
            <w:r>
              <w:rPr>
                <w:bCs/>
                <w:sz w:val="24"/>
                <w:szCs w:val="24"/>
              </w:rPr>
              <w:t xml:space="preserve"> Myco bottles provide a growth-support </w:t>
            </w:r>
            <w:r w:rsidR="008E21C5">
              <w:rPr>
                <w:bCs/>
                <w:sz w:val="24"/>
                <w:szCs w:val="24"/>
              </w:rPr>
              <w:t>matrix</w:t>
            </w:r>
            <w:r>
              <w:rPr>
                <w:bCs/>
                <w:sz w:val="24"/>
                <w:szCs w:val="24"/>
              </w:rPr>
              <w:t xml:space="preserve"> and increase the surface area exposed to headspace oxygen.  The technology </w:t>
            </w:r>
            <w:r w:rsidR="00BD773F">
              <w:rPr>
                <w:bCs/>
                <w:sz w:val="24"/>
                <w:szCs w:val="24"/>
              </w:rPr>
              <w:t>of the VersaTREK</w:t>
            </w:r>
            <w:r w:rsidR="00BD773F">
              <w:rPr>
                <w:rFonts w:cstheme="minorHAnsi"/>
                <w:bCs/>
                <w:sz w:val="24"/>
                <w:szCs w:val="24"/>
                <w:vertAlign w:val="superscript"/>
              </w:rPr>
              <w:t>®</w:t>
            </w:r>
            <w:r w:rsidR="00BD773F">
              <w:rPr>
                <w:bCs/>
                <w:sz w:val="24"/>
                <w:szCs w:val="24"/>
                <w:vertAlign w:val="superscript"/>
              </w:rPr>
              <w:t xml:space="preserve"> </w:t>
            </w:r>
            <w:r w:rsidR="00BD773F">
              <w:rPr>
                <w:bCs/>
                <w:sz w:val="24"/>
                <w:szCs w:val="24"/>
              </w:rPr>
              <w:t xml:space="preserve">Culture System monitors changes in either gas production or gas consumption due to microbial growth.  This information is used to generate a curve for each bottle.  An internal algorithm analyzes the information to determine the status of each specimen.  When a certain set of conditions </w:t>
            </w:r>
            <w:r w:rsidR="00812172">
              <w:rPr>
                <w:bCs/>
                <w:sz w:val="24"/>
                <w:szCs w:val="24"/>
              </w:rPr>
              <w:t>are met, a bottle is flagged as positive.  There are approximately 10</w:t>
            </w:r>
            <w:r w:rsidR="00812172">
              <w:rPr>
                <w:bCs/>
                <w:sz w:val="24"/>
                <w:szCs w:val="24"/>
                <w:vertAlign w:val="superscript"/>
              </w:rPr>
              <w:t>6</w:t>
            </w:r>
            <w:r w:rsidR="00812172">
              <w:rPr>
                <w:bCs/>
                <w:sz w:val="24"/>
                <w:szCs w:val="24"/>
              </w:rPr>
              <w:t xml:space="preserve"> CFU/ml of mycobacteria at the time of detection.  Positive liquid media is sub-cultured, and growth is reviewed weekly for possible mycobacterium growth.  Possible growth is sent to MALDI-TOF for identification following a one (1)-month identification referral policy.  </w:t>
            </w:r>
          </w:p>
        </w:tc>
        <w:tc>
          <w:tcPr>
            <w:tcW w:w="998" w:type="dxa"/>
            <w:vAlign w:val="center"/>
          </w:tcPr>
          <w:p w14:paraId="5B74591D" w14:textId="1050AE08" w:rsidR="001222A0" w:rsidRDefault="00812172" w:rsidP="004D65F4">
            <w:pPr>
              <w:jc w:val="center"/>
              <w:rPr>
                <w:bCs/>
                <w:sz w:val="24"/>
                <w:szCs w:val="24"/>
              </w:rPr>
            </w:pPr>
            <w:r>
              <w:rPr>
                <w:bCs/>
                <w:sz w:val="24"/>
                <w:szCs w:val="24"/>
              </w:rPr>
              <w:lastRenderedPageBreak/>
              <w:t xml:space="preserve">Instrumentation runs seven (7) days/week with positive and negative bottles </w:t>
            </w:r>
            <w:r>
              <w:rPr>
                <w:bCs/>
                <w:sz w:val="24"/>
                <w:szCs w:val="24"/>
              </w:rPr>
              <w:lastRenderedPageBreak/>
              <w:t>being addressed Monday-Friday</w:t>
            </w:r>
          </w:p>
        </w:tc>
      </w:tr>
      <w:tr w:rsidR="00812172" w14:paraId="5EC9D5BB" w14:textId="77777777" w:rsidTr="00EB6E8C">
        <w:tc>
          <w:tcPr>
            <w:tcW w:w="2433" w:type="dxa"/>
            <w:vAlign w:val="center"/>
          </w:tcPr>
          <w:p w14:paraId="34DC9834" w14:textId="7BD07741" w:rsidR="00812172" w:rsidRPr="00812172" w:rsidRDefault="00812172" w:rsidP="001222A0">
            <w:pPr>
              <w:jc w:val="center"/>
              <w:rPr>
                <w:bCs/>
                <w:sz w:val="24"/>
                <w:szCs w:val="24"/>
              </w:rPr>
            </w:pPr>
            <w:r>
              <w:rPr>
                <w:bCs/>
                <w:sz w:val="24"/>
                <w:szCs w:val="24"/>
              </w:rPr>
              <w:lastRenderedPageBreak/>
              <w:t>Cepheid GeneXpert</w:t>
            </w:r>
            <w:r>
              <w:rPr>
                <w:rFonts w:cstheme="minorHAnsi"/>
                <w:bCs/>
                <w:sz w:val="24"/>
                <w:szCs w:val="24"/>
                <w:vertAlign w:val="superscript"/>
              </w:rPr>
              <w:t>®</w:t>
            </w:r>
          </w:p>
        </w:tc>
        <w:tc>
          <w:tcPr>
            <w:tcW w:w="9524" w:type="dxa"/>
          </w:tcPr>
          <w:p w14:paraId="0DC7E2E1" w14:textId="497B76EF" w:rsidR="00812172" w:rsidRPr="00812172" w:rsidRDefault="00812172" w:rsidP="00A00F63">
            <w:pPr>
              <w:rPr>
                <w:bCs/>
                <w:sz w:val="24"/>
                <w:szCs w:val="24"/>
              </w:rPr>
            </w:pPr>
            <w:r>
              <w:rPr>
                <w:bCs/>
                <w:sz w:val="24"/>
                <w:szCs w:val="24"/>
              </w:rPr>
              <w:t>The GeneXpert</w:t>
            </w:r>
            <w:r>
              <w:rPr>
                <w:rFonts w:cstheme="minorHAnsi"/>
                <w:bCs/>
                <w:sz w:val="24"/>
                <w:szCs w:val="24"/>
                <w:vertAlign w:val="superscript"/>
              </w:rPr>
              <w:t>®</w:t>
            </w:r>
            <w:r>
              <w:rPr>
                <w:bCs/>
                <w:sz w:val="24"/>
                <w:szCs w:val="24"/>
              </w:rPr>
              <w:t xml:space="preserve"> Dx system integrates and automates sample processing, nucleic acid amplification, and detection of the target sequences in simple or complex samples using real-time PCR and reverse transcriptase PCR.  It consists of self-contained test cartridge that eliminates cross-contamination between samples.  Assay includes reagents for detection of </w:t>
            </w:r>
            <w:r>
              <w:rPr>
                <w:bCs/>
                <w:i/>
                <w:iCs/>
                <w:sz w:val="24"/>
                <w:szCs w:val="24"/>
              </w:rPr>
              <w:t>Mycobacterium tuberculosis</w:t>
            </w:r>
            <w:r>
              <w:rPr>
                <w:bCs/>
                <w:sz w:val="24"/>
                <w:szCs w:val="24"/>
              </w:rPr>
              <w:t xml:space="preserve"> and rifampin (RIF) resistance as well as sample processing control (SPC) to control for adequate processing of the target bacteria and to monitor the presence of inhibitor(s) in the PCR reaction.  The Probe Check Control (PCC) verifies reagent rehydration, PCR tube filling in the cartridge, probe integrity, and dye stability.  Testing is performed on all new AFB smear-positive samples as well as any smear-negative samples that are requested by the Tennessee TB Elimination Program.  </w:t>
            </w:r>
          </w:p>
        </w:tc>
        <w:tc>
          <w:tcPr>
            <w:tcW w:w="998" w:type="dxa"/>
            <w:vAlign w:val="center"/>
          </w:tcPr>
          <w:p w14:paraId="48577900" w14:textId="52006E89" w:rsidR="00812172" w:rsidRDefault="00964946" w:rsidP="001222A0">
            <w:pPr>
              <w:jc w:val="center"/>
              <w:rPr>
                <w:bCs/>
                <w:sz w:val="24"/>
                <w:szCs w:val="24"/>
              </w:rPr>
            </w:pPr>
            <w:r>
              <w:rPr>
                <w:bCs/>
                <w:sz w:val="24"/>
                <w:szCs w:val="24"/>
              </w:rPr>
              <w:t>Dependent on smear-positive results and upon request from TB Elimination Program</w:t>
            </w:r>
          </w:p>
        </w:tc>
      </w:tr>
      <w:tr w:rsidR="004C6CF9" w14:paraId="2B98F881" w14:textId="77777777" w:rsidTr="00EB6E8C">
        <w:tc>
          <w:tcPr>
            <w:tcW w:w="2433" w:type="dxa"/>
            <w:vAlign w:val="center"/>
          </w:tcPr>
          <w:p w14:paraId="6BC0F625" w14:textId="15F21926" w:rsidR="004C6CF9" w:rsidRDefault="004C6CF9" w:rsidP="001222A0">
            <w:pPr>
              <w:jc w:val="center"/>
              <w:rPr>
                <w:bCs/>
                <w:sz w:val="24"/>
                <w:szCs w:val="24"/>
              </w:rPr>
            </w:pPr>
            <w:r>
              <w:rPr>
                <w:bCs/>
                <w:sz w:val="24"/>
                <w:szCs w:val="24"/>
              </w:rPr>
              <w:t>DNA Probe</w:t>
            </w:r>
          </w:p>
        </w:tc>
        <w:tc>
          <w:tcPr>
            <w:tcW w:w="9524" w:type="dxa"/>
          </w:tcPr>
          <w:p w14:paraId="64AFD64F" w14:textId="6F95FDC8" w:rsidR="004C6CF9" w:rsidRPr="004C6CF9" w:rsidRDefault="004C6CF9" w:rsidP="00A00F63">
            <w:pPr>
              <w:rPr>
                <w:bCs/>
                <w:sz w:val="24"/>
                <w:szCs w:val="24"/>
              </w:rPr>
            </w:pPr>
            <w:r>
              <w:rPr>
                <w:bCs/>
                <w:sz w:val="24"/>
                <w:szCs w:val="24"/>
              </w:rPr>
              <w:t>The GEN-PROBE</w:t>
            </w:r>
            <w:r>
              <w:rPr>
                <w:rFonts w:cstheme="minorHAnsi"/>
                <w:bCs/>
                <w:sz w:val="24"/>
                <w:szCs w:val="24"/>
                <w:vertAlign w:val="superscript"/>
              </w:rPr>
              <w:t>®</w:t>
            </w:r>
            <w:r>
              <w:rPr>
                <w:bCs/>
                <w:sz w:val="24"/>
                <w:szCs w:val="24"/>
              </w:rPr>
              <w:t xml:space="preserve"> ACCUPROBE</w:t>
            </w:r>
            <w:r>
              <w:rPr>
                <w:rFonts w:cstheme="minorHAnsi"/>
                <w:bCs/>
                <w:sz w:val="24"/>
                <w:szCs w:val="24"/>
                <w:vertAlign w:val="superscript"/>
              </w:rPr>
              <w:t>®</w:t>
            </w:r>
            <w:r>
              <w:rPr>
                <w:bCs/>
                <w:sz w:val="24"/>
                <w:szCs w:val="24"/>
              </w:rPr>
              <w:t xml:space="preserve"> identification test is a rapid DNA probe test that utilizes the technique of nucleic acid hybridization for culture identification of </w:t>
            </w:r>
            <w:r>
              <w:rPr>
                <w:bCs/>
                <w:i/>
                <w:iCs/>
                <w:sz w:val="24"/>
                <w:szCs w:val="24"/>
              </w:rPr>
              <w:t>M. tuberculosis</w:t>
            </w:r>
            <w:r>
              <w:rPr>
                <w:bCs/>
                <w:sz w:val="24"/>
                <w:szCs w:val="24"/>
              </w:rPr>
              <w:t xml:space="preserve"> complex.  This testing only performed when a GeneXpert</w:t>
            </w:r>
            <w:r>
              <w:rPr>
                <w:rFonts w:cstheme="minorHAnsi"/>
                <w:bCs/>
                <w:sz w:val="24"/>
                <w:szCs w:val="24"/>
                <w:vertAlign w:val="superscript"/>
              </w:rPr>
              <w:t>®</w:t>
            </w:r>
            <w:r>
              <w:rPr>
                <w:bCs/>
                <w:sz w:val="24"/>
                <w:szCs w:val="24"/>
              </w:rPr>
              <w:t xml:space="preserve"> positive sample occurs for </w:t>
            </w:r>
            <w:r>
              <w:rPr>
                <w:bCs/>
                <w:sz w:val="24"/>
                <w:szCs w:val="24"/>
              </w:rPr>
              <w:lastRenderedPageBreak/>
              <w:t>fast tracking of drug-susceptibility testing (DST).  Testing is performed on all GeneXpert</w:t>
            </w:r>
            <w:r>
              <w:rPr>
                <w:rFonts w:cstheme="minorHAnsi"/>
                <w:bCs/>
                <w:sz w:val="24"/>
                <w:szCs w:val="24"/>
                <w:vertAlign w:val="superscript"/>
              </w:rPr>
              <w:t>®</w:t>
            </w:r>
            <w:r>
              <w:rPr>
                <w:bCs/>
                <w:sz w:val="24"/>
                <w:szCs w:val="24"/>
              </w:rPr>
              <w:t xml:space="preserve"> positive samples when MGIT tubes flag positive.</w:t>
            </w:r>
          </w:p>
        </w:tc>
        <w:tc>
          <w:tcPr>
            <w:tcW w:w="998" w:type="dxa"/>
            <w:vAlign w:val="center"/>
          </w:tcPr>
          <w:p w14:paraId="48BD920E" w14:textId="16721A24" w:rsidR="004C6CF9" w:rsidRDefault="007E3F7B" w:rsidP="001222A0">
            <w:pPr>
              <w:jc w:val="center"/>
              <w:rPr>
                <w:bCs/>
                <w:sz w:val="24"/>
                <w:szCs w:val="24"/>
              </w:rPr>
            </w:pPr>
            <w:r>
              <w:rPr>
                <w:bCs/>
                <w:sz w:val="24"/>
                <w:szCs w:val="24"/>
              </w:rPr>
              <w:lastRenderedPageBreak/>
              <w:t xml:space="preserve">Only when liquid is received and </w:t>
            </w:r>
            <w:r>
              <w:rPr>
                <w:bCs/>
                <w:sz w:val="24"/>
                <w:szCs w:val="24"/>
              </w:rPr>
              <w:lastRenderedPageBreak/>
              <w:t>soon to be discontinued</w:t>
            </w:r>
          </w:p>
        </w:tc>
      </w:tr>
      <w:tr w:rsidR="004C6CF9" w14:paraId="0C4C9E3E" w14:textId="77777777" w:rsidTr="00EB6E8C">
        <w:tc>
          <w:tcPr>
            <w:tcW w:w="2433" w:type="dxa"/>
            <w:vAlign w:val="center"/>
          </w:tcPr>
          <w:p w14:paraId="0CA08A71" w14:textId="48A71307" w:rsidR="004C6CF9" w:rsidRDefault="004C6CF9" w:rsidP="001222A0">
            <w:pPr>
              <w:jc w:val="center"/>
              <w:rPr>
                <w:bCs/>
                <w:sz w:val="24"/>
                <w:szCs w:val="24"/>
              </w:rPr>
            </w:pPr>
            <w:r>
              <w:rPr>
                <w:bCs/>
                <w:sz w:val="24"/>
                <w:szCs w:val="24"/>
              </w:rPr>
              <w:lastRenderedPageBreak/>
              <w:t>LiPA</w:t>
            </w:r>
          </w:p>
        </w:tc>
        <w:tc>
          <w:tcPr>
            <w:tcW w:w="9524" w:type="dxa"/>
          </w:tcPr>
          <w:p w14:paraId="05EBD8D6" w14:textId="111B8997" w:rsidR="004C6CF9" w:rsidRDefault="00755DCA" w:rsidP="00A00F63">
            <w:pPr>
              <w:rPr>
                <w:bCs/>
                <w:sz w:val="24"/>
                <w:szCs w:val="24"/>
              </w:rPr>
            </w:pPr>
            <w:r>
              <w:rPr>
                <w:bCs/>
                <w:sz w:val="24"/>
                <w:szCs w:val="24"/>
              </w:rPr>
              <w:t>LiPA is based on the reverse hybridization principle.  Biotinylated DNA material is hybridized with specific oligonucleotide probes immobilized as parallel lines on membrane-based strips.  After hybridization, streptavidin labeled with alkaline phosphatase is added and bound to any biotinylated hybrid previously formed.  Incubation with 5-bromo-4-chloro-3-indolyl phosphate and nitroblue tetrazolium (BCIP/NBT) chromogen results in purple/brown precipitate.  To perform the LiPA, amplification of the 16S-23S ribosomal rRNA spacer region should be carried out.  Amplification products are subsequently hybridized using 1 typing strip onto which 22 parallel DNA probe lines and 2 control lines are fixed.  This method is used to identify mixed or contaminated cultures only.  Testing is reflexed if a reportable score is not obtained by MALDI-TOF or the isolate appears to be a mixed culture or contaminated.</w:t>
            </w:r>
          </w:p>
        </w:tc>
        <w:tc>
          <w:tcPr>
            <w:tcW w:w="998" w:type="dxa"/>
            <w:vAlign w:val="center"/>
          </w:tcPr>
          <w:p w14:paraId="43EA3DAB" w14:textId="1E122E73" w:rsidR="004C6CF9" w:rsidRDefault="00755DCA" w:rsidP="001222A0">
            <w:pPr>
              <w:jc w:val="center"/>
              <w:rPr>
                <w:bCs/>
                <w:sz w:val="24"/>
                <w:szCs w:val="24"/>
              </w:rPr>
            </w:pPr>
            <w:r>
              <w:rPr>
                <w:bCs/>
                <w:sz w:val="24"/>
                <w:szCs w:val="24"/>
              </w:rPr>
              <w:t>Bi-monthly</w:t>
            </w:r>
          </w:p>
        </w:tc>
      </w:tr>
      <w:tr w:rsidR="00755DCA" w14:paraId="6C00C438" w14:textId="77777777" w:rsidTr="00EB6E8C">
        <w:tc>
          <w:tcPr>
            <w:tcW w:w="2433" w:type="dxa"/>
            <w:vAlign w:val="center"/>
          </w:tcPr>
          <w:p w14:paraId="2CEC9639" w14:textId="1A078C2B" w:rsidR="00755DCA" w:rsidRDefault="00FF5C5B" w:rsidP="001222A0">
            <w:pPr>
              <w:jc w:val="center"/>
              <w:rPr>
                <w:bCs/>
                <w:sz w:val="24"/>
                <w:szCs w:val="24"/>
              </w:rPr>
            </w:pPr>
            <w:r>
              <w:rPr>
                <w:bCs/>
                <w:sz w:val="24"/>
                <w:szCs w:val="24"/>
              </w:rPr>
              <w:t>MALDI-TOF (Matrix-Assisted Laster Desorption/Ionization)</w:t>
            </w:r>
          </w:p>
        </w:tc>
        <w:tc>
          <w:tcPr>
            <w:tcW w:w="9524" w:type="dxa"/>
          </w:tcPr>
          <w:p w14:paraId="0B4BCA46" w14:textId="67729C16" w:rsidR="00755DCA" w:rsidRDefault="00FF5C5B" w:rsidP="00A00F63">
            <w:pPr>
              <w:rPr>
                <w:bCs/>
                <w:sz w:val="24"/>
                <w:szCs w:val="24"/>
              </w:rPr>
            </w:pPr>
            <w:r>
              <w:rPr>
                <w:bCs/>
                <w:sz w:val="24"/>
                <w:szCs w:val="24"/>
              </w:rPr>
              <w:t xml:space="preserve">MALDI-TOF is a mass spectrometry process that transforms the proteins and peptides of a microorganism into positively charged ions.  The samples are analyzed from a fresh culture and then transferred to a selected position onto the sample plate.  Each sample will have matrix added which absorbs the laser energy and transfers protons to the intact proteins or peptides in the gas phase.  These ions become electrostatically accelerated and travel through the flight tube.  Each ion’s mass will determine the speed at which it travels through the flight tube to the detector.  The system measures the time (nanosecond range) between the pulsed acceleration and the detector signal of ions.  The time is then converted into an exact molecular mass.  Each organism has a unique “molecular fingerprint” that identifies it.  The acquired mass spectra </w:t>
            </w:r>
            <w:r w:rsidR="00B66DE6">
              <w:rPr>
                <w:bCs/>
                <w:sz w:val="24"/>
                <w:szCs w:val="24"/>
              </w:rPr>
              <w:t>are</w:t>
            </w:r>
            <w:r>
              <w:rPr>
                <w:bCs/>
                <w:sz w:val="24"/>
                <w:szCs w:val="24"/>
              </w:rPr>
              <w:t xml:space="preserve"> then transformed to a peak list and compared to the reference library.  All suspect </w:t>
            </w:r>
            <w:r w:rsidR="00B66DE6">
              <w:rPr>
                <w:bCs/>
                <w:sz w:val="24"/>
                <w:szCs w:val="24"/>
              </w:rPr>
              <w:t xml:space="preserve">mycobacterium samples undergo the Mycobacterial Extract protocol requiring heat inactivation.  </w:t>
            </w:r>
          </w:p>
        </w:tc>
        <w:tc>
          <w:tcPr>
            <w:tcW w:w="998" w:type="dxa"/>
            <w:vAlign w:val="center"/>
          </w:tcPr>
          <w:p w14:paraId="759B906E" w14:textId="6625877D" w:rsidR="00755DCA" w:rsidRDefault="00B66DE6" w:rsidP="001222A0">
            <w:pPr>
              <w:jc w:val="center"/>
              <w:rPr>
                <w:bCs/>
                <w:sz w:val="24"/>
                <w:szCs w:val="24"/>
              </w:rPr>
            </w:pPr>
            <w:r>
              <w:rPr>
                <w:bCs/>
                <w:sz w:val="24"/>
                <w:szCs w:val="24"/>
              </w:rPr>
              <w:t>At least twice/week</w:t>
            </w:r>
          </w:p>
        </w:tc>
      </w:tr>
      <w:tr w:rsidR="004D65F4" w14:paraId="469A1595" w14:textId="77777777" w:rsidTr="00EB6E8C">
        <w:tc>
          <w:tcPr>
            <w:tcW w:w="2433" w:type="dxa"/>
            <w:vAlign w:val="center"/>
          </w:tcPr>
          <w:p w14:paraId="443D1BE5" w14:textId="777A8FD1" w:rsidR="004D65F4" w:rsidRDefault="004D65F4" w:rsidP="001222A0">
            <w:pPr>
              <w:jc w:val="center"/>
              <w:rPr>
                <w:bCs/>
                <w:sz w:val="24"/>
                <w:szCs w:val="24"/>
              </w:rPr>
            </w:pPr>
            <w:r>
              <w:rPr>
                <w:bCs/>
                <w:sz w:val="24"/>
                <w:szCs w:val="24"/>
              </w:rPr>
              <w:t>Drug-Susceptibility Testing (DST)</w:t>
            </w:r>
          </w:p>
        </w:tc>
        <w:tc>
          <w:tcPr>
            <w:tcW w:w="9524" w:type="dxa"/>
          </w:tcPr>
          <w:p w14:paraId="2F29ED91" w14:textId="77777777" w:rsidR="004D65F4" w:rsidRDefault="004D65F4" w:rsidP="00A00F63">
            <w:pPr>
              <w:rPr>
                <w:bCs/>
                <w:sz w:val="24"/>
                <w:szCs w:val="24"/>
              </w:rPr>
            </w:pPr>
            <w:r>
              <w:rPr>
                <w:bCs/>
                <w:sz w:val="24"/>
                <w:szCs w:val="24"/>
              </w:rPr>
              <w:t>The BACTEC</w:t>
            </w:r>
            <w:r>
              <w:rPr>
                <w:rFonts w:cstheme="minorHAnsi"/>
                <w:bCs/>
                <w:sz w:val="24"/>
                <w:szCs w:val="24"/>
                <w:vertAlign w:val="superscript"/>
              </w:rPr>
              <w:t>™</w:t>
            </w:r>
            <w:r>
              <w:rPr>
                <w:bCs/>
                <w:sz w:val="24"/>
                <w:szCs w:val="24"/>
              </w:rPr>
              <w:t xml:space="preserve"> MGIT</w:t>
            </w:r>
            <w:r>
              <w:rPr>
                <w:rFonts w:cstheme="minorHAnsi"/>
                <w:bCs/>
                <w:sz w:val="24"/>
                <w:szCs w:val="24"/>
                <w:vertAlign w:val="superscript"/>
              </w:rPr>
              <w:t>™</w:t>
            </w:r>
            <w:r>
              <w:rPr>
                <w:bCs/>
                <w:sz w:val="24"/>
                <w:szCs w:val="24"/>
              </w:rPr>
              <w:t xml:space="preserve"> 960 SIRE kit and BACTEC</w:t>
            </w:r>
            <w:r>
              <w:rPr>
                <w:rFonts w:cstheme="minorHAnsi"/>
                <w:bCs/>
                <w:sz w:val="24"/>
                <w:szCs w:val="24"/>
                <w:vertAlign w:val="superscript"/>
              </w:rPr>
              <w:t>™</w:t>
            </w:r>
            <w:r>
              <w:rPr>
                <w:bCs/>
                <w:sz w:val="24"/>
                <w:szCs w:val="24"/>
              </w:rPr>
              <w:t xml:space="preserve"> MGIT</w:t>
            </w:r>
            <w:r>
              <w:rPr>
                <w:rFonts w:cstheme="minorHAnsi"/>
                <w:bCs/>
                <w:sz w:val="24"/>
                <w:szCs w:val="24"/>
                <w:vertAlign w:val="superscript"/>
              </w:rPr>
              <w:t>™</w:t>
            </w:r>
            <w:r>
              <w:rPr>
                <w:bCs/>
                <w:sz w:val="24"/>
                <w:szCs w:val="24"/>
              </w:rPr>
              <w:t xml:space="preserve"> 960 PZA kit are used as a rapid qualitative procedure for susceptibility testing of </w:t>
            </w:r>
            <w:r>
              <w:rPr>
                <w:bCs/>
                <w:i/>
                <w:iCs/>
                <w:sz w:val="24"/>
                <w:szCs w:val="24"/>
              </w:rPr>
              <w:t>Mycobacterium tuberculosis</w:t>
            </w:r>
            <w:r>
              <w:rPr>
                <w:bCs/>
                <w:sz w:val="24"/>
                <w:szCs w:val="24"/>
              </w:rPr>
              <w:t xml:space="preserve"> complex (MTBC) to streptomycin (STR), isoniazid (INH), rifampin (RIF), ethambutol (EMB), and </w:t>
            </w:r>
            <w:r>
              <w:rPr>
                <w:bCs/>
                <w:sz w:val="24"/>
                <w:szCs w:val="24"/>
              </w:rPr>
              <w:lastRenderedPageBreak/>
              <w:t>pyrazinamide (PZA).  The BACTEC</w:t>
            </w:r>
            <w:r>
              <w:rPr>
                <w:rFonts w:cstheme="minorHAnsi"/>
                <w:bCs/>
                <w:sz w:val="24"/>
                <w:szCs w:val="24"/>
                <w:vertAlign w:val="superscript"/>
              </w:rPr>
              <w:t>™</w:t>
            </w:r>
            <w:r>
              <w:rPr>
                <w:bCs/>
                <w:sz w:val="24"/>
                <w:szCs w:val="24"/>
              </w:rPr>
              <w:t xml:space="preserve"> MGIT</w:t>
            </w:r>
            <w:r>
              <w:rPr>
                <w:rFonts w:cstheme="minorHAnsi"/>
                <w:bCs/>
                <w:sz w:val="24"/>
                <w:szCs w:val="24"/>
                <w:vertAlign w:val="superscript"/>
              </w:rPr>
              <w:t>™</w:t>
            </w:r>
            <w:r>
              <w:rPr>
                <w:bCs/>
                <w:sz w:val="24"/>
                <w:szCs w:val="24"/>
              </w:rPr>
              <w:t xml:space="preserve"> 960 STR 4.0 kit and the BACTEC</w:t>
            </w:r>
            <w:r>
              <w:rPr>
                <w:rFonts w:cstheme="minorHAnsi"/>
                <w:bCs/>
                <w:sz w:val="24"/>
                <w:szCs w:val="24"/>
                <w:vertAlign w:val="superscript"/>
              </w:rPr>
              <w:t>™</w:t>
            </w:r>
            <w:r>
              <w:rPr>
                <w:bCs/>
                <w:sz w:val="24"/>
                <w:szCs w:val="24"/>
              </w:rPr>
              <w:t xml:space="preserve"> MGIT</w:t>
            </w:r>
            <w:r>
              <w:rPr>
                <w:rFonts w:cstheme="minorHAnsi"/>
                <w:bCs/>
                <w:sz w:val="24"/>
                <w:szCs w:val="24"/>
                <w:vertAlign w:val="superscript"/>
              </w:rPr>
              <w:t>™</w:t>
            </w:r>
            <w:r>
              <w:rPr>
                <w:bCs/>
                <w:sz w:val="24"/>
                <w:szCs w:val="24"/>
              </w:rPr>
              <w:t xml:space="preserve"> 960 INH 0.4 kit are for testing at higher drug concentrations.</w:t>
            </w:r>
          </w:p>
          <w:p w14:paraId="1212E31E" w14:textId="77777777" w:rsidR="004D65F4" w:rsidRDefault="004D65F4" w:rsidP="00A00F63">
            <w:pPr>
              <w:rPr>
                <w:bCs/>
                <w:sz w:val="24"/>
                <w:szCs w:val="24"/>
              </w:rPr>
            </w:pPr>
            <w:r>
              <w:rPr>
                <w:bCs/>
                <w:sz w:val="24"/>
                <w:szCs w:val="24"/>
              </w:rPr>
              <w:t>The BACTEC</w:t>
            </w:r>
            <w:r>
              <w:rPr>
                <w:rFonts w:cstheme="minorHAnsi"/>
                <w:bCs/>
                <w:sz w:val="24"/>
                <w:szCs w:val="24"/>
                <w:vertAlign w:val="superscript"/>
              </w:rPr>
              <w:t>™</w:t>
            </w:r>
            <w:r>
              <w:rPr>
                <w:bCs/>
                <w:sz w:val="24"/>
                <w:szCs w:val="24"/>
              </w:rPr>
              <w:t xml:space="preserve"> MGIT</w:t>
            </w:r>
            <w:r>
              <w:rPr>
                <w:rFonts w:cstheme="minorHAnsi"/>
                <w:bCs/>
                <w:sz w:val="24"/>
                <w:szCs w:val="24"/>
                <w:vertAlign w:val="superscript"/>
              </w:rPr>
              <w:t>™</w:t>
            </w:r>
            <w:r>
              <w:rPr>
                <w:bCs/>
                <w:sz w:val="24"/>
                <w:szCs w:val="24"/>
              </w:rPr>
              <w:t xml:space="preserve"> 960 SIRE kit is a 4–13-day qualitative testing while the BACTEC</w:t>
            </w:r>
            <w:r>
              <w:rPr>
                <w:rFonts w:cstheme="minorHAnsi"/>
                <w:bCs/>
                <w:sz w:val="24"/>
                <w:szCs w:val="24"/>
                <w:vertAlign w:val="superscript"/>
              </w:rPr>
              <w:t>™</w:t>
            </w:r>
            <w:r>
              <w:rPr>
                <w:bCs/>
                <w:sz w:val="24"/>
                <w:szCs w:val="24"/>
              </w:rPr>
              <w:t xml:space="preserve"> MGIT</w:t>
            </w:r>
            <w:r>
              <w:rPr>
                <w:rFonts w:cstheme="minorHAnsi"/>
                <w:bCs/>
                <w:sz w:val="24"/>
                <w:szCs w:val="24"/>
                <w:vertAlign w:val="superscript"/>
              </w:rPr>
              <w:t>™</w:t>
            </w:r>
            <w:r>
              <w:rPr>
                <w:bCs/>
                <w:sz w:val="24"/>
                <w:szCs w:val="24"/>
              </w:rPr>
              <w:t xml:space="preserve"> 960 PZA kit is a 4-21-day qualitative test.  The test is based on growth of the </w:t>
            </w:r>
            <w:r>
              <w:rPr>
                <w:bCs/>
                <w:i/>
                <w:iCs/>
                <w:sz w:val="24"/>
                <w:szCs w:val="24"/>
              </w:rPr>
              <w:t>M. tuberculosis</w:t>
            </w:r>
            <w:r>
              <w:rPr>
                <w:bCs/>
                <w:sz w:val="24"/>
                <w:szCs w:val="24"/>
              </w:rPr>
              <w:t xml:space="preserve"> isolate in a drug-containing tube compared to a drug-free tube (growth control).  The BACTEC</w:t>
            </w:r>
            <w:r>
              <w:rPr>
                <w:rFonts w:cstheme="minorHAnsi"/>
                <w:bCs/>
                <w:sz w:val="24"/>
                <w:szCs w:val="24"/>
                <w:vertAlign w:val="superscript"/>
              </w:rPr>
              <w:t>™</w:t>
            </w:r>
            <w:r>
              <w:rPr>
                <w:bCs/>
                <w:sz w:val="24"/>
                <w:szCs w:val="24"/>
              </w:rPr>
              <w:t xml:space="preserve"> MGIT</w:t>
            </w:r>
            <w:r>
              <w:rPr>
                <w:rFonts w:cstheme="minorHAnsi"/>
                <w:bCs/>
                <w:sz w:val="24"/>
                <w:szCs w:val="24"/>
                <w:vertAlign w:val="superscript"/>
              </w:rPr>
              <w:t>™</w:t>
            </w:r>
            <w:r>
              <w:rPr>
                <w:bCs/>
                <w:sz w:val="24"/>
                <w:szCs w:val="24"/>
              </w:rPr>
              <w:t xml:space="preserve"> 960 instrument continuously monitors tubes for increased fluorescence.  Analysis of fluorescence in the drug-containing tube compared to the fluorescence of the growth control tube is used by the instrument to determine susceptibility results.</w:t>
            </w:r>
          </w:p>
          <w:p w14:paraId="7763E7F8" w14:textId="42E060FB" w:rsidR="004D65F4" w:rsidRPr="004D65F4" w:rsidRDefault="004D65F4" w:rsidP="00A00F63">
            <w:pPr>
              <w:rPr>
                <w:bCs/>
                <w:sz w:val="24"/>
                <w:szCs w:val="24"/>
              </w:rPr>
            </w:pPr>
            <w:r>
              <w:rPr>
                <w:bCs/>
                <w:sz w:val="24"/>
                <w:szCs w:val="24"/>
              </w:rPr>
              <w:t xml:space="preserve">DST is performed on all </w:t>
            </w:r>
            <w:r w:rsidR="008E21C5">
              <w:rPr>
                <w:bCs/>
                <w:sz w:val="24"/>
                <w:szCs w:val="24"/>
              </w:rPr>
              <w:t>newly identified</w:t>
            </w:r>
            <w:r>
              <w:rPr>
                <w:bCs/>
                <w:sz w:val="24"/>
                <w:szCs w:val="24"/>
              </w:rPr>
              <w:t xml:space="preserve"> MTBC patients and any patient that has remained culture positive for </w:t>
            </w:r>
            <w:r>
              <w:rPr>
                <w:bCs/>
                <w:i/>
                <w:iCs/>
                <w:sz w:val="24"/>
                <w:szCs w:val="24"/>
              </w:rPr>
              <w:t>Mycobacterium tuberculosis</w:t>
            </w:r>
            <w:r>
              <w:rPr>
                <w:bCs/>
                <w:sz w:val="24"/>
                <w:szCs w:val="24"/>
              </w:rPr>
              <w:t xml:space="preserve"> complex for three (3) months or longer from the initial isolate identified as MTBC.  </w:t>
            </w:r>
          </w:p>
        </w:tc>
        <w:tc>
          <w:tcPr>
            <w:tcW w:w="998" w:type="dxa"/>
            <w:vAlign w:val="center"/>
          </w:tcPr>
          <w:p w14:paraId="4EC715BF" w14:textId="7B42A349" w:rsidR="004D65F4" w:rsidRDefault="004D65F4" w:rsidP="001222A0">
            <w:pPr>
              <w:jc w:val="center"/>
              <w:rPr>
                <w:bCs/>
                <w:sz w:val="24"/>
                <w:szCs w:val="24"/>
              </w:rPr>
            </w:pPr>
            <w:r>
              <w:rPr>
                <w:bCs/>
                <w:sz w:val="24"/>
                <w:szCs w:val="24"/>
              </w:rPr>
              <w:lastRenderedPageBreak/>
              <w:t>Twice/week</w:t>
            </w:r>
          </w:p>
        </w:tc>
      </w:tr>
      <w:tr w:rsidR="00EE5C2D" w14:paraId="7C0C58C7" w14:textId="77777777" w:rsidTr="00EB6E8C">
        <w:tc>
          <w:tcPr>
            <w:tcW w:w="2433" w:type="dxa"/>
            <w:vAlign w:val="center"/>
          </w:tcPr>
          <w:p w14:paraId="666C77D6" w14:textId="01AB1A08" w:rsidR="00EE5C2D" w:rsidRPr="00EE5C2D" w:rsidRDefault="00EE5C2D" w:rsidP="001222A0">
            <w:pPr>
              <w:jc w:val="center"/>
              <w:rPr>
                <w:bCs/>
                <w:sz w:val="24"/>
                <w:szCs w:val="24"/>
              </w:rPr>
            </w:pPr>
            <w:r>
              <w:rPr>
                <w:bCs/>
                <w:sz w:val="24"/>
                <w:szCs w:val="24"/>
              </w:rPr>
              <w:t>Interferon-Gamma Release Assay (IGRA) - QuantiFERON</w:t>
            </w:r>
            <w:r>
              <w:rPr>
                <w:rFonts w:cstheme="minorHAnsi"/>
                <w:bCs/>
                <w:sz w:val="24"/>
                <w:szCs w:val="24"/>
                <w:vertAlign w:val="superscript"/>
              </w:rPr>
              <w:t>®</w:t>
            </w:r>
            <w:r>
              <w:rPr>
                <w:bCs/>
                <w:sz w:val="24"/>
                <w:szCs w:val="24"/>
              </w:rPr>
              <w:t>-TB Gold Plus (QFT Plus)</w:t>
            </w:r>
          </w:p>
        </w:tc>
        <w:tc>
          <w:tcPr>
            <w:tcW w:w="9524" w:type="dxa"/>
          </w:tcPr>
          <w:p w14:paraId="6A3E3F4E" w14:textId="0DC0CF6E" w:rsidR="00EE5C2D" w:rsidRPr="00964946" w:rsidRDefault="00EE5C2D" w:rsidP="00A00F63">
            <w:pPr>
              <w:rPr>
                <w:bCs/>
                <w:sz w:val="24"/>
                <w:szCs w:val="24"/>
              </w:rPr>
            </w:pPr>
            <w:r>
              <w:rPr>
                <w:bCs/>
                <w:sz w:val="24"/>
                <w:szCs w:val="24"/>
              </w:rPr>
              <w:t>The QuantiFERON</w:t>
            </w:r>
            <w:r>
              <w:rPr>
                <w:rFonts w:cstheme="minorHAnsi"/>
                <w:bCs/>
                <w:sz w:val="24"/>
                <w:szCs w:val="24"/>
                <w:vertAlign w:val="superscript"/>
              </w:rPr>
              <w:t>®</w:t>
            </w:r>
            <w:r>
              <w:rPr>
                <w:bCs/>
                <w:sz w:val="24"/>
                <w:szCs w:val="24"/>
              </w:rPr>
              <w:t xml:space="preserve">-TB Gold Plus (QFT Plus) is an </w:t>
            </w:r>
            <w:r>
              <w:rPr>
                <w:bCs/>
                <w:i/>
                <w:iCs/>
                <w:sz w:val="24"/>
                <w:szCs w:val="24"/>
              </w:rPr>
              <w:t>in vitro</w:t>
            </w:r>
            <w:r>
              <w:rPr>
                <w:bCs/>
                <w:sz w:val="24"/>
                <w:szCs w:val="24"/>
              </w:rPr>
              <w:t xml:space="preserve"> diagnostic test using a peptide cocktail simulating ESAT-6, CFP-10 proteins to stimulate cells in heparinized whole blood.  Detection of </w:t>
            </w:r>
            <w:r w:rsidR="00964946">
              <w:rPr>
                <w:bCs/>
                <w:sz w:val="24"/>
                <w:szCs w:val="24"/>
              </w:rPr>
              <w:t>interferon-</w:t>
            </w:r>
            <w:r w:rsidR="00964946">
              <w:rPr>
                <w:rFonts w:cstheme="minorHAnsi"/>
                <w:bCs/>
                <w:sz w:val="24"/>
                <w:szCs w:val="24"/>
              </w:rPr>
              <w:t>γ</w:t>
            </w:r>
            <w:r w:rsidR="00964946">
              <w:rPr>
                <w:bCs/>
                <w:sz w:val="24"/>
                <w:szCs w:val="24"/>
              </w:rPr>
              <w:t xml:space="preserve"> (IFN-</w:t>
            </w:r>
            <w:r w:rsidR="00964946">
              <w:rPr>
                <w:rFonts w:cstheme="minorHAnsi"/>
                <w:bCs/>
                <w:sz w:val="24"/>
                <w:szCs w:val="24"/>
              </w:rPr>
              <w:t>γ</w:t>
            </w:r>
            <w:r w:rsidR="00964946">
              <w:rPr>
                <w:bCs/>
                <w:sz w:val="24"/>
                <w:szCs w:val="24"/>
              </w:rPr>
              <w:t xml:space="preserve">) by Enzyme-Linked Immunosorbent Assay (ELISA) is used to identify </w:t>
            </w:r>
            <w:r w:rsidR="00964946">
              <w:rPr>
                <w:bCs/>
                <w:i/>
                <w:iCs/>
                <w:sz w:val="24"/>
                <w:szCs w:val="24"/>
              </w:rPr>
              <w:t>in vitro</w:t>
            </w:r>
            <w:r w:rsidR="00964946">
              <w:rPr>
                <w:bCs/>
                <w:sz w:val="24"/>
                <w:szCs w:val="24"/>
              </w:rPr>
              <w:t xml:space="preserve"> responses to these peptide antigens that are associated with </w:t>
            </w:r>
            <w:r w:rsidR="00964946">
              <w:rPr>
                <w:bCs/>
                <w:i/>
                <w:iCs/>
                <w:sz w:val="24"/>
                <w:szCs w:val="24"/>
              </w:rPr>
              <w:t>Mycobacterium tuberculosis</w:t>
            </w:r>
            <w:r w:rsidR="00964946">
              <w:rPr>
                <w:bCs/>
                <w:sz w:val="24"/>
                <w:szCs w:val="24"/>
              </w:rPr>
              <w:t xml:space="preserve"> infection.</w:t>
            </w:r>
          </w:p>
        </w:tc>
        <w:tc>
          <w:tcPr>
            <w:tcW w:w="998" w:type="dxa"/>
            <w:vAlign w:val="center"/>
          </w:tcPr>
          <w:p w14:paraId="710F891F" w14:textId="76A9EC18" w:rsidR="00EE5C2D" w:rsidRDefault="00964946" w:rsidP="001222A0">
            <w:pPr>
              <w:jc w:val="center"/>
              <w:rPr>
                <w:bCs/>
                <w:sz w:val="24"/>
                <w:szCs w:val="24"/>
              </w:rPr>
            </w:pPr>
            <w:r>
              <w:rPr>
                <w:bCs/>
                <w:sz w:val="24"/>
                <w:szCs w:val="24"/>
              </w:rPr>
              <w:t>Monday-Friday</w:t>
            </w:r>
          </w:p>
        </w:tc>
      </w:tr>
    </w:tbl>
    <w:p w14:paraId="725C7B85" w14:textId="56CB5776" w:rsidR="001222A0" w:rsidRDefault="001222A0" w:rsidP="00A00F63">
      <w:pPr>
        <w:spacing w:after="0" w:line="240" w:lineRule="auto"/>
        <w:rPr>
          <w:bCs/>
          <w:sz w:val="24"/>
          <w:szCs w:val="24"/>
        </w:rPr>
      </w:pPr>
    </w:p>
    <w:tbl>
      <w:tblPr>
        <w:tblStyle w:val="TableGrid"/>
        <w:tblW w:w="12955" w:type="dxa"/>
        <w:tblLook w:val="04A0" w:firstRow="1" w:lastRow="0" w:firstColumn="1" w:lastColumn="0" w:noHBand="0" w:noVBand="1"/>
      </w:tblPr>
      <w:tblGrid>
        <w:gridCol w:w="2389"/>
        <w:gridCol w:w="9312"/>
        <w:gridCol w:w="1254"/>
      </w:tblGrid>
      <w:tr w:rsidR="00964946" w14:paraId="3BB4A3CD" w14:textId="77777777" w:rsidTr="00EB6E8C">
        <w:tc>
          <w:tcPr>
            <w:tcW w:w="2425" w:type="dxa"/>
            <w:shd w:val="clear" w:color="auto" w:fill="D9D9D9" w:themeFill="background1" w:themeFillShade="D9"/>
          </w:tcPr>
          <w:p w14:paraId="29A6109F" w14:textId="68E8631B" w:rsidR="00964946" w:rsidRPr="00964946" w:rsidRDefault="00964946" w:rsidP="00964946">
            <w:pPr>
              <w:jc w:val="center"/>
              <w:rPr>
                <w:b/>
                <w:sz w:val="24"/>
                <w:szCs w:val="24"/>
              </w:rPr>
            </w:pPr>
            <w:r>
              <w:rPr>
                <w:b/>
                <w:sz w:val="24"/>
                <w:szCs w:val="24"/>
              </w:rPr>
              <w:t>Activity</w:t>
            </w:r>
          </w:p>
        </w:tc>
        <w:tc>
          <w:tcPr>
            <w:tcW w:w="9540" w:type="dxa"/>
            <w:shd w:val="clear" w:color="auto" w:fill="D9D9D9" w:themeFill="background1" w:themeFillShade="D9"/>
          </w:tcPr>
          <w:p w14:paraId="62D874AF" w14:textId="40917134" w:rsidR="00964946" w:rsidRPr="00964946" w:rsidRDefault="00964946" w:rsidP="00964946">
            <w:pPr>
              <w:jc w:val="center"/>
              <w:rPr>
                <w:b/>
                <w:sz w:val="24"/>
                <w:szCs w:val="24"/>
              </w:rPr>
            </w:pPr>
            <w:r>
              <w:rPr>
                <w:b/>
                <w:sz w:val="24"/>
                <w:szCs w:val="24"/>
              </w:rPr>
              <w:t>Description</w:t>
            </w:r>
          </w:p>
        </w:tc>
        <w:tc>
          <w:tcPr>
            <w:tcW w:w="990" w:type="dxa"/>
            <w:shd w:val="clear" w:color="auto" w:fill="D9D9D9" w:themeFill="background1" w:themeFillShade="D9"/>
          </w:tcPr>
          <w:p w14:paraId="25013E02" w14:textId="2BB363F1" w:rsidR="00964946" w:rsidRPr="00964946" w:rsidRDefault="00964946" w:rsidP="00964946">
            <w:pPr>
              <w:jc w:val="center"/>
              <w:rPr>
                <w:b/>
                <w:sz w:val="24"/>
                <w:szCs w:val="24"/>
              </w:rPr>
            </w:pPr>
            <w:r>
              <w:rPr>
                <w:b/>
                <w:sz w:val="24"/>
                <w:szCs w:val="24"/>
              </w:rPr>
              <w:t>Frequency</w:t>
            </w:r>
          </w:p>
        </w:tc>
      </w:tr>
      <w:tr w:rsidR="002006FE" w14:paraId="0538F1F2" w14:textId="77777777" w:rsidTr="00EB6E8C">
        <w:tc>
          <w:tcPr>
            <w:tcW w:w="2425" w:type="dxa"/>
            <w:vAlign w:val="center"/>
          </w:tcPr>
          <w:p w14:paraId="25E98F07" w14:textId="610BDB14" w:rsidR="002006FE" w:rsidRDefault="002006FE" w:rsidP="002006FE">
            <w:pPr>
              <w:jc w:val="center"/>
              <w:rPr>
                <w:bCs/>
                <w:sz w:val="24"/>
                <w:szCs w:val="24"/>
              </w:rPr>
            </w:pPr>
            <w:r>
              <w:rPr>
                <w:bCs/>
                <w:sz w:val="24"/>
                <w:szCs w:val="24"/>
              </w:rPr>
              <w:t>Electronic Ordering</w:t>
            </w:r>
          </w:p>
        </w:tc>
        <w:tc>
          <w:tcPr>
            <w:tcW w:w="9540" w:type="dxa"/>
          </w:tcPr>
          <w:p w14:paraId="1EE0719F" w14:textId="77777777" w:rsidR="002006FE" w:rsidRDefault="002006FE" w:rsidP="002006FE">
            <w:pPr>
              <w:rPr>
                <w:bCs/>
                <w:sz w:val="24"/>
                <w:szCs w:val="24"/>
              </w:rPr>
            </w:pPr>
            <w:r>
              <w:rPr>
                <w:bCs/>
                <w:sz w:val="24"/>
                <w:szCs w:val="24"/>
              </w:rPr>
              <w:t xml:space="preserve">Electronic orders are placed in the PTBMIS system by health department staff in 94 of the 95 counties and the files are converted to an extensible markup language (XML) format via an electronic data exchange (EDI).  The EDI deposits the transformed file into a shared directory that StarLIMS uses to upload the orders into a database at prescribed times.  </w:t>
            </w:r>
          </w:p>
          <w:p w14:paraId="0C20D065" w14:textId="1C1AE012" w:rsidR="002006FE" w:rsidRDefault="002006FE" w:rsidP="002006FE">
            <w:pPr>
              <w:rPr>
                <w:bCs/>
                <w:sz w:val="24"/>
                <w:szCs w:val="24"/>
              </w:rPr>
            </w:pPr>
            <w:r>
              <w:rPr>
                <w:bCs/>
                <w:sz w:val="24"/>
                <w:szCs w:val="24"/>
              </w:rPr>
              <w:t>One county does not utilize the PTBMIS system.  All specimens are ordered via a Division of Laboratory Services Clinical Submission Requisition (PH-4182) that must be keyed by state laboratory staff upon specimen receipt.  In addition, non-public health department providers who send specimens to the laboratory for testing utilize the PH-4182 requisition.</w:t>
            </w:r>
          </w:p>
        </w:tc>
        <w:tc>
          <w:tcPr>
            <w:tcW w:w="990" w:type="dxa"/>
            <w:vAlign w:val="center"/>
          </w:tcPr>
          <w:p w14:paraId="61E765CA" w14:textId="28F5C130" w:rsidR="002006FE" w:rsidRDefault="002006FE" w:rsidP="002006FE">
            <w:pPr>
              <w:jc w:val="center"/>
              <w:rPr>
                <w:bCs/>
                <w:sz w:val="24"/>
                <w:szCs w:val="24"/>
              </w:rPr>
            </w:pPr>
            <w:r>
              <w:rPr>
                <w:bCs/>
                <w:sz w:val="24"/>
                <w:szCs w:val="24"/>
              </w:rPr>
              <w:t>Monday-Friday</w:t>
            </w:r>
          </w:p>
        </w:tc>
      </w:tr>
      <w:tr w:rsidR="00964946" w14:paraId="7B6119E7" w14:textId="77777777" w:rsidTr="00EB6E8C">
        <w:tc>
          <w:tcPr>
            <w:tcW w:w="2425" w:type="dxa"/>
            <w:vAlign w:val="center"/>
          </w:tcPr>
          <w:p w14:paraId="1BFCB77B" w14:textId="3507EF5E" w:rsidR="00964946" w:rsidRDefault="007F6C70" w:rsidP="007F6C70">
            <w:pPr>
              <w:jc w:val="center"/>
              <w:rPr>
                <w:bCs/>
                <w:sz w:val="24"/>
                <w:szCs w:val="24"/>
              </w:rPr>
            </w:pPr>
            <w:r>
              <w:rPr>
                <w:bCs/>
                <w:sz w:val="24"/>
                <w:szCs w:val="24"/>
              </w:rPr>
              <w:t>Reporting Protocols</w:t>
            </w:r>
          </w:p>
        </w:tc>
        <w:tc>
          <w:tcPr>
            <w:tcW w:w="9540" w:type="dxa"/>
          </w:tcPr>
          <w:p w14:paraId="2DE3C61B" w14:textId="77777777" w:rsidR="00964946" w:rsidRDefault="007F6C70" w:rsidP="00A00F63">
            <w:pPr>
              <w:rPr>
                <w:bCs/>
                <w:sz w:val="24"/>
                <w:szCs w:val="24"/>
              </w:rPr>
            </w:pPr>
            <w:r>
              <w:rPr>
                <w:bCs/>
                <w:sz w:val="24"/>
                <w:szCs w:val="24"/>
              </w:rPr>
              <w:t xml:space="preserve">Preliminary reports are generated for the AFB smear.  Preliminary reports are generated once identification is made on one form of media (liquid or solid).  A final report is generated </w:t>
            </w:r>
            <w:r>
              <w:rPr>
                <w:bCs/>
                <w:sz w:val="24"/>
                <w:szCs w:val="24"/>
              </w:rPr>
              <w:lastRenderedPageBreak/>
              <w:t>when the six (6)-week incubation period has ended or both the liquid and solid media have corresponding mycobacterium growth.</w:t>
            </w:r>
          </w:p>
          <w:p w14:paraId="4917B283" w14:textId="44824672" w:rsidR="002006FE" w:rsidRDefault="002006FE" w:rsidP="00A00F63">
            <w:pPr>
              <w:rPr>
                <w:bCs/>
                <w:sz w:val="24"/>
                <w:szCs w:val="24"/>
              </w:rPr>
            </w:pPr>
            <w:r>
              <w:rPr>
                <w:bCs/>
                <w:sz w:val="24"/>
                <w:szCs w:val="24"/>
              </w:rPr>
              <w:t xml:space="preserve">For health departments who order tests electronically, </w:t>
            </w:r>
            <w:r w:rsidR="008E21C5">
              <w:rPr>
                <w:bCs/>
                <w:sz w:val="24"/>
                <w:szCs w:val="24"/>
              </w:rPr>
              <w:t>preliminary,</w:t>
            </w:r>
            <w:r>
              <w:rPr>
                <w:bCs/>
                <w:sz w:val="24"/>
                <w:szCs w:val="24"/>
              </w:rPr>
              <w:t xml:space="preserve"> and final reports are received both electronically and via fax.  Non-health providers receive preliminary and final results via fax and mail.</w:t>
            </w:r>
          </w:p>
        </w:tc>
        <w:tc>
          <w:tcPr>
            <w:tcW w:w="990" w:type="dxa"/>
            <w:vAlign w:val="center"/>
          </w:tcPr>
          <w:p w14:paraId="2D283AB6" w14:textId="26C744E8" w:rsidR="00964946" w:rsidRDefault="007F6C70" w:rsidP="007F6C70">
            <w:pPr>
              <w:jc w:val="center"/>
              <w:rPr>
                <w:bCs/>
                <w:sz w:val="24"/>
                <w:szCs w:val="24"/>
              </w:rPr>
            </w:pPr>
            <w:r>
              <w:rPr>
                <w:bCs/>
                <w:sz w:val="24"/>
                <w:szCs w:val="24"/>
              </w:rPr>
              <w:lastRenderedPageBreak/>
              <w:t>Monday-Friday</w:t>
            </w:r>
          </w:p>
        </w:tc>
      </w:tr>
    </w:tbl>
    <w:p w14:paraId="51E737A3" w14:textId="77777777" w:rsidR="00964946" w:rsidRPr="001222A0" w:rsidRDefault="00964946" w:rsidP="00A00F63">
      <w:pPr>
        <w:spacing w:after="0" w:line="240" w:lineRule="auto"/>
        <w:rPr>
          <w:bCs/>
          <w:sz w:val="24"/>
          <w:szCs w:val="24"/>
        </w:rPr>
      </w:pPr>
    </w:p>
    <w:p w14:paraId="7A348A15" w14:textId="77777777" w:rsidR="009F69DE" w:rsidRDefault="009F69DE" w:rsidP="00A00F63">
      <w:pPr>
        <w:spacing w:after="0" w:line="240" w:lineRule="auto"/>
        <w:rPr>
          <w:bCs/>
          <w:sz w:val="24"/>
          <w:szCs w:val="24"/>
          <w:u w:val="single"/>
        </w:rPr>
        <w:sectPr w:rsidR="009F69DE" w:rsidSect="00EB6E8C">
          <w:headerReference w:type="default" r:id="rId27"/>
          <w:pgSz w:w="15840" w:h="12240" w:orient="landscape"/>
          <w:pgMar w:top="1440" w:right="1440" w:bottom="1440" w:left="1440" w:header="720" w:footer="720" w:gutter="0"/>
          <w:cols w:space="720"/>
          <w:docGrid w:linePitch="360"/>
        </w:sectPr>
      </w:pPr>
    </w:p>
    <w:p w14:paraId="0532502B" w14:textId="0DC1EFE1" w:rsidR="009F69DE" w:rsidRDefault="000B64D0" w:rsidP="00A00F63">
      <w:pPr>
        <w:spacing w:after="0" w:line="240" w:lineRule="auto"/>
        <w:rPr>
          <w:bCs/>
          <w:sz w:val="24"/>
          <w:szCs w:val="24"/>
          <w:u w:val="single"/>
        </w:rPr>
        <w:sectPr w:rsidR="009F69DE" w:rsidSect="001222A0">
          <w:pgSz w:w="15840" w:h="12240" w:orient="landscape"/>
          <w:pgMar w:top="1440" w:right="1440" w:bottom="1440" w:left="1440" w:header="720" w:footer="720" w:gutter="0"/>
          <w:cols w:space="720"/>
          <w:docGrid w:linePitch="360"/>
        </w:sectPr>
      </w:pPr>
      <w:r>
        <w:rPr>
          <w:noProof/>
        </w:rPr>
        <w:lastRenderedPageBreak/>
        <mc:AlternateContent>
          <mc:Choice Requires="wps">
            <w:drawing>
              <wp:anchor distT="45720" distB="45720" distL="114300" distR="114300" simplePos="0" relativeHeight="251663360" behindDoc="0" locked="0" layoutInCell="1" allowOverlap="1" wp14:anchorId="641C51B2" wp14:editId="0CDA9538">
                <wp:simplePos x="0" y="0"/>
                <wp:positionH relativeFrom="page">
                  <wp:posOffset>7296150</wp:posOffset>
                </wp:positionH>
                <wp:positionV relativeFrom="paragraph">
                  <wp:posOffset>3442335</wp:posOffset>
                </wp:positionV>
                <wp:extent cx="13716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noFill/>
                          <a:miter lim="800000"/>
                          <a:headEnd/>
                          <a:tailEnd/>
                        </a:ln>
                      </wps:spPr>
                      <wps:txbx>
                        <w:txbxContent>
                          <w:p w14:paraId="13B12415" w14:textId="01EFFFA8" w:rsidR="00737FFC" w:rsidRPr="000B64D0" w:rsidRDefault="00737FFC">
                            <w:pPr>
                              <w:rPr>
                                <w:b/>
                                <w:bCs/>
                                <w:sz w:val="24"/>
                                <w:szCs w:val="24"/>
                                <w:u w:val="single"/>
                              </w:rPr>
                            </w:pPr>
                            <w:r w:rsidRPr="000B64D0">
                              <w:rPr>
                                <w:b/>
                                <w:bCs/>
                                <w:sz w:val="24"/>
                                <w:szCs w:val="24"/>
                                <w:u w:val="single"/>
                              </w:rPr>
                              <w:t>Testing Algorithm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C51B2" id="_x0000_s1027" type="#_x0000_t202" style="position:absolute;margin-left:574.5pt;margin-top:271.05pt;width:108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HqIQIAACM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" stroked="f">
                <v:textbox style="mso-fit-shape-to-text:t">
                  <w:txbxContent>
                    <w:p w14:paraId="13B12415" w14:textId="01EFFFA8" w:rsidR="00737FFC" w:rsidRPr="000B64D0" w:rsidRDefault="00737FFC">
                      <w:pPr>
                        <w:rPr>
                          <w:b/>
                          <w:bCs/>
                          <w:sz w:val="24"/>
                          <w:szCs w:val="24"/>
                          <w:u w:val="single"/>
                        </w:rPr>
                      </w:pPr>
                      <w:r w:rsidRPr="000B64D0">
                        <w:rPr>
                          <w:b/>
                          <w:bCs/>
                          <w:sz w:val="24"/>
                          <w:szCs w:val="24"/>
                          <w:u w:val="single"/>
                        </w:rPr>
                        <w:t>Testing Algorithm</w:t>
                      </w:r>
                    </w:p>
                  </w:txbxContent>
                </v:textbox>
                <w10:wrap type="square" anchorx="page"/>
              </v:shape>
            </w:pict>
          </mc:Fallback>
        </mc:AlternateContent>
      </w:r>
      <w:r w:rsidR="007E166F">
        <w:object w:dxaOrig="15031" w:dyaOrig="10545" w14:anchorId="05FAF07A">
          <v:shape id="_x0000_i1026" type="#_x0000_t75" style="width:647.85pt;height:454.5pt" o:ole="">
            <v:imagedata r:id="rId28" o:title=""/>
          </v:shape>
          <o:OLEObject Type="Embed" ProgID="Visio.Drawing.15" ShapeID="_x0000_i1026" DrawAspect="Content" ObjectID="_1690179545" r:id="rId29"/>
        </w:object>
      </w:r>
    </w:p>
    <w:p w14:paraId="4FF7A063" w14:textId="7F170F2C" w:rsidR="001222A0" w:rsidRDefault="00C04568" w:rsidP="00A00F63">
      <w:pPr>
        <w:spacing w:after="0" w:line="240" w:lineRule="auto"/>
        <w:rPr>
          <w:bCs/>
          <w:sz w:val="24"/>
          <w:szCs w:val="24"/>
          <w:u w:val="single"/>
        </w:rPr>
      </w:pPr>
      <w:r>
        <w:rPr>
          <w:bCs/>
          <w:sz w:val="24"/>
          <w:szCs w:val="24"/>
          <w:u w:val="single"/>
        </w:rPr>
        <w:lastRenderedPageBreak/>
        <w:t>Work Plan</w:t>
      </w:r>
    </w:p>
    <w:p w14:paraId="32AE087E" w14:textId="598886D7" w:rsidR="00C04568" w:rsidRDefault="00C04568" w:rsidP="00A00F63">
      <w:pPr>
        <w:spacing w:after="0" w:line="240" w:lineRule="auto"/>
        <w:rPr>
          <w:bCs/>
          <w:sz w:val="24"/>
          <w:szCs w:val="24"/>
          <w:u w:val="single"/>
        </w:rPr>
      </w:pPr>
    </w:p>
    <w:tbl>
      <w:tblPr>
        <w:tblStyle w:val="TableGrid"/>
        <w:tblW w:w="0" w:type="auto"/>
        <w:tblLayout w:type="fixed"/>
        <w:tblLook w:val="04A0" w:firstRow="1" w:lastRow="0" w:firstColumn="1" w:lastColumn="0" w:noHBand="0" w:noVBand="1"/>
      </w:tblPr>
      <w:tblGrid>
        <w:gridCol w:w="2785"/>
        <w:gridCol w:w="1980"/>
        <w:gridCol w:w="2053"/>
        <w:gridCol w:w="1745"/>
        <w:gridCol w:w="1655"/>
        <w:gridCol w:w="2732"/>
      </w:tblGrid>
      <w:tr w:rsidR="00C04568" w14:paraId="48F79A90" w14:textId="77777777" w:rsidTr="00EB6E8C">
        <w:tc>
          <w:tcPr>
            <w:tcW w:w="12950" w:type="dxa"/>
            <w:gridSpan w:val="6"/>
            <w:shd w:val="clear" w:color="auto" w:fill="D9D9D9" w:themeFill="background1" w:themeFillShade="D9"/>
          </w:tcPr>
          <w:p w14:paraId="1A36F23C" w14:textId="5CAC2C3B" w:rsidR="00C04568" w:rsidRPr="00C04568" w:rsidRDefault="00C04568" w:rsidP="00A00F63">
            <w:pPr>
              <w:rPr>
                <w:b/>
                <w:sz w:val="24"/>
                <w:szCs w:val="24"/>
              </w:rPr>
            </w:pPr>
            <w:r>
              <w:rPr>
                <w:b/>
                <w:sz w:val="24"/>
                <w:szCs w:val="24"/>
              </w:rPr>
              <w:t>Laboratory Element 1: Ensure availability of high-quality and prompt core laboratory services for tuberculosis (TB)</w:t>
            </w:r>
          </w:p>
        </w:tc>
      </w:tr>
      <w:tr w:rsidR="00184728" w14:paraId="3348BAD5" w14:textId="77777777" w:rsidTr="00EB6E8C">
        <w:tc>
          <w:tcPr>
            <w:tcW w:w="6818" w:type="dxa"/>
            <w:gridSpan w:val="3"/>
            <w:shd w:val="clear" w:color="auto" w:fill="F2F2F2" w:themeFill="background1" w:themeFillShade="F2"/>
            <w:vAlign w:val="center"/>
          </w:tcPr>
          <w:p w14:paraId="17B069FB" w14:textId="744C40C1" w:rsidR="00184728" w:rsidRPr="00184728" w:rsidRDefault="00184728" w:rsidP="00184728">
            <w:pPr>
              <w:jc w:val="center"/>
              <w:rPr>
                <w:b/>
                <w:sz w:val="24"/>
                <w:szCs w:val="24"/>
              </w:rPr>
            </w:pPr>
            <w:bookmarkStart w:id="8" w:name="_Hlk78876981"/>
            <w:r w:rsidRPr="00184728">
              <w:rPr>
                <w:b/>
                <w:sz w:val="24"/>
                <w:szCs w:val="24"/>
              </w:rPr>
              <w:t>What are your</w:t>
            </w:r>
            <w:r>
              <w:rPr>
                <w:b/>
                <w:sz w:val="24"/>
                <w:szCs w:val="24"/>
              </w:rPr>
              <w:t xml:space="preserve"> laboratory objectives for Element 1 during the five-year Cooperative Agreement period?  All laboratories, regardless of volume, should provide objectives related to improving each of the national benchmark turnaround time recommendations.</w:t>
            </w:r>
          </w:p>
        </w:tc>
        <w:tc>
          <w:tcPr>
            <w:tcW w:w="6132" w:type="dxa"/>
            <w:gridSpan w:val="3"/>
            <w:shd w:val="clear" w:color="auto" w:fill="F2F2F2" w:themeFill="background1" w:themeFillShade="F2"/>
            <w:vAlign w:val="center"/>
          </w:tcPr>
          <w:p w14:paraId="5F935C4C" w14:textId="3F1DF892" w:rsidR="00184728" w:rsidRPr="00184728" w:rsidRDefault="00184728" w:rsidP="00184728">
            <w:pPr>
              <w:jc w:val="center"/>
              <w:rPr>
                <w:b/>
                <w:sz w:val="24"/>
                <w:szCs w:val="24"/>
              </w:rPr>
            </w:pPr>
            <w:r>
              <w:rPr>
                <w:b/>
                <w:sz w:val="24"/>
                <w:szCs w:val="24"/>
              </w:rPr>
              <w:t>How will your laboratory measure success related to these objectives?</w:t>
            </w:r>
          </w:p>
        </w:tc>
      </w:tr>
      <w:bookmarkEnd w:id="8"/>
      <w:tr w:rsidR="00184728" w14:paraId="25EB06BE" w14:textId="77777777" w:rsidTr="00EB6E8C">
        <w:tc>
          <w:tcPr>
            <w:tcW w:w="6818" w:type="dxa"/>
            <w:gridSpan w:val="3"/>
            <w:vAlign w:val="center"/>
          </w:tcPr>
          <w:p w14:paraId="25EC11E4" w14:textId="24CDD1F3" w:rsidR="00184728" w:rsidRDefault="00184728" w:rsidP="00184728">
            <w:pPr>
              <w:rPr>
                <w:bCs/>
                <w:sz w:val="24"/>
                <w:szCs w:val="24"/>
              </w:rPr>
            </w:pPr>
            <w:r>
              <w:rPr>
                <w:bCs/>
                <w:sz w:val="24"/>
                <w:szCs w:val="24"/>
              </w:rPr>
              <w:t>Reduce turnaround time (TAT)</w:t>
            </w:r>
            <w:r w:rsidR="0059149D">
              <w:rPr>
                <w:bCs/>
                <w:sz w:val="24"/>
                <w:szCs w:val="24"/>
              </w:rPr>
              <w:t>.</w:t>
            </w:r>
          </w:p>
        </w:tc>
        <w:tc>
          <w:tcPr>
            <w:tcW w:w="6132" w:type="dxa"/>
            <w:gridSpan w:val="3"/>
            <w:vAlign w:val="center"/>
          </w:tcPr>
          <w:p w14:paraId="4D2B7CD8" w14:textId="77777777" w:rsidR="00184728" w:rsidRDefault="00184728" w:rsidP="00184728">
            <w:pPr>
              <w:rPr>
                <w:bCs/>
                <w:sz w:val="24"/>
                <w:szCs w:val="24"/>
              </w:rPr>
            </w:pPr>
            <w:r>
              <w:rPr>
                <w:bCs/>
                <w:sz w:val="24"/>
                <w:szCs w:val="24"/>
              </w:rPr>
              <w:t>Specimen receipt: improve TAT to 65% of specimens received within one (1) day of collection.</w:t>
            </w:r>
          </w:p>
          <w:p w14:paraId="3995C6E7" w14:textId="0AD5AF3B" w:rsidR="00184728" w:rsidRPr="0073124B" w:rsidRDefault="00184728" w:rsidP="0073124B">
            <w:pPr>
              <w:pStyle w:val="ListParagraph"/>
              <w:numPr>
                <w:ilvl w:val="0"/>
                <w:numId w:val="19"/>
              </w:numPr>
              <w:ind w:left="361"/>
              <w:rPr>
                <w:bCs/>
                <w:sz w:val="24"/>
                <w:szCs w:val="24"/>
              </w:rPr>
            </w:pPr>
            <w:r w:rsidRPr="0073124B">
              <w:rPr>
                <w:bCs/>
                <w:sz w:val="24"/>
                <w:szCs w:val="24"/>
                <w:u w:val="single"/>
              </w:rPr>
              <w:t>DST</w:t>
            </w:r>
            <w:r w:rsidRPr="0073124B">
              <w:rPr>
                <w:bCs/>
                <w:sz w:val="24"/>
                <w:szCs w:val="24"/>
              </w:rPr>
              <w:t>: within 17 days of identification for 75% of isolates</w:t>
            </w:r>
          </w:p>
          <w:p w14:paraId="22302DF1" w14:textId="77777777" w:rsidR="00184728" w:rsidRDefault="00184728" w:rsidP="00184728">
            <w:pPr>
              <w:pStyle w:val="ListParagraph"/>
              <w:numPr>
                <w:ilvl w:val="0"/>
                <w:numId w:val="19"/>
              </w:numPr>
              <w:ind w:left="346"/>
              <w:rPr>
                <w:bCs/>
                <w:sz w:val="24"/>
                <w:szCs w:val="24"/>
              </w:rPr>
            </w:pPr>
            <w:r w:rsidRPr="00184728">
              <w:rPr>
                <w:bCs/>
                <w:sz w:val="24"/>
                <w:szCs w:val="24"/>
                <w:u w:val="single"/>
              </w:rPr>
              <w:t>NAAT</w:t>
            </w:r>
            <w:r>
              <w:rPr>
                <w:bCs/>
                <w:sz w:val="24"/>
                <w:szCs w:val="24"/>
              </w:rPr>
              <w:t>: 85% of NAAT reported within 48 hours of specimen receipt</w:t>
            </w:r>
          </w:p>
          <w:p w14:paraId="58FCFB26" w14:textId="77777777" w:rsidR="00184728" w:rsidRDefault="00184728" w:rsidP="00184728">
            <w:pPr>
              <w:pStyle w:val="ListParagraph"/>
              <w:numPr>
                <w:ilvl w:val="0"/>
                <w:numId w:val="19"/>
              </w:numPr>
              <w:ind w:left="346"/>
              <w:rPr>
                <w:bCs/>
                <w:sz w:val="24"/>
                <w:szCs w:val="24"/>
              </w:rPr>
            </w:pPr>
            <w:r w:rsidRPr="00184728">
              <w:rPr>
                <w:bCs/>
                <w:sz w:val="24"/>
                <w:szCs w:val="24"/>
                <w:u w:val="single"/>
              </w:rPr>
              <w:t>Smears</w:t>
            </w:r>
            <w:r>
              <w:rPr>
                <w:bCs/>
                <w:sz w:val="24"/>
                <w:szCs w:val="24"/>
              </w:rPr>
              <w:t>: 85% of all smears reported within 24 hours of specimen receipt</w:t>
            </w:r>
          </w:p>
          <w:p w14:paraId="6F262875" w14:textId="16DD325C" w:rsidR="00184728" w:rsidRPr="00184728" w:rsidRDefault="00184728" w:rsidP="00184728">
            <w:pPr>
              <w:pStyle w:val="ListParagraph"/>
              <w:numPr>
                <w:ilvl w:val="0"/>
                <w:numId w:val="19"/>
              </w:numPr>
              <w:ind w:left="346"/>
              <w:rPr>
                <w:bCs/>
                <w:sz w:val="24"/>
                <w:szCs w:val="24"/>
              </w:rPr>
            </w:pPr>
            <w:r w:rsidRPr="00184728">
              <w:rPr>
                <w:bCs/>
                <w:sz w:val="24"/>
                <w:szCs w:val="24"/>
                <w:u w:val="single"/>
              </w:rPr>
              <w:t>ID</w:t>
            </w:r>
            <w:r>
              <w:rPr>
                <w:bCs/>
                <w:sz w:val="24"/>
                <w:szCs w:val="24"/>
              </w:rPr>
              <w:t>: improve TAT to 65% of MTBC isolates reported within 21 calendar days of specimen receipt</w:t>
            </w:r>
          </w:p>
        </w:tc>
      </w:tr>
      <w:tr w:rsidR="00256917" w14:paraId="4EE510CA" w14:textId="77777777" w:rsidTr="00EB6E8C">
        <w:tc>
          <w:tcPr>
            <w:tcW w:w="2785" w:type="dxa"/>
            <w:shd w:val="clear" w:color="auto" w:fill="F2F2F2" w:themeFill="background1" w:themeFillShade="F2"/>
            <w:vAlign w:val="center"/>
          </w:tcPr>
          <w:p w14:paraId="446E72C7" w14:textId="525C5799" w:rsidR="00C04568" w:rsidRPr="00C30A58" w:rsidRDefault="00184728" w:rsidP="00184728">
            <w:pPr>
              <w:jc w:val="center"/>
              <w:rPr>
                <w:b/>
                <w:sz w:val="24"/>
                <w:szCs w:val="24"/>
              </w:rPr>
            </w:pPr>
            <w:bookmarkStart w:id="9" w:name="_Hlk78876936"/>
            <w:r>
              <w:rPr>
                <w:b/>
                <w:sz w:val="24"/>
                <w:szCs w:val="24"/>
              </w:rPr>
              <w:t>Activities</w:t>
            </w:r>
          </w:p>
        </w:tc>
        <w:tc>
          <w:tcPr>
            <w:tcW w:w="1980" w:type="dxa"/>
            <w:shd w:val="clear" w:color="auto" w:fill="F2F2F2" w:themeFill="background1" w:themeFillShade="F2"/>
            <w:vAlign w:val="center"/>
          </w:tcPr>
          <w:p w14:paraId="5C360845" w14:textId="4500FFA6" w:rsidR="00C04568" w:rsidRPr="00C30A58" w:rsidRDefault="00184728" w:rsidP="00184728">
            <w:pPr>
              <w:jc w:val="center"/>
              <w:rPr>
                <w:b/>
                <w:sz w:val="24"/>
                <w:szCs w:val="24"/>
              </w:rPr>
            </w:pPr>
            <w:r>
              <w:rPr>
                <w:b/>
                <w:sz w:val="24"/>
                <w:szCs w:val="24"/>
              </w:rPr>
              <w:t>Measure of Success</w:t>
            </w:r>
          </w:p>
        </w:tc>
        <w:tc>
          <w:tcPr>
            <w:tcW w:w="2053" w:type="dxa"/>
            <w:shd w:val="clear" w:color="auto" w:fill="F2F2F2" w:themeFill="background1" w:themeFillShade="F2"/>
            <w:vAlign w:val="center"/>
          </w:tcPr>
          <w:p w14:paraId="1FE81FF3" w14:textId="684746BD" w:rsidR="00C04568" w:rsidRPr="00C30A58" w:rsidRDefault="00184728" w:rsidP="00184728">
            <w:pPr>
              <w:jc w:val="center"/>
              <w:rPr>
                <w:b/>
                <w:sz w:val="24"/>
                <w:szCs w:val="24"/>
              </w:rPr>
            </w:pPr>
            <w:r>
              <w:rPr>
                <w:b/>
                <w:sz w:val="24"/>
                <w:szCs w:val="24"/>
              </w:rPr>
              <w:t>Anticipated Obstacles</w:t>
            </w:r>
          </w:p>
        </w:tc>
        <w:tc>
          <w:tcPr>
            <w:tcW w:w="1745" w:type="dxa"/>
            <w:shd w:val="clear" w:color="auto" w:fill="F2F2F2" w:themeFill="background1" w:themeFillShade="F2"/>
            <w:vAlign w:val="center"/>
          </w:tcPr>
          <w:p w14:paraId="271E81CC" w14:textId="3BEEFF1E" w:rsidR="00C04568" w:rsidRPr="00C30A58" w:rsidRDefault="00184728" w:rsidP="00184728">
            <w:pPr>
              <w:jc w:val="center"/>
              <w:rPr>
                <w:b/>
                <w:sz w:val="24"/>
                <w:szCs w:val="24"/>
              </w:rPr>
            </w:pPr>
            <w:r>
              <w:rPr>
                <w:b/>
                <w:sz w:val="24"/>
                <w:szCs w:val="24"/>
              </w:rPr>
              <w:t>Responsible Laboratory Staff</w:t>
            </w:r>
          </w:p>
        </w:tc>
        <w:tc>
          <w:tcPr>
            <w:tcW w:w="1655" w:type="dxa"/>
            <w:shd w:val="clear" w:color="auto" w:fill="F2F2F2" w:themeFill="background1" w:themeFillShade="F2"/>
            <w:vAlign w:val="center"/>
          </w:tcPr>
          <w:p w14:paraId="586644C0" w14:textId="2485F90A" w:rsidR="00C04568" w:rsidRPr="00C30A58" w:rsidRDefault="00184728" w:rsidP="00184728">
            <w:pPr>
              <w:jc w:val="center"/>
              <w:rPr>
                <w:b/>
                <w:sz w:val="24"/>
                <w:szCs w:val="24"/>
              </w:rPr>
            </w:pPr>
            <w:r>
              <w:rPr>
                <w:b/>
                <w:sz w:val="24"/>
                <w:szCs w:val="24"/>
              </w:rPr>
              <w:t>Target Completion Date/Timeline</w:t>
            </w:r>
          </w:p>
        </w:tc>
        <w:tc>
          <w:tcPr>
            <w:tcW w:w="2732" w:type="dxa"/>
            <w:shd w:val="clear" w:color="auto" w:fill="F2F2F2" w:themeFill="background1" w:themeFillShade="F2"/>
            <w:vAlign w:val="center"/>
          </w:tcPr>
          <w:p w14:paraId="66686B30" w14:textId="22884817" w:rsidR="00C04568" w:rsidRPr="00C30A58" w:rsidRDefault="00184728" w:rsidP="00184728">
            <w:pPr>
              <w:jc w:val="center"/>
              <w:rPr>
                <w:b/>
                <w:sz w:val="24"/>
                <w:szCs w:val="24"/>
              </w:rPr>
            </w:pPr>
            <w:r>
              <w:rPr>
                <w:b/>
                <w:sz w:val="24"/>
                <w:szCs w:val="24"/>
              </w:rPr>
              <w:t>Progress</w:t>
            </w:r>
          </w:p>
        </w:tc>
      </w:tr>
      <w:bookmarkEnd w:id="9"/>
      <w:tr w:rsidR="00256917" w14:paraId="2EFC80B5" w14:textId="77777777" w:rsidTr="00EB6E8C">
        <w:tc>
          <w:tcPr>
            <w:tcW w:w="2785" w:type="dxa"/>
            <w:vAlign w:val="center"/>
          </w:tcPr>
          <w:p w14:paraId="6C795377" w14:textId="3BF5BE15" w:rsidR="007008BE" w:rsidRDefault="00256917" w:rsidP="00256917">
            <w:pPr>
              <w:rPr>
                <w:bCs/>
                <w:sz w:val="24"/>
                <w:szCs w:val="24"/>
              </w:rPr>
            </w:pPr>
            <w:r>
              <w:rPr>
                <w:bCs/>
                <w:sz w:val="24"/>
                <w:szCs w:val="24"/>
                <w:u w:val="single"/>
              </w:rPr>
              <w:t>NAAT</w:t>
            </w:r>
          </w:p>
          <w:p w14:paraId="44C1F4FE" w14:textId="303C2551" w:rsidR="00C04568" w:rsidRPr="00256917" w:rsidRDefault="007008BE" w:rsidP="00256917">
            <w:pPr>
              <w:rPr>
                <w:bCs/>
                <w:sz w:val="24"/>
                <w:szCs w:val="24"/>
              </w:rPr>
            </w:pPr>
            <w:r>
              <w:rPr>
                <w:bCs/>
                <w:sz w:val="24"/>
                <w:szCs w:val="24"/>
              </w:rPr>
              <w:t>P</w:t>
            </w:r>
            <w:r w:rsidR="00256917">
              <w:rPr>
                <w:bCs/>
                <w:sz w:val="24"/>
                <w:szCs w:val="24"/>
              </w:rPr>
              <w:t>erform QA monitor to determine reasons for testing not being performed within a timely manner</w:t>
            </w:r>
            <w:r w:rsidR="00C41473">
              <w:rPr>
                <w:bCs/>
                <w:sz w:val="24"/>
                <w:szCs w:val="24"/>
              </w:rPr>
              <w:t>.</w:t>
            </w:r>
          </w:p>
        </w:tc>
        <w:tc>
          <w:tcPr>
            <w:tcW w:w="1980" w:type="dxa"/>
            <w:vAlign w:val="center"/>
          </w:tcPr>
          <w:p w14:paraId="5FE0856B" w14:textId="676D7982" w:rsidR="00C04568" w:rsidRDefault="00256917" w:rsidP="00BC5EC8">
            <w:pPr>
              <w:rPr>
                <w:bCs/>
                <w:sz w:val="24"/>
                <w:szCs w:val="24"/>
              </w:rPr>
            </w:pPr>
            <w:r>
              <w:rPr>
                <w:bCs/>
                <w:sz w:val="24"/>
                <w:szCs w:val="24"/>
              </w:rPr>
              <w:t>85% of NAAT reported within 48 hours of specimen receipt</w:t>
            </w:r>
          </w:p>
        </w:tc>
        <w:tc>
          <w:tcPr>
            <w:tcW w:w="2053" w:type="dxa"/>
            <w:vAlign w:val="center"/>
          </w:tcPr>
          <w:p w14:paraId="4D96562D" w14:textId="7447258A" w:rsidR="00C04568" w:rsidRPr="00BC5EC8" w:rsidRDefault="00256917" w:rsidP="00BC5EC8">
            <w:pPr>
              <w:pStyle w:val="ListParagraph"/>
              <w:numPr>
                <w:ilvl w:val="0"/>
                <w:numId w:val="20"/>
              </w:numPr>
              <w:ind w:left="361"/>
              <w:rPr>
                <w:bCs/>
                <w:sz w:val="24"/>
                <w:szCs w:val="24"/>
              </w:rPr>
            </w:pPr>
            <w:r w:rsidRPr="00BC5EC8">
              <w:rPr>
                <w:bCs/>
                <w:sz w:val="24"/>
                <w:szCs w:val="24"/>
              </w:rPr>
              <w:t>Weekends and/or holidays</w:t>
            </w:r>
          </w:p>
          <w:p w14:paraId="436B4F35" w14:textId="677CC5C4" w:rsidR="00256917" w:rsidRPr="00256917" w:rsidRDefault="00256917" w:rsidP="00256917">
            <w:pPr>
              <w:pStyle w:val="ListParagraph"/>
              <w:numPr>
                <w:ilvl w:val="0"/>
                <w:numId w:val="20"/>
              </w:numPr>
              <w:ind w:left="346"/>
              <w:rPr>
                <w:bCs/>
                <w:sz w:val="24"/>
                <w:szCs w:val="24"/>
              </w:rPr>
            </w:pPr>
            <w:r>
              <w:rPr>
                <w:bCs/>
                <w:sz w:val="24"/>
                <w:szCs w:val="24"/>
              </w:rPr>
              <w:t>NAATs not performed on smear-negative</w:t>
            </w:r>
          </w:p>
        </w:tc>
        <w:tc>
          <w:tcPr>
            <w:tcW w:w="1745" w:type="dxa"/>
            <w:vAlign w:val="center"/>
          </w:tcPr>
          <w:p w14:paraId="06CA8F55" w14:textId="582AD936" w:rsidR="00C04568" w:rsidRDefault="00256917" w:rsidP="00256917">
            <w:pPr>
              <w:jc w:val="center"/>
              <w:rPr>
                <w:bCs/>
                <w:sz w:val="24"/>
                <w:szCs w:val="24"/>
              </w:rPr>
            </w:pPr>
            <w:r>
              <w:rPr>
                <w:bCs/>
                <w:sz w:val="24"/>
                <w:szCs w:val="24"/>
              </w:rPr>
              <w:t>Natasha Lindahl, TB Lab Supervisor</w:t>
            </w:r>
          </w:p>
        </w:tc>
        <w:tc>
          <w:tcPr>
            <w:tcW w:w="1655" w:type="dxa"/>
            <w:vAlign w:val="center"/>
          </w:tcPr>
          <w:p w14:paraId="23E952A6" w14:textId="5A527536" w:rsidR="00C04568" w:rsidRDefault="00256917" w:rsidP="00256917">
            <w:pPr>
              <w:jc w:val="center"/>
              <w:rPr>
                <w:bCs/>
                <w:sz w:val="24"/>
                <w:szCs w:val="24"/>
              </w:rPr>
            </w:pPr>
            <w:r>
              <w:rPr>
                <w:bCs/>
                <w:sz w:val="24"/>
                <w:szCs w:val="24"/>
              </w:rPr>
              <w:t>December 2024</w:t>
            </w:r>
          </w:p>
        </w:tc>
        <w:tc>
          <w:tcPr>
            <w:tcW w:w="2732" w:type="dxa"/>
            <w:vAlign w:val="center"/>
          </w:tcPr>
          <w:p w14:paraId="2E3F66A4" w14:textId="39B15AD1" w:rsidR="007008BE" w:rsidRDefault="00256917" w:rsidP="00256917">
            <w:pPr>
              <w:rPr>
                <w:bCs/>
                <w:sz w:val="24"/>
                <w:szCs w:val="24"/>
              </w:rPr>
            </w:pPr>
            <w:r>
              <w:rPr>
                <w:b/>
                <w:sz w:val="24"/>
                <w:szCs w:val="24"/>
              </w:rPr>
              <w:t>Ongoing</w:t>
            </w:r>
          </w:p>
          <w:p w14:paraId="49146892" w14:textId="5D8ABB46" w:rsidR="00C04568" w:rsidRPr="00256917" w:rsidRDefault="00256917" w:rsidP="00256917">
            <w:pPr>
              <w:rPr>
                <w:bCs/>
                <w:sz w:val="24"/>
                <w:szCs w:val="24"/>
              </w:rPr>
            </w:pPr>
            <w:r>
              <w:rPr>
                <w:bCs/>
                <w:sz w:val="24"/>
                <w:szCs w:val="24"/>
              </w:rPr>
              <w:t xml:space="preserve">QA monitor determined that in many specimens received during the weekend or in the afternoon were not performed in a timely manner because the processing had already begun prior to receipt of these specimens or NAAT </w:t>
            </w:r>
            <w:r>
              <w:rPr>
                <w:bCs/>
                <w:sz w:val="24"/>
                <w:szCs w:val="24"/>
              </w:rPr>
              <w:lastRenderedPageBreak/>
              <w:t>testing was scheduled to complete after business hours</w:t>
            </w:r>
          </w:p>
        </w:tc>
      </w:tr>
      <w:tr w:rsidR="003803B5" w14:paraId="74DD986F" w14:textId="77777777" w:rsidTr="00EB6E8C">
        <w:tc>
          <w:tcPr>
            <w:tcW w:w="2785" w:type="dxa"/>
            <w:vAlign w:val="center"/>
          </w:tcPr>
          <w:p w14:paraId="6A28394E" w14:textId="5D89F595" w:rsidR="003803B5" w:rsidRDefault="003803B5" w:rsidP="003803B5">
            <w:pPr>
              <w:rPr>
                <w:bCs/>
                <w:sz w:val="24"/>
                <w:szCs w:val="24"/>
              </w:rPr>
            </w:pPr>
            <w:r>
              <w:rPr>
                <w:bCs/>
                <w:sz w:val="24"/>
                <w:szCs w:val="24"/>
                <w:u w:val="single"/>
              </w:rPr>
              <w:lastRenderedPageBreak/>
              <w:t>Smear</w:t>
            </w:r>
          </w:p>
          <w:p w14:paraId="37348F3D" w14:textId="7C1214AA" w:rsidR="003803B5" w:rsidRDefault="003803B5" w:rsidP="003803B5">
            <w:pPr>
              <w:pStyle w:val="ListParagraph"/>
              <w:numPr>
                <w:ilvl w:val="0"/>
                <w:numId w:val="21"/>
              </w:numPr>
              <w:ind w:left="330"/>
              <w:rPr>
                <w:bCs/>
                <w:sz w:val="24"/>
                <w:szCs w:val="24"/>
              </w:rPr>
            </w:pPr>
            <w:r>
              <w:rPr>
                <w:bCs/>
                <w:sz w:val="24"/>
                <w:szCs w:val="24"/>
              </w:rPr>
              <w:t>Monitor batch specimens (two or more specimens received on the same day on the same patient) from all public health departments</w:t>
            </w:r>
            <w:r w:rsidR="00C41473">
              <w:rPr>
                <w:bCs/>
                <w:sz w:val="24"/>
                <w:szCs w:val="24"/>
              </w:rPr>
              <w:t>.</w:t>
            </w:r>
          </w:p>
          <w:p w14:paraId="2872B756" w14:textId="6612D8BF" w:rsidR="003803B5" w:rsidRPr="00256917" w:rsidRDefault="003803B5" w:rsidP="003803B5">
            <w:pPr>
              <w:pStyle w:val="ListParagraph"/>
              <w:numPr>
                <w:ilvl w:val="0"/>
                <w:numId w:val="21"/>
              </w:numPr>
              <w:ind w:left="330"/>
              <w:rPr>
                <w:bCs/>
                <w:sz w:val="24"/>
                <w:szCs w:val="24"/>
              </w:rPr>
            </w:pPr>
            <w:r>
              <w:rPr>
                <w:bCs/>
                <w:sz w:val="24"/>
                <w:szCs w:val="24"/>
              </w:rPr>
              <w:t>Perform a QA monitor to determine reasons for delay and address delays as appropriate</w:t>
            </w:r>
            <w:r w:rsidR="00C41473">
              <w:rPr>
                <w:bCs/>
                <w:sz w:val="24"/>
                <w:szCs w:val="24"/>
              </w:rPr>
              <w:t>.</w:t>
            </w:r>
          </w:p>
        </w:tc>
        <w:tc>
          <w:tcPr>
            <w:tcW w:w="1980" w:type="dxa"/>
            <w:vAlign w:val="center"/>
          </w:tcPr>
          <w:p w14:paraId="53F03023" w14:textId="4B709913" w:rsidR="003803B5" w:rsidRDefault="003803B5" w:rsidP="00BC5EC8">
            <w:pPr>
              <w:rPr>
                <w:bCs/>
                <w:sz w:val="24"/>
                <w:szCs w:val="24"/>
              </w:rPr>
            </w:pPr>
            <w:r>
              <w:rPr>
                <w:bCs/>
                <w:sz w:val="24"/>
                <w:szCs w:val="24"/>
              </w:rPr>
              <w:t>85% of all smears within 24 hours of specimen receipt</w:t>
            </w:r>
          </w:p>
        </w:tc>
        <w:tc>
          <w:tcPr>
            <w:tcW w:w="2053" w:type="dxa"/>
            <w:vAlign w:val="center"/>
          </w:tcPr>
          <w:p w14:paraId="40739D02" w14:textId="364BF940" w:rsidR="003803B5" w:rsidRPr="00BC5EC8" w:rsidRDefault="003803B5" w:rsidP="00BC5EC8">
            <w:pPr>
              <w:pStyle w:val="ListParagraph"/>
              <w:numPr>
                <w:ilvl w:val="0"/>
                <w:numId w:val="22"/>
              </w:numPr>
              <w:ind w:left="361"/>
              <w:rPr>
                <w:bCs/>
                <w:sz w:val="24"/>
                <w:szCs w:val="24"/>
              </w:rPr>
            </w:pPr>
            <w:r w:rsidRPr="00BC5EC8">
              <w:rPr>
                <w:bCs/>
                <w:sz w:val="24"/>
                <w:szCs w:val="24"/>
              </w:rPr>
              <w:t>Weekends and/or holidays</w:t>
            </w:r>
          </w:p>
        </w:tc>
        <w:tc>
          <w:tcPr>
            <w:tcW w:w="1745" w:type="dxa"/>
            <w:vAlign w:val="center"/>
          </w:tcPr>
          <w:p w14:paraId="2E5B3DF4" w14:textId="2E02276D" w:rsidR="003803B5" w:rsidRDefault="003803B5" w:rsidP="003803B5">
            <w:pPr>
              <w:jc w:val="center"/>
              <w:rPr>
                <w:bCs/>
                <w:sz w:val="24"/>
                <w:szCs w:val="24"/>
              </w:rPr>
            </w:pPr>
            <w:r>
              <w:rPr>
                <w:bCs/>
                <w:sz w:val="24"/>
                <w:szCs w:val="24"/>
              </w:rPr>
              <w:t>Natasha Lindahl, TB Lab Supervisor</w:t>
            </w:r>
          </w:p>
        </w:tc>
        <w:tc>
          <w:tcPr>
            <w:tcW w:w="1655" w:type="dxa"/>
            <w:vAlign w:val="center"/>
          </w:tcPr>
          <w:p w14:paraId="7D648683" w14:textId="4EAF7213" w:rsidR="003803B5" w:rsidRDefault="003803B5" w:rsidP="003803B5">
            <w:pPr>
              <w:jc w:val="center"/>
              <w:rPr>
                <w:bCs/>
                <w:sz w:val="24"/>
                <w:szCs w:val="24"/>
              </w:rPr>
            </w:pPr>
            <w:r>
              <w:rPr>
                <w:bCs/>
                <w:sz w:val="24"/>
                <w:szCs w:val="24"/>
              </w:rPr>
              <w:t>December 2024</w:t>
            </w:r>
          </w:p>
        </w:tc>
        <w:tc>
          <w:tcPr>
            <w:tcW w:w="2732" w:type="dxa"/>
            <w:vAlign w:val="center"/>
          </w:tcPr>
          <w:p w14:paraId="779F36D0" w14:textId="3D46BB43" w:rsidR="007008BE" w:rsidRDefault="003803B5" w:rsidP="003803B5">
            <w:pPr>
              <w:rPr>
                <w:bCs/>
                <w:sz w:val="24"/>
                <w:szCs w:val="24"/>
              </w:rPr>
            </w:pPr>
            <w:r>
              <w:rPr>
                <w:b/>
                <w:sz w:val="24"/>
                <w:szCs w:val="24"/>
              </w:rPr>
              <w:t>Ongoing</w:t>
            </w:r>
          </w:p>
          <w:p w14:paraId="14895DBB" w14:textId="325A0698" w:rsidR="003803B5" w:rsidRPr="003803B5" w:rsidRDefault="003803B5" w:rsidP="003803B5">
            <w:pPr>
              <w:rPr>
                <w:bCs/>
                <w:sz w:val="24"/>
                <w:szCs w:val="24"/>
              </w:rPr>
            </w:pPr>
            <w:r>
              <w:rPr>
                <w:bCs/>
                <w:sz w:val="24"/>
                <w:szCs w:val="24"/>
              </w:rPr>
              <w:t>A QA monitor was not performed to address this issues knowing that TB activities and clinics were recommended by the Tennessee TB Elimination Program</w:t>
            </w:r>
            <w:r w:rsidR="00D17C5D">
              <w:rPr>
                <w:bCs/>
                <w:sz w:val="24"/>
                <w:szCs w:val="24"/>
              </w:rPr>
              <w:t xml:space="preserve"> (TTBEP)</w:t>
            </w:r>
            <w:r>
              <w:rPr>
                <w:bCs/>
                <w:sz w:val="24"/>
                <w:szCs w:val="24"/>
              </w:rPr>
              <w:t xml:space="preserve"> to reduce patient contact and limit face-to-face contact.</w:t>
            </w:r>
          </w:p>
        </w:tc>
      </w:tr>
      <w:tr w:rsidR="00C41473" w14:paraId="10D2D2A3" w14:textId="77777777" w:rsidTr="00EB6E8C">
        <w:tc>
          <w:tcPr>
            <w:tcW w:w="2785" w:type="dxa"/>
            <w:vAlign w:val="center"/>
          </w:tcPr>
          <w:p w14:paraId="1E6850AF" w14:textId="571796B0" w:rsidR="007008BE" w:rsidRDefault="00C41473" w:rsidP="00C41473">
            <w:pPr>
              <w:rPr>
                <w:bCs/>
                <w:sz w:val="24"/>
                <w:szCs w:val="24"/>
              </w:rPr>
            </w:pPr>
            <w:r>
              <w:rPr>
                <w:bCs/>
                <w:sz w:val="24"/>
                <w:szCs w:val="24"/>
                <w:u w:val="single"/>
              </w:rPr>
              <w:t>DST</w:t>
            </w:r>
          </w:p>
          <w:p w14:paraId="08299FFD" w14:textId="67400763" w:rsidR="00C41473" w:rsidRPr="003803B5" w:rsidRDefault="00C41473" w:rsidP="00C41473">
            <w:pPr>
              <w:rPr>
                <w:bCs/>
                <w:sz w:val="24"/>
                <w:szCs w:val="24"/>
              </w:rPr>
            </w:pPr>
            <w:r>
              <w:rPr>
                <w:bCs/>
                <w:sz w:val="24"/>
                <w:szCs w:val="24"/>
              </w:rPr>
              <w:t>Maintain current TAT.</w:t>
            </w:r>
          </w:p>
        </w:tc>
        <w:tc>
          <w:tcPr>
            <w:tcW w:w="1980" w:type="dxa"/>
            <w:vAlign w:val="center"/>
          </w:tcPr>
          <w:p w14:paraId="3FEB706C" w14:textId="33501A98" w:rsidR="00C41473" w:rsidRDefault="00C41473" w:rsidP="00BC5EC8">
            <w:pPr>
              <w:rPr>
                <w:bCs/>
                <w:sz w:val="24"/>
                <w:szCs w:val="24"/>
              </w:rPr>
            </w:pPr>
            <w:r>
              <w:rPr>
                <w:bCs/>
                <w:sz w:val="24"/>
                <w:szCs w:val="24"/>
              </w:rPr>
              <w:t>Maintain current TAT</w:t>
            </w:r>
          </w:p>
        </w:tc>
        <w:tc>
          <w:tcPr>
            <w:tcW w:w="2053" w:type="dxa"/>
            <w:vAlign w:val="center"/>
          </w:tcPr>
          <w:p w14:paraId="4644ABF6" w14:textId="7834DB4E" w:rsidR="00C41473" w:rsidRPr="00BC5EC8" w:rsidRDefault="00C41473" w:rsidP="00BC5EC8">
            <w:pPr>
              <w:pStyle w:val="ListParagraph"/>
              <w:numPr>
                <w:ilvl w:val="0"/>
                <w:numId w:val="23"/>
              </w:numPr>
              <w:ind w:left="361"/>
              <w:rPr>
                <w:bCs/>
                <w:sz w:val="24"/>
                <w:szCs w:val="24"/>
              </w:rPr>
            </w:pPr>
            <w:r w:rsidRPr="00BC5EC8">
              <w:rPr>
                <w:bCs/>
                <w:sz w:val="24"/>
                <w:szCs w:val="24"/>
              </w:rPr>
              <w:t>Growth rate of the organism</w:t>
            </w:r>
          </w:p>
        </w:tc>
        <w:tc>
          <w:tcPr>
            <w:tcW w:w="1745" w:type="dxa"/>
            <w:vAlign w:val="center"/>
          </w:tcPr>
          <w:p w14:paraId="5385D635" w14:textId="381DB02D" w:rsidR="00C41473" w:rsidRDefault="00C41473" w:rsidP="00C41473">
            <w:pPr>
              <w:jc w:val="center"/>
              <w:rPr>
                <w:bCs/>
                <w:sz w:val="24"/>
                <w:szCs w:val="24"/>
              </w:rPr>
            </w:pPr>
            <w:r>
              <w:rPr>
                <w:bCs/>
                <w:sz w:val="24"/>
                <w:szCs w:val="24"/>
              </w:rPr>
              <w:t>Natasha Lindahl, TB Lab Supervisor</w:t>
            </w:r>
          </w:p>
        </w:tc>
        <w:tc>
          <w:tcPr>
            <w:tcW w:w="1655" w:type="dxa"/>
            <w:vAlign w:val="center"/>
          </w:tcPr>
          <w:p w14:paraId="507780ED" w14:textId="690082E9" w:rsidR="00C41473" w:rsidRDefault="00C41473" w:rsidP="00C41473">
            <w:pPr>
              <w:jc w:val="center"/>
              <w:rPr>
                <w:bCs/>
                <w:sz w:val="24"/>
                <w:szCs w:val="24"/>
              </w:rPr>
            </w:pPr>
            <w:r>
              <w:rPr>
                <w:bCs/>
                <w:sz w:val="24"/>
                <w:szCs w:val="24"/>
              </w:rPr>
              <w:t>December 2024</w:t>
            </w:r>
          </w:p>
        </w:tc>
        <w:tc>
          <w:tcPr>
            <w:tcW w:w="2732" w:type="dxa"/>
            <w:vAlign w:val="center"/>
          </w:tcPr>
          <w:p w14:paraId="3883D0EA" w14:textId="77777777" w:rsidR="007008BE" w:rsidRDefault="00C41473" w:rsidP="00C41473">
            <w:pPr>
              <w:rPr>
                <w:b/>
                <w:sz w:val="24"/>
                <w:szCs w:val="24"/>
              </w:rPr>
            </w:pPr>
            <w:r>
              <w:rPr>
                <w:b/>
                <w:sz w:val="24"/>
                <w:szCs w:val="24"/>
              </w:rPr>
              <w:t>Ongoing</w:t>
            </w:r>
          </w:p>
          <w:p w14:paraId="1399DD7D" w14:textId="758B4917" w:rsidR="00C41473" w:rsidRPr="00C41473" w:rsidRDefault="007008BE" w:rsidP="00C41473">
            <w:pPr>
              <w:rPr>
                <w:bCs/>
                <w:sz w:val="24"/>
                <w:szCs w:val="24"/>
              </w:rPr>
            </w:pPr>
            <w:r>
              <w:rPr>
                <w:bCs/>
                <w:sz w:val="24"/>
                <w:szCs w:val="24"/>
              </w:rPr>
              <w:t>M</w:t>
            </w:r>
            <w:r w:rsidR="00C41473">
              <w:rPr>
                <w:bCs/>
                <w:sz w:val="24"/>
                <w:szCs w:val="24"/>
              </w:rPr>
              <w:t>ultiple patient samples failed to grow initially on DST media</w:t>
            </w:r>
          </w:p>
        </w:tc>
      </w:tr>
      <w:tr w:rsidR="00BC5EC8" w14:paraId="1F35E86A" w14:textId="77777777" w:rsidTr="00EB6E8C">
        <w:tc>
          <w:tcPr>
            <w:tcW w:w="2785" w:type="dxa"/>
            <w:vAlign w:val="center"/>
          </w:tcPr>
          <w:p w14:paraId="3403B371" w14:textId="77777777" w:rsidR="007008BE" w:rsidRDefault="00BC5EC8" w:rsidP="00BC5EC8">
            <w:pPr>
              <w:rPr>
                <w:bCs/>
                <w:sz w:val="24"/>
                <w:szCs w:val="24"/>
                <w:u w:val="single"/>
              </w:rPr>
            </w:pPr>
            <w:r>
              <w:rPr>
                <w:bCs/>
                <w:sz w:val="24"/>
                <w:szCs w:val="24"/>
                <w:u w:val="single"/>
              </w:rPr>
              <w:t>Organism identification</w:t>
            </w:r>
          </w:p>
          <w:p w14:paraId="1F13CA57" w14:textId="64DAABF5" w:rsidR="00BC5EC8" w:rsidRPr="00C41473" w:rsidRDefault="007008BE" w:rsidP="00BC5EC8">
            <w:pPr>
              <w:rPr>
                <w:bCs/>
                <w:sz w:val="24"/>
                <w:szCs w:val="24"/>
              </w:rPr>
            </w:pPr>
            <w:r>
              <w:rPr>
                <w:bCs/>
                <w:sz w:val="24"/>
                <w:szCs w:val="24"/>
              </w:rPr>
              <w:t>P</w:t>
            </w:r>
            <w:r w:rsidR="00BC5EC8">
              <w:rPr>
                <w:bCs/>
                <w:sz w:val="24"/>
                <w:szCs w:val="24"/>
              </w:rPr>
              <w:t>erform a QA monitor to identify which step(s) in the workflow result in the majority of delays and address the delays as appropriate.</w:t>
            </w:r>
          </w:p>
        </w:tc>
        <w:tc>
          <w:tcPr>
            <w:tcW w:w="1980" w:type="dxa"/>
            <w:vAlign w:val="center"/>
          </w:tcPr>
          <w:p w14:paraId="554624A0" w14:textId="497D19AB" w:rsidR="00BC5EC8" w:rsidRDefault="00BC5EC8" w:rsidP="00BC5EC8">
            <w:pPr>
              <w:rPr>
                <w:bCs/>
                <w:sz w:val="24"/>
                <w:szCs w:val="24"/>
              </w:rPr>
            </w:pPr>
            <w:r>
              <w:rPr>
                <w:bCs/>
                <w:sz w:val="24"/>
                <w:szCs w:val="24"/>
              </w:rPr>
              <w:t>Improve TAT to 65% of MTBC isolates reported within 21 calendar days of specimen receipt</w:t>
            </w:r>
          </w:p>
        </w:tc>
        <w:tc>
          <w:tcPr>
            <w:tcW w:w="2053" w:type="dxa"/>
            <w:vAlign w:val="center"/>
          </w:tcPr>
          <w:p w14:paraId="7EF7F0BA" w14:textId="0A578C88" w:rsidR="00BC5EC8" w:rsidRPr="00BC5EC8" w:rsidRDefault="00BC5EC8" w:rsidP="00BC5EC8">
            <w:pPr>
              <w:pStyle w:val="ListParagraph"/>
              <w:numPr>
                <w:ilvl w:val="0"/>
                <w:numId w:val="24"/>
              </w:numPr>
              <w:ind w:left="361"/>
              <w:rPr>
                <w:bCs/>
                <w:sz w:val="24"/>
                <w:szCs w:val="24"/>
              </w:rPr>
            </w:pPr>
            <w:r w:rsidRPr="00BC5EC8">
              <w:rPr>
                <w:bCs/>
                <w:sz w:val="24"/>
                <w:szCs w:val="24"/>
              </w:rPr>
              <w:t>Mixed or contaminated cultures</w:t>
            </w:r>
          </w:p>
        </w:tc>
        <w:tc>
          <w:tcPr>
            <w:tcW w:w="1745" w:type="dxa"/>
            <w:vAlign w:val="center"/>
          </w:tcPr>
          <w:p w14:paraId="08DB1146" w14:textId="53B49C12" w:rsidR="00BC5EC8" w:rsidRDefault="00BC5EC8" w:rsidP="00BC5EC8">
            <w:pPr>
              <w:jc w:val="center"/>
              <w:rPr>
                <w:bCs/>
                <w:sz w:val="24"/>
                <w:szCs w:val="24"/>
              </w:rPr>
            </w:pPr>
            <w:r>
              <w:rPr>
                <w:bCs/>
                <w:sz w:val="24"/>
                <w:szCs w:val="24"/>
              </w:rPr>
              <w:t>Natasha Lindahl, TB Lab Supervisor</w:t>
            </w:r>
          </w:p>
        </w:tc>
        <w:tc>
          <w:tcPr>
            <w:tcW w:w="1655" w:type="dxa"/>
            <w:vAlign w:val="center"/>
          </w:tcPr>
          <w:p w14:paraId="57326E17" w14:textId="38E95428" w:rsidR="00BC5EC8" w:rsidRDefault="00BC5EC8" w:rsidP="00BC5EC8">
            <w:pPr>
              <w:jc w:val="center"/>
              <w:rPr>
                <w:bCs/>
                <w:sz w:val="24"/>
                <w:szCs w:val="24"/>
              </w:rPr>
            </w:pPr>
            <w:r>
              <w:rPr>
                <w:bCs/>
                <w:sz w:val="24"/>
                <w:szCs w:val="24"/>
              </w:rPr>
              <w:t>December 2024</w:t>
            </w:r>
          </w:p>
        </w:tc>
        <w:tc>
          <w:tcPr>
            <w:tcW w:w="2732" w:type="dxa"/>
            <w:vAlign w:val="center"/>
          </w:tcPr>
          <w:p w14:paraId="48663D67" w14:textId="77777777" w:rsidR="007008BE" w:rsidRDefault="00BC5EC8" w:rsidP="00BC5EC8">
            <w:pPr>
              <w:rPr>
                <w:b/>
                <w:sz w:val="24"/>
                <w:szCs w:val="24"/>
              </w:rPr>
            </w:pPr>
            <w:r>
              <w:rPr>
                <w:b/>
                <w:sz w:val="24"/>
                <w:szCs w:val="24"/>
              </w:rPr>
              <w:t>Ongoing</w:t>
            </w:r>
          </w:p>
          <w:p w14:paraId="44B64305" w14:textId="7E7C3465" w:rsidR="00BC5EC8" w:rsidRPr="00BC5EC8" w:rsidRDefault="007008BE" w:rsidP="00BC5EC8">
            <w:pPr>
              <w:rPr>
                <w:bCs/>
                <w:sz w:val="24"/>
                <w:szCs w:val="24"/>
              </w:rPr>
            </w:pPr>
            <w:r>
              <w:rPr>
                <w:bCs/>
                <w:sz w:val="24"/>
                <w:szCs w:val="24"/>
              </w:rPr>
              <w:t>S</w:t>
            </w:r>
            <w:r w:rsidR="00BC5EC8">
              <w:rPr>
                <w:bCs/>
                <w:sz w:val="24"/>
                <w:szCs w:val="24"/>
              </w:rPr>
              <w:t>light improvement made in 2020.  In the process of switching liquid media system that will lead to fewer false-positive liquid mediate and solid media plate readings.</w:t>
            </w:r>
          </w:p>
        </w:tc>
      </w:tr>
      <w:tr w:rsidR="00FA17DF" w14:paraId="48EFEC82" w14:textId="77777777" w:rsidTr="00EB6E8C">
        <w:tc>
          <w:tcPr>
            <w:tcW w:w="2785" w:type="dxa"/>
            <w:vAlign w:val="center"/>
          </w:tcPr>
          <w:p w14:paraId="783F27C0" w14:textId="77777777" w:rsidR="007008BE" w:rsidRDefault="00FA17DF" w:rsidP="00FA17DF">
            <w:pPr>
              <w:rPr>
                <w:bCs/>
                <w:sz w:val="24"/>
                <w:szCs w:val="24"/>
                <w:u w:val="single"/>
              </w:rPr>
            </w:pPr>
            <w:r>
              <w:rPr>
                <w:bCs/>
                <w:sz w:val="24"/>
                <w:szCs w:val="24"/>
                <w:u w:val="single"/>
              </w:rPr>
              <w:lastRenderedPageBreak/>
              <w:t>Reporting</w:t>
            </w:r>
          </w:p>
          <w:p w14:paraId="12D381CD" w14:textId="4E2ABBE7" w:rsidR="00FA17DF" w:rsidRPr="00BC5EC8" w:rsidRDefault="007008BE" w:rsidP="00FA17DF">
            <w:pPr>
              <w:rPr>
                <w:bCs/>
                <w:sz w:val="24"/>
                <w:szCs w:val="24"/>
              </w:rPr>
            </w:pPr>
            <w:r>
              <w:rPr>
                <w:bCs/>
                <w:sz w:val="24"/>
                <w:szCs w:val="24"/>
              </w:rPr>
              <w:t>C</w:t>
            </w:r>
            <w:r w:rsidR="00FA17DF">
              <w:rPr>
                <w:bCs/>
                <w:sz w:val="24"/>
                <w:szCs w:val="24"/>
              </w:rPr>
              <w:t>reate a log to track all samples affected by system downtime.  Call provider with results when system is down.  Document calls in the report when system becomes functional.</w:t>
            </w:r>
          </w:p>
        </w:tc>
        <w:tc>
          <w:tcPr>
            <w:tcW w:w="1980" w:type="dxa"/>
            <w:vAlign w:val="center"/>
          </w:tcPr>
          <w:p w14:paraId="08105ECD" w14:textId="77777777" w:rsidR="00FA17DF" w:rsidRDefault="00FA17DF" w:rsidP="00FA17DF">
            <w:pPr>
              <w:pStyle w:val="ListParagraph"/>
              <w:numPr>
                <w:ilvl w:val="0"/>
                <w:numId w:val="25"/>
              </w:numPr>
              <w:ind w:left="331"/>
              <w:rPr>
                <w:bCs/>
                <w:sz w:val="24"/>
                <w:szCs w:val="24"/>
              </w:rPr>
            </w:pPr>
            <w:r w:rsidRPr="00BC5EC8">
              <w:rPr>
                <w:bCs/>
                <w:sz w:val="24"/>
                <w:szCs w:val="24"/>
              </w:rPr>
              <w:t>Improve TAT to 85% of AFB smear results reported within one (1) days of receipt</w:t>
            </w:r>
          </w:p>
          <w:p w14:paraId="57273EE8" w14:textId="731EEC5A" w:rsidR="00FA17DF" w:rsidRPr="00BC5EC8" w:rsidRDefault="00FA17DF" w:rsidP="00FA17DF">
            <w:pPr>
              <w:pStyle w:val="ListParagraph"/>
              <w:numPr>
                <w:ilvl w:val="0"/>
                <w:numId w:val="25"/>
              </w:numPr>
              <w:ind w:left="331"/>
              <w:rPr>
                <w:bCs/>
                <w:sz w:val="24"/>
                <w:szCs w:val="24"/>
              </w:rPr>
            </w:pPr>
            <w:r>
              <w:rPr>
                <w:bCs/>
                <w:sz w:val="24"/>
                <w:szCs w:val="24"/>
              </w:rPr>
              <w:t>Improve TAT to 65% of MTBC isolates reported within 21 calendar days of specimen receipt</w:t>
            </w:r>
          </w:p>
        </w:tc>
        <w:tc>
          <w:tcPr>
            <w:tcW w:w="2053" w:type="dxa"/>
            <w:vAlign w:val="center"/>
          </w:tcPr>
          <w:p w14:paraId="2248895D" w14:textId="77777777" w:rsidR="00FA17DF" w:rsidRDefault="00FA17DF" w:rsidP="00FA17DF">
            <w:pPr>
              <w:pStyle w:val="ListParagraph"/>
              <w:numPr>
                <w:ilvl w:val="0"/>
                <w:numId w:val="26"/>
              </w:numPr>
              <w:ind w:left="361"/>
              <w:rPr>
                <w:bCs/>
                <w:sz w:val="24"/>
                <w:szCs w:val="24"/>
              </w:rPr>
            </w:pPr>
            <w:r>
              <w:rPr>
                <w:bCs/>
                <w:sz w:val="24"/>
                <w:szCs w:val="24"/>
              </w:rPr>
              <w:t>Current LIMS system does not generate reports in real-time</w:t>
            </w:r>
          </w:p>
          <w:p w14:paraId="27358548" w14:textId="77777777" w:rsidR="00FA17DF" w:rsidRDefault="00FA17DF" w:rsidP="00FA17DF">
            <w:pPr>
              <w:pStyle w:val="ListParagraph"/>
              <w:numPr>
                <w:ilvl w:val="0"/>
                <w:numId w:val="26"/>
              </w:numPr>
              <w:ind w:left="361"/>
              <w:rPr>
                <w:bCs/>
                <w:sz w:val="24"/>
                <w:szCs w:val="24"/>
              </w:rPr>
            </w:pPr>
            <w:r>
              <w:rPr>
                <w:bCs/>
                <w:sz w:val="24"/>
                <w:szCs w:val="24"/>
              </w:rPr>
              <w:t>Not all providers have the ability to receive reports electronically</w:t>
            </w:r>
          </w:p>
          <w:p w14:paraId="17A53548" w14:textId="2C157D49" w:rsidR="00FA17DF" w:rsidRPr="00FA17DF" w:rsidRDefault="00FA17DF" w:rsidP="00FA17DF">
            <w:pPr>
              <w:pStyle w:val="ListParagraph"/>
              <w:numPr>
                <w:ilvl w:val="0"/>
                <w:numId w:val="26"/>
              </w:numPr>
              <w:ind w:left="361"/>
              <w:rPr>
                <w:bCs/>
                <w:sz w:val="24"/>
                <w:szCs w:val="24"/>
              </w:rPr>
            </w:pPr>
            <w:r>
              <w:rPr>
                <w:bCs/>
                <w:sz w:val="24"/>
                <w:szCs w:val="24"/>
              </w:rPr>
              <w:t>Weekends and/or holidays</w:t>
            </w:r>
          </w:p>
        </w:tc>
        <w:tc>
          <w:tcPr>
            <w:tcW w:w="1745" w:type="dxa"/>
            <w:vAlign w:val="center"/>
          </w:tcPr>
          <w:p w14:paraId="37F9CD52" w14:textId="59B8DB5A" w:rsidR="00FA17DF" w:rsidRDefault="00FA17DF" w:rsidP="00FA17DF">
            <w:pPr>
              <w:jc w:val="center"/>
              <w:rPr>
                <w:bCs/>
                <w:sz w:val="24"/>
                <w:szCs w:val="24"/>
              </w:rPr>
            </w:pPr>
            <w:r>
              <w:rPr>
                <w:bCs/>
                <w:sz w:val="24"/>
                <w:szCs w:val="24"/>
              </w:rPr>
              <w:t>Natasha Lindahl, TB Lab Supervisor</w:t>
            </w:r>
          </w:p>
        </w:tc>
        <w:tc>
          <w:tcPr>
            <w:tcW w:w="1655" w:type="dxa"/>
            <w:vAlign w:val="center"/>
          </w:tcPr>
          <w:p w14:paraId="0546852E" w14:textId="2C87A39A" w:rsidR="00FA17DF" w:rsidRDefault="00FA17DF" w:rsidP="00FA17DF">
            <w:pPr>
              <w:jc w:val="center"/>
              <w:rPr>
                <w:bCs/>
                <w:sz w:val="24"/>
                <w:szCs w:val="24"/>
              </w:rPr>
            </w:pPr>
            <w:r>
              <w:rPr>
                <w:bCs/>
                <w:sz w:val="24"/>
                <w:szCs w:val="24"/>
              </w:rPr>
              <w:t>December 2024</w:t>
            </w:r>
          </w:p>
        </w:tc>
        <w:tc>
          <w:tcPr>
            <w:tcW w:w="2732" w:type="dxa"/>
            <w:vAlign w:val="center"/>
          </w:tcPr>
          <w:p w14:paraId="49F637B6" w14:textId="77777777" w:rsidR="007008BE" w:rsidRDefault="007008BE" w:rsidP="00FA17DF">
            <w:pPr>
              <w:rPr>
                <w:b/>
                <w:sz w:val="24"/>
                <w:szCs w:val="24"/>
              </w:rPr>
            </w:pPr>
            <w:r>
              <w:rPr>
                <w:b/>
                <w:sz w:val="24"/>
                <w:szCs w:val="24"/>
              </w:rPr>
              <w:t>Achieved</w:t>
            </w:r>
          </w:p>
          <w:p w14:paraId="7D6FE6A3" w14:textId="025081A2" w:rsidR="00FA17DF" w:rsidRPr="007008BE" w:rsidRDefault="007008BE" w:rsidP="00FA17DF">
            <w:pPr>
              <w:rPr>
                <w:bCs/>
                <w:sz w:val="24"/>
                <w:szCs w:val="24"/>
              </w:rPr>
            </w:pPr>
            <w:r>
              <w:rPr>
                <w:bCs/>
                <w:sz w:val="24"/>
                <w:szCs w:val="24"/>
              </w:rPr>
              <w:t xml:space="preserve">One benefit from COVID is that the current LIMS system now generates reports in almost real-time.  In addition, the informatics staff currently monitors, documents, and informs laboratory department management staff when samples are affected by system downtime. </w:t>
            </w:r>
          </w:p>
        </w:tc>
      </w:tr>
      <w:tr w:rsidR="00D17C5D" w14:paraId="5F4500F1" w14:textId="77777777" w:rsidTr="00EB6E8C">
        <w:tc>
          <w:tcPr>
            <w:tcW w:w="2785" w:type="dxa"/>
            <w:vAlign w:val="center"/>
          </w:tcPr>
          <w:p w14:paraId="66CA007B" w14:textId="77777777" w:rsidR="00D17C5D" w:rsidRDefault="00D17C5D" w:rsidP="00D17C5D">
            <w:pPr>
              <w:rPr>
                <w:bCs/>
                <w:sz w:val="24"/>
                <w:szCs w:val="24"/>
                <w:u w:val="single"/>
              </w:rPr>
            </w:pPr>
            <w:bookmarkStart w:id="10" w:name="_Hlk78877466"/>
            <w:r>
              <w:rPr>
                <w:bCs/>
                <w:sz w:val="24"/>
                <w:szCs w:val="24"/>
                <w:u w:val="single"/>
              </w:rPr>
              <w:t>Specimen receipt</w:t>
            </w:r>
          </w:p>
          <w:p w14:paraId="2202AC05" w14:textId="24AD3E4C" w:rsidR="00D17C5D" w:rsidRPr="007008BE" w:rsidRDefault="00D17C5D" w:rsidP="00D17C5D">
            <w:pPr>
              <w:rPr>
                <w:bCs/>
                <w:sz w:val="24"/>
                <w:szCs w:val="24"/>
              </w:rPr>
            </w:pPr>
            <w:r>
              <w:rPr>
                <w:bCs/>
                <w:sz w:val="24"/>
                <w:szCs w:val="24"/>
              </w:rPr>
              <w:t>Monitor batch specimens (two or more specimens received on the same day on the same patient) from all public health departments</w:t>
            </w:r>
          </w:p>
        </w:tc>
        <w:tc>
          <w:tcPr>
            <w:tcW w:w="1980" w:type="dxa"/>
            <w:vAlign w:val="center"/>
          </w:tcPr>
          <w:p w14:paraId="5B8DF955" w14:textId="2E7914EA" w:rsidR="00D17C5D" w:rsidRPr="00D17C5D" w:rsidRDefault="00D17C5D" w:rsidP="00D17C5D">
            <w:pPr>
              <w:rPr>
                <w:bCs/>
                <w:sz w:val="24"/>
                <w:szCs w:val="24"/>
              </w:rPr>
            </w:pPr>
            <w:r w:rsidRPr="00D17C5D">
              <w:rPr>
                <w:bCs/>
                <w:sz w:val="24"/>
                <w:szCs w:val="24"/>
              </w:rPr>
              <w:t>Receipt within</w:t>
            </w:r>
            <w:r>
              <w:rPr>
                <w:bCs/>
                <w:sz w:val="24"/>
                <w:szCs w:val="24"/>
              </w:rPr>
              <w:t xml:space="preserve"> one (1) day of collection for 65% of the specimens</w:t>
            </w:r>
          </w:p>
        </w:tc>
        <w:tc>
          <w:tcPr>
            <w:tcW w:w="2053" w:type="dxa"/>
            <w:vAlign w:val="center"/>
          </w:tcPr>
          <w:p w14:paraId="70A31096" w14:textId="593FBE06" w:rsidR="00D17C5D" w:rsidRPr="00D17C5D" w:rsidRDefault="00D17C5D" w:rsidP="00D17C5D">
            <w:pPr>
              <w:pStyle w:val="ListParagraph"/>
              <w:numPr>
                <w:ilvl w:val="0"/>
                <w:numId w:val="27"/>
              </w:numPr>
              <w:ind w:left="361"/>
              <w:rPr>
                <w:bCs/>
                <w:sz w:val="24"/>
                <w:szCs w:val="24"/>
              </w:rPr>
            </w:pPr>
            <w:r>
              <w:rPr>
                <w:bCs/>
                <w:sz w:val="24"/>
                <w:szCs w:val="24"/>
              </w:rPr>
              <w:t>Weekends and/or holidays</w:t>
            </w:r>
          </w:p>
        </w:tc>
        <w:tc>
          <w:tcPr>
            <w:tcW w:w="1745" w:type="dxa"/>
            <w:vAlign w:val="center"/>
          </w:tcPr>
          <w:p w14:paraId="3AC03B1C" w14:textId="19C6A309" w:rsidR="00D17C5D" w:rsidRDefault="00D17C5D" w:rsidP="00D17C5D">
            <w:pPr>
              <w:jc w:val="center"/>
              <w:rPr>
                <w:bCs/>
                <w:sz w:val="24"/>
                <w:szCs w:val="24"/>
              </w:rPr>
            </w:pPr>
            <w:r>
              <w:rPr>
                <w:bCs/>
                <w:sz w:val="24"/>
                <w:szCs w:val="24"/>
              </w:rPr>
              <w:t>Natasha Lindahl, TB Lab Supervisor</w:t>
            </w:r>
          </w:p>
        </w:tc>
        <w:tc>
          <w:tcPr>
            <w:tcW w:w="1655" w:type="dxa"/>
            <w:vAlign w:val="center"/>
          </w:tcPr>
          <w:p w14:paraId="7BA87B4F" w14:textId="6ED894CD" w:rsidR="00D17C5D" w:rsidRDefault="00D17C5D" w:rsidP="00D17C5D">
            <w:pPr>
              <w:jc w:val="center"/>
              <w:rPr>
                <w:bCs/>
                <w:sz w:val="24"/>
                <w:szCs w:val="24"/>
              </w:rPr>
            </w:pPr>
            <w:r>
              <w:rPr>
                <w:bCs/>
                <w:sz w:val="24"/>
                <w:szCs w:val="24"/>
              </w:rPr>
              <w:t>December 2024</w:t>
            </w:r>
          </w:p>
        </w:tc>
        <w:tc>
          <w:tcPr>
            <w:tcW w:w="2732" w:type="dxa"/>
            <w:vAlign w:val="center"/>
          </w:tcPr>
          <w:p w14:paraId="654F60A3" w14:textId="77777777" w:rsidR="00D17C5D" w:rsidRDefault="00D17C5D" w:rsidP="00D17C5D">
            <w:pPr>
              <w:rPr>
                <w:bCs/>
                <w:sz w:val="24"/>
                <w:szCs w:val="24"/>
              </w:rPr>
            </w:pPr>
            <w:r>
              <w:rPr>
                <w:b/>
                <w:sz w:val="24"/>
                <w:szCs w:val="24"/>
              </w:rPr>
              <w:t>Ongoing</w:t>
            </w:r>
          </w:p>
          <w:p w14:paraId="73F1270F" w14:textId="77777777" w:rsidR="00D17C5D" w:rsidRDefault="00D17C5D" w:rsidP="00D17C5D">
            <w:pPr>
              <w:rPr>
                <w:bCs/>
                <w:sz w:val="24"/>
                <w:szCs w:val="24"/>
              </w:rPr>
            </w:pPr>
            <w:r>
              <w:rPr>
                <w:bCs/>
                <w:sz w:val="24"/>
                <w:szCs w:val="24"/>
              </w:rPr>
              <w:t>This is a scheduled annual QA monitor.  All data is shared with the TTBEP.  Follow-up is maintained by TTBEP.  This monitor was not performed in 2020 due to reduction of in-person clinic visits.  QA monitor will resume once recommendation is lifted.</w:t>
            </w:r>
          </w:p>
          <w:p w14:paraId="098F733F" w14:textId="7E1B2F43" w:rsidR="00EB6E8C" w:rsidRPr="00D17C5D" w:rsidRDefault="00EB6E8C" w:rsidP="00D17C5D">
            <w:pPr>
              <w:rPr>
                <w:bCs/>
                <w:sz w:val="24"/>
                <w:szCs w:val="24"/>
              </w:rPr>
            </w:pPr>
          </w:p>
        </w:tc>
      </w:tr>
      <w:bookmarkEnd w:id="10"/>
      <w:tr w:rsidR="00D17C5D" w14:paraId="5D3BE750" w14:textId="77777777" w:rsidTr="00EB6E8C">
        <w:tc>
          <w:tcPr>
            <w:tcW w:w="12950" w:type="dxa"/>
            <w:gridSpan w:val="6"/>
            <w:shd w:val="clear" w:color="auto" w:fill="D9D9D9" w:themeFill="background1" w:themeFillShade="D9"/>
            <w:vAlign w:val="center"/>
          </w:tcPr>
          <w:p w14:paraId="7F0E28B0" w14:textId="65BE00A1" w:rsidR="00D17C5D" w:rsidRPr="00D17C5D" w:rsidRDefault="00D17C5D" w:rsidP="00D17C5D">
            <w:pPr>
              <w:rPr>
                <w:b/>
                <w:sz w:val="24"/>
                <w:szCs w:val="24"/>
              </w:rPr>
            </w:pPr>
            <w:r>
              <w:rPr>
                <w:b/>
                <w:sz w:val="24"/>
                <w:szCs w:val="24"/>
              </w:rPr>
              <w:lastRenderedPageBreak/>
              <w:t>Laboratory Element 2: Promote continual advancement of laboratory efficiency and quality assurance through the use of local data (i.e., your laboratory-specific data)</w:t>
            </w:r>
          </w:p>
        </w:tc>
      </w:tr>
      <w:tr w:rsidR="009C0BE7" w:rsidRPr="00184728" w14:paraId="1D55153C" w14:textId="77777777" w:rsidTr="00EB6E8C">
        <w:tc>
          <w:tcPr>
            <w:tcW w:w="6818" w:type="dxa"/>
            <w:gridSpan w:val="3"/>
            <w:shd w:val="clear" w:color="auto" w:fill="F2F2F2" w:themeFill="background1" w:themeFillShade="F2"/>
            <w:vAlign w:val="center"/>
          </w:tcPr>
          <w:p w14:paraId="7B16055F" w14:textId="57F644B2" w:rsidR="009C0BE7" w:rsidRPr="00184728" w:rsidRDefault="009C0BE7" w:rsidP="001F2DE7">
            <w:pPr>
              <w:jc w:val="center"/>
              <w:rPr>
                <w:b/>
                <w:sz w:val="24"/>
                <w:szCs w:val="24"/>
              </w:rPr>
            </w:pPr>
            <w:bookmarkStart w:id="11" w:name="_Hlk78877719"/>
            <w:r w:rsidRPr="00184728">
              <w:rPr>
                <w:b/>
                <w:sz w:val="24"/>
                <w:szCs w:val="24"/>
              </w:rPr>
              <w:t>What are your</w:t>
            </w:r>
            <w:r>
              <w:rPr>
                <w:b/>
                <w:sz w:val="24"/>
                <w:szCs w:val="24"/>
              </w:rPr>
              <w:t xml:space="preserve"> laboratory objectives for Element 2 during the five-year Cooperative Agreement period?  </w:t>
            </w:r>
          </w:p>
        </w:tc>
        <w:tc>
          <w:tcPr>
            <w:tcW w:w="6132" w:type="dxa"/>
            <w:gridSpan w:val="3"/>
            <w:shd w:val="clear" w:color="auto" w:fill="F2F2F2" w:themeFill="background1" w:themeFillShade="F2"/>
            <w:vAlign w:val="center"/>
          </w:tcPr>
          <w:p w14:paraId="16D8FC55" w14:textId="77777777" w:rsidR="009C0BE7" w:rsidRPr="00184728" w:rsidRDefault="009C0BE7" w:rsidP="001F2DE7">
            <w:pPr>
              <w:jc w:val="center"/>
              <w:rPr>
                <w:b/>
                <w:sz w:val="24"/>
                <w:szCs w:val="24"/>
              </w:rPr>
            </w:pPr>
            <w:r>
              <w:rPr>
                <w:b/>
                <w:sz w:val="24"/>
                <w:szCs w:val="24"/>
              </w:rPr>
              <w:t>How will your laboratory measure success related to these objectives?</w:t>
            </w:r>
          </w:p>
        </w:tc>
      </w:tr>
      <w:bookmarkEnd w:id="11"/>
      <w:tr w:rsidR="00D17C5D" w14:paraId="4F0A8F14" w14:textId="77777777" w:rsidTr="00EB6E8C">
        <w:tc>
          <w:tcPr>
            <w:tcW w:w="6818" w:type="dxa"/>
            <w:gridSpan w:val="3"/>
            <w:vAlign w:val="center"/>
          </w:tcPr>
          <w:p w14:paraId="0AFAF1D3" w14:textId="1927BEC2" w:rsidR="00D17C5D" w:rsidRPr="009C0BE7" w:rsidRDefault="0059149D" w:rsidP="009C0BE7">
            <w:pPr>
              <w:rPr>
                <w:bCs/>
                <w:sz w:val="24"/>
                <w:szCs w:val="24"/>
              </w:rPr>
            </w:pPr>
            <w:r>
              <w:rPr>
                <w:bCs/>
                <w:sz w:val="24"/>
                <w:szCs w:val="24"/>
              </w:rPr>
              <w:t>Reduce laboratory pre- or post-analytical error rates.</w:t>
            </w:r>
          </w:p>
        </w:tc>
        <w:tc>
          <w:tcPr>
            <w:tcW w:w="6132" w:type="dxa"/>
            <w:gridSpan w:val="3"/>
            <w:vAlign w:val="center"/>
          </w:tcPr>
          <w:p w14:paraId="57400B9E" w14:textId="23833162" w:rsidR="00D17C5D" w:rsidRPr="007D6429" w:rsidRDefault="007D6429" w:rsidP="00D17C5D">
            <w:pPr>
              <w:rPr>
                <w:bCs/>
                <w:sz w:val="24"/>
                <w:szCs w:val="24"/>
              </w:rPr>
            </w:pPr>
            <w:r>
              <w:rPr>
                <w:bCs/>
                <w:sz w:val="24"/>
                <w:szCs w:val="24"/>
              </w:rPr>
              <w:t>Implementation of cross-contamination protocol to guide lab staff and TTBEP staff on how to investigate; 5% decrease in transcription documentation errors made by lab staff.</w:t>
            </w:r>
          </w:p>
        </w:tc>
      </w:tr>
      <w:tr w:rsidR="00D17C5D" w:rsidRPr="00C30A58" w14:paraId="3750B0BF" w14:textId="77777777" w:rsidTr="00EB6E8C">
        <w:tc>
          <w:tcPr>
            <w:tcW w:w="2785" w:type="dxa"/>
            <w:shd w:val="clear" w:color="auto" w:fill="F2F2F2" w:themeFill="background1" w:themeFillShade="F2"/>
            <w:vAlign w:val="center"/>
          </w:tcPr>
          <w:p w14:paraId="4C135874" w14:textId="77777777" w:rsidR="00D17C5D" w:rsidRPr="00C30A58" w:rsidRDefault="00D17C5D" w:rsidP="001F2DE7">
            <w:pPr>
              <w:jc w:val="center"/>
              <w:rPr>
                <w:b/>
                <w:sz w:val="24"/>
                <w:szCs w:val="24"/>
              </w:rPr>
            </w:pPr>
            <w:r>
              <w:rPr>
                <w:b/>
                <w:sz w:val="24"/>
                <w:szCs w:val="24"/>
              </w:rPr>
              <w:t>Activities</w:t>
            </w:r>
          </w:p>
        </w:tc>
        <w:tc>
          <w:tcPr>
            <w:tcW w:w="1980" w:type="dxa"/>
            <w:shd w:val="clear" w:color="auto" w:fill="F2F2F2" w:themeFill="background1" w:themeFillShade="F2"/>
            <w:vAlign w:val="center"/>
          </w:tcPr>
          <w:p w14:paraId="1D353E19" w14:textId="77777777" w:rsidR="00D17C5D" w:rsidRPr="00C30A58" w:rsidRDefault="00D17C5D" w:rsidP="001F2DE7">
            <w:pPr>
              <w:jc w:val="center"/>
              <w:rPr>
                <w:b/>
                <w:sz w:val="24"/>
                <w:szCs w:val="24"/>
              </w:rPr>
            </w:pPr>
            <w:r>
              <w:rPr>
                <w:b/>
                <w:sz w:val="24"/>
                <w:szCs w:val="24"/>
              </w:rPr>
              <w:t>Measure of Success</w:t>
            </w:r>
          </w:p>
        </w:tc>
        <w:tc>
          <w:tcPr>
            <w:tcW w:w="2053" w:type="dxa"/>
            <w:shd w:val="clear" w:color="auto" w:fill="F2F2F2" w:themeFill="background1" w:themeFillShade="F2"/>
            <w:vAlign w:val="center"/>
          </w:tcPr>
          <w:p w14:paraId="1E9C0466" w14:textId="77777777" w:rsidR="00D17C5D" w:rsidRPr="00C30A58" w:rsidRDefault="00D17C5D" w:rsidP="001F2DE7">
            <w:pPr>
              <w:jc w:val="center"/>
              <w:rPr>
                <w:b/>
                <w:sz w:val="24"/>
                <w:szCs w:val="24"/>
              </w:rPr>
            </w:pPr>
            <w:r>
              <w:rPr>
                <w:b/>
                <w:sz w:val="24"/>
                <w:szCs w:val="24"/>
              </w:rPr>
              <w:t>Anticipated Obstacles</w:t>
            </w:r>
          </w:p>
        </w:tc>
        <w:tc>
          <w:tcPr>
            <w:tcW w:w="1745" w:type="dxa"/>
            <w:shd w:val="clear" w:color="auto" w:fill="F2F2F2" w:themeFill="background1" w:themeFillShade="F2"/>
            <w:vAlign w:val="center"/>
          </w:tcPr>
          <w:p w14:paraId="62618330" w14:textId="77777777" w:rsidR="00D17C5D" w:rsidRPr="00C30A58" w:rsidRDefault="00D17C5D" w:rsidP="001F2DE7">
            <w:pPr>
              <w:jc w:val="center"/>
              <w:rPr>
                <w:b/>
                <w:sz w:val="24"/>
                <w:szCs w:val="24"/>
              </w:rPr>
            </w:pPr>
            <w:r>
              <w:rPr>
                <w:b/>
                <w:sz w:val="24"/>
                <w:szCs w:val="24"/>
              </w:rPr>
              <w:t>Responsible Laboratory Staff</w:t>
            </w:r>
          </w:p>
        </w:tc>
        <w:tc>
          <w:tcPr>
            <w:tcW w:w="1655" w:type="dxa"/>
            <w:shd w:val="clear" w:color="auto" w:fill="F2F2F2" w:themeFill="background1" w:themeFillShade="F2"/>
            <w:vAlign w:val="center"/>
          </w:tcPr>
          <w:p w14:paraId="51F2A2E0" w14:textId="77777777" w:rsidR="00D17C5D" w:rsidRPr="00C30A58" w:rsidRDefault="00D17C5D" w:rsidP="001F2DE7">
            <w:pPr>
              <w:jc w:val="center"/>
              <w:rPr>
                <w:b/>
                <w:sz w:val="24"/>
                <w:szCs w:val="24"/>
              </w:rPr>
            </w:pPr>
            <w:r>
              <w:rPr>
                <w:b/>
                <w:sz w:val="24"/>
                <w:szCs w:val="24"/>
              </w:rPr>
              <w:t>Target Completion Date/Timeline</w:t>
            </w:r>
          </w:p>
        </w:tc>
        <w:tc>
          <w:tcPr>
            <w:tcW w:w="2732" w:type="dxa"/>
            <w:shd w:val="clear" w:color="auto" w:fill="F2F2F2" w:themeFill="background1" w:themeFillShade="F2"/>
            <w:vAlign w:val="center"/>
          </w:tcPr>
          <w:p w14:paraId="645F4E6E" w14:textId="77777777" w:rsidR="00D17C5D" w:rsidRPr="00C30A58" w:rsidRDefault="00D17C5D" w:rsidP="001F2DE7">
            <w:pPr>
              <w:jc w:val="center"/>
              <w:rPr>
                <w:b/>
                <w:sz w:val="24"/>
                <w:szCs w:val="24"/>
              </w:rPr>
            </w:pPr>
            <w:r>
              <w:rPr>
                <w:b/>
                <w:sz w:val="24"/>
                <w:szCs w:val="24"/>
              </w:rPr>
              <w:t>Progress</w:t>
            </w:r>
          </w:p>
        </w:tc>
      </w:tr>
      <w:tr w:rsidR="00D17C5D" w14:paraId="01D1DFB6" w14:textId="77777777" w:rsidTr="00EB6E8C">
        <w:tc>
          <w:tcPr>
            <w:tcW w:w="2785" w:type="dxa"/>
            <w:vAlign w:val="center"/>
          </w:tcPr>
          <w:p w14:paraId="11F3B857" w14:textId="489ADA93" w:rsidR="00D17C5D" w:rsidRPr="000B2FEE" w:rsidRDefault="000B2FEE" w:rsidP="00D17C5D">
            <w:pPr>
              <w:rPr>
                <w:bCs/>
                <w:sz w:val="24"/>
                <w:szCs w:val="24"/>
              </w:rPr>
            </w:pPr>
            <w:bookmarkStart w:id="12" w:name="_Hlk78878417"/>
            <w:r>
              <w:rPr>
                <w:bCs/>
                <w:sz w:val="24"/>
                <w:szCs w:val="24"/>
              </w:rPr>
              <w:t>Develop a universal cross-contamination SOP for lab and TTBEP staff</w:t>
            </w:r>
          </w:p>
        </w:tc>
        <w:tc>
          <w:tcPr>
            <w:tcW w:w="1980" w:type="dxa"/>
            <w:vAlign w:val="center"/>
          </w:tcPr>
          <w:p w14:paraId="4DF394EE" w14:textId="6CF21626" w:rsidR="00D17C5D" w:rsidRPr="00D17C5D" w:rsidRDefault="000B2FEE" w:rsidP="00D17C5D">
            <w:pPr>
              <w:rPr>
                <w:bCs/>
                <w:sz w:val="24"/>
                <w:szCs w:val="24"/>
              </w:rPr>
            </w:pPr>
            <w:r>
              <w:rPr>
                <w:bCs/>
                <w:sz w:val="24"/>
                <w:szCs w:val="24"/>
              </w:rPr>
              <w:t xml:space="preserve">Completion and implementation of cross-contamination </w:t>
            </w:r>
            <w:r w:rsidR="002E4687">
              <w:rPr>
                <w:bCs/>
                <w:sz w:val="24"/>
                <w:szCs w:val="24"/>
              </w:rPr>
              <w:t>procedure with approval from laboratory director and TTBEP leadership</w:t>
            </w:r>
          </w:p>
        </w:tc>
        <w:tc>
          <w:tcPr>
            <w:tcW w:w="2053" w:type="dxa"/>
            <w:vAlign w:val="center"/>
          </w:tcPr>
          <w:p w14:paraId="14A55890" w14:textId="10F87EDE" w:rsidR="00D17C5D" w:rsidRPr="002E4687" w:rsidRDefault="002E4687" w:rsidP="002E4687">
            <w:pPr>
              <w:jc w:val="center"/>
              <w:rPr>
                <w:bCs/>
                <w:sz w:val="24"/>
                <w:szCs w:val="24"/>
              </w:rPr>
            </w:pPr>
            <w:r w:rsidRPr="002E4687">
              <w:rPr>
                <w:bCs/>
                <w:sz w:val="24"/>
                <w:szCs w:val="24"/>
              </w:rPr>
              <w:t>None</w:t>
            </w:r>
          </w:p>
        </w:tc>
        <w:tc>
          <w:tcPr>
            <w:tcW w:w="1745" w:type="dxa"/>
            <w:vAlign w:val="center"/>
          </w:tcPr>
          <w:p w14:paraId="26434795" w14:textId="664E9AE0" w:rsidR="00D17C5D" w:rsidRDefault="002E4687" w:rsidP="00D17C5D">
            <w:pPr>
              <w:jc w:val="center"/>
              <w:rPr>
                <w:bCs/>
                <w:sz w:val="24"/>
                <w:szCs w:val="24"/>
              </w:rPr>
            </w:pPr>
            <w:r>
              <w:rPr>
                <w:bCs/>
                <w:sz w:val="24"/>
                <w:szCs w:val="24"/>
              </w:rPr>
              <w:t>Dorothy Baynham, TB Lab Manager</w:t>
            </w:r>
          </w:p>
        </w:tc>
        <w:tc>
          <w:tcPr>
            <w:tcW w:w="1655" w:type="dxa"/>
            <w:vAlign w:val="center"/>
          </w:tcPr>
          <w:p w14:paraId="7E1DEC9A" w14:textId="54EE120A" w:rsidR="00D17C5D" w:rsidRDefault="002E4687" w:rsidP="00D17C5D">
            <w:pPr>
              <w:jc w:val="center"/>
              <w:rPr>
                <w:bCs/>
                <w:sz w:val="24"/>
                <w:szCs w:val="24"/>
              </w:rPr>
            </w:pPr>
            <w:r>
              <w:rPr>
                <w:bCs/>
                <w:sz w:val="24"/>
                <w:szCs w:val="24"/>
              </w:rPr>
              <w:t>December 2022</w:t>
            </w:r>
          </w:p>
        </w:tc>
        <w:tc>
          <w:tcPr>
            <w:tcW w:w="2732" w:type="dxa"/>
            <w:vAlign w:val="center"/>
          </w:tcPr>
          <w:p w14:paraId="670C0C7F" w14:textId="77777777" w:rsidR="00D17C5D" w:rsidRDefault="002E4687" w:rsidP="00D17C5D">
            <w:pPr>
              <w:rPr>
                <w:b/>
                <w:sz w:val="24"/>
                <w:szCs w:val="24"/>
              </w:rPr>
            </w:pPr>
            <w:r>
              <w:rPr>
                <w:b/>
                <w:sz w:val="24"/>
                <w:szCs w:val="24"/>
              </w:rPr>
              <w:t>In progress</w:t>
            </w:r>
          </w:p>
          <w:p w14:paraId="5D0AC91A" w14:textId="1130ECEA" w:rsidR="002E4687" w:rsidRPr="002E4687" w:rsidRDefault="002E4687" w:rsidP="00D17C5D">
            <w:pPr>
              <w:rPr>
                <w:bCs/>
                <w:sz w:val="24"/>
                <w:szCs w:val="24"/>
              </w:rPr>
            </w:pPr>
            <w:r>
              <w:rPr>
                <w:bCs/>
                <w:sz w:val="24"/>
                <w:szCs w:val="24"/>
              </w:rPr>
              <w:t xml:space="preserve">Meeting held between lab and TTBEP staff to discuss procedure.  Rough draft of cross-contamination procedure has been written with input of testing personnel.  </w:t>
            </w:r>
          </w:p>
        </w:tc>
      </w:tr>
      <w:bookmarkEnd w:id="12"/>
      <w:tr w:rsidR="00A87DDD" w14:paraId="56A08A1F" w14:textId="77777777" w:rsidTr="00EB6E8C">
        <w:tc>
          <w:tcPr>
            <w:tcW w:w="2785" w:type="dxa"/>
            <w:vAlign w:val="center"/>
          </w:tcPr>
          <w:p w14:paraId="54834E88" w14:textId="795572DA" w:rsidR="00A87DDD" w:rsidRPr="002E4687" w:rsidRDefault="00A87DDD" w:rsidP="00A87DDD">
            <w:pPr>
              <w:rPr>
                <w:bCs/>
                <w:sz w:val="24"/>
                <w:szCs w:val="24"/>
              </w:rPr>
            </w:pPr>
            <w:r>
              <w:rPr>
                <w:bCs/>
                <w:sz w:val="24"/>
                <w:szCs w:val="24"/>
              </w:rPr>
              <w:t>Reduce transcription and documentation errors</w:t>
            </w:r>
          </w:p>
        </w:tc>
        <w:tc>
          <w:tcPr>
            <w:tcW w:w="1980" w:type="dxa"/>
            <w:vAlign w:val="center"/>
          </w:tcPr>
          <w:p w14:paraId="5D7712D9" w14:textId="77777777" w:rsidR="00A87DDD" w:rsidRDefault="00A87DDD" w:rsidP="00A87DDD">
            <w:pPr>
              <w:pStyle w:val="ListParagraph"/>
              <w:numPr>
                <w:ilvl w:val="0"/>
                <w:numId w:val="28"/>
              </w:numPr>
              <w:ind w:left="331"/>
              <w:rPr>
                <w:bCs/>
                <w:sz w:val="24"/>
                <w:szCs w:val="24"/>
              </w:rPr>
            </w:pPr>
            <w:r>
              <w:rPr>
                <w:bCs/>
                <w:sz w:val="24"/>
                <w:szCs w:val="24"/>
              </w:rPr>
              <w:t>Reduce the number of transcription or data entry errors by lab personnel by 5%</w:t>
            </w:r>
          </w:p>
          <w:p w14:paraId="4C68949E" w14:textId="652E1142" w:rsidR="00A87DDD" w:rsidRPr="00A87DDD" w:rsidRDefault="00A87DDD" w:rsidP="00A87DDD">
            <w:pPr>
              <w:pStyle w:val="ListParagraph"/>
              <w:numPr>
                <w:ilvl w:val="0"/>
                <w:numId w:val="28"/>
              </w:numPr>
              <w:ind w:left="331"/>
              <w:rPr>
                <w:bCs/>
                <w:sz w:val="24"/>
                <w:szCs w:val="24"/>
              </w:rPr>
            </w:pPr>
            <w:r>
              <w:rPr>
                <w:bCs/>
                <w:sz w:val="24"/>
                <w:szCs w:val="24"/>
              </w:rPr>
              <w:t xml:space="preserve">Perform various QA monitors throughout </w:t>
            </w:r>
            <w:r>
              <w:rPr>
                <w:bCs/>
                <w:sz w:val="24"/>
                <w:szCs w:val="24"/>
              </w:rPr>
              <w:lastRenderedPageBreak/>
              <w:t>the year to verify accuracy of test request, specimen submission, and accuracy in testing formats</w:t>
            </w:r>
          </w:p>
        </w:tc>
        <w:tc>
          <w:tcPr>
            <w:tcW w:w="2053" w:type="dxa"/>
            <w:vAlign w:val="center"/>
          </w:tcPr>
          <w:p w14:paraId="631A49BD" w14:textId="0EE52741" w:rsidR="00A87DDD" w:rsidRPr="00A87DDD" w:rsidRDefault="00A87DDD" w:rsidP="00A87DDD">
            <w:pPr>
              <w:rPr>
                <w:bCs/>
                <w:sz w:val="24"/>
                <w:szCs w:val="24"/>
              </w:rPr>
            </w:pPr>
            <w:r>
              <w:rPr>
                <w:bCs/>
                <w:sz w:val="24"/>
                <w:szCs w:val="24"/>
              </w:rPr>
              <w:lastRenderedPageBreak/>
              <w:t>Equipment interface with LIMS system</w:t>
            </w:r>
          </w:p>
        </w:tc>
        <w:tc>
          <w:tcPr>
            <w:tcW w:w="1745" w:type="dxa"/>
            <w:vAlign w:val="center"/>
          </w:tcPr>
          <w:p w14:paraId="028BB76C" w14:textId="11FCFB55" w:rsidR="00A87DDD" w:rsidRDefault="00A87DDD" w:rsidP="00A87DDD">
            <w:pPr>
              <w:jc w:val="center"/>
              <w:rPr>
                <w:bCs/>
                <w:sz w:val="24"/>
                <w:szCs w:val="24"/>
              </w:rPr>
            </w:pPr>
            <w:r>
              <w:rPr>
                <w:bCs/>
                <w:sz w:val="24"/>
                <w:szCs w:val="24"/>
              </w:rPr>
              <w:t>Natasha Lindahl, TB Lab Supervisor</w:t>
            </w:r>
          </w:p>
        </w:tc>
        <w:tc>
          <w:tcPr>
            <w:tcW w:w="1655" w:type="dxa"/>
            <w:vAlign w:val="center"/>
          </w:tcPr>
          <w:p w14:paraId="450862F5" w14:textId="5FE7A1A3" w:rsidR="00A87DDD" w:rsidRDefault="00A87DDD" w:rsidP="00A87DDD">
            <w:pPr>
              <w:jc w:val="center"/>
              <w:rPr>
                <w:bCs/>
                <w:sz w:val="24"/>
                <w:szCs w:val="24"/>
              </w:rPr>
            </w:pPr>
            <w:r>
              <w:rPr>
                <w:bCs/>
                <w:sz w:val="24"/>
                <w:szCs w:val="24"/>
              </w:rPr>
              <w:t>December 2024</w:t>
            </w:r>
          </w:p>
        </w:tc>
        <w:tc>
          <w:tcPr>
            <w:tcW w:w="2732" w:type="dxa"/>
            <w:vAlign w:val="center"/>
          </w:tcPr>
          <w:p w14:paraId="0126C09B" w14:textId="77777777" w:rsidR="00A87DDD" w:rsidRDefault="00A87DDD" w:rsidP="00A87DDD">
            <w:pPr>
              <w:rPr>
                <w:b/>
                <w:sz w:val="24"/>
                <w:szCs w:val="24"/>
              </w:rPr>
            </w:pPr>
            <w:r>
              <w:rPr>
                <w:b/>
                <w:sz w:val="24"/>
                <w:szCs w:val="24"/>
              </w:rPr>
              <w:t>Achieved</w:t>
            </w:r>
          </w:p>
          <w:p w14:paraId="6DC917BC" w14:textId="27E5CA08" w:rsidR="00A87DDD" w:rsidRPr="00A87DDD" w:rsidRDefault="00A87DDD" w:rsidP="00A87DDD">
            <w:pPr>
              <w:rPr>
                <w:bCs/>
                <w:sz w:val="24"/>
                <w:szCs w:val="24"/>
              </w:rPr>
            </w:pPr>
            <w:r>
              <w:rPr>
                <w:bCs/>
                <w:sz w:val="24"/>
                <w:szCs w:val="24"/>
              </w:rPr>
              <w:t>Annual QA reports show the laboratory’s current accuracy rate is 99.5% and have been maintained.</w:t>
            </w:r>
          </w:p>
        </w:tc>
      </w:tr>
      <w:tr w:rsidR="00A87DDD" w14:paraId="6F471835" w14:textId="77777777" w:rsidTr="00EB6E8C">
        <w:tc>
          <w:tcPr>
            <w:tcW w:w="12950" w:type="dxa"/>
            <w:gridSpan w:val="6"/>
            <w:shd w:val="clear" w:color="auto" w:fill="D9D9D9" w:themeFill="background1" w:themeFillShade="D9"/>
            <w:vAlign w:val="center"/>
          </w:tcPr>
          <w:p w14:paraId="2AF0B471" w14:textId="4624A8CA" w:rsidR="00A87DDD" w:rsidRDefault="00134071" w:rsidP="00A87DDD">
            <w:pPr>
              <w:rPr>
                <w:b/>
                <w:sz w:val="24"/>
                <w:szCs w:val="24"/>
              </w:rPr>
            </w:pPr>
            <w:r>
              <w:rPr>
                <w:b/>
                <w:sz w:val="24"/>
                <w:szCs w:val="24"/>
              </w:rPr>
              <w:t>Laboratory Element 3: Collaborate with partners (e.g., healthcare providers, TB programs, and other laboratories) to ensure optimal use of laboratory services and timely flow of information.</w:t>
            </w:r>
          </w:p>
        </w:tc>
      </w:tr>
      <w:tr w:rsidR="00134071" w14:paraId="02B960CA" w14:textId="77777777" w:rsidTr="00EB6E8C">
        <w:tc>
          <w:tcPr>
            <w:tcW w:w="6818" w:type="dxa"/>
            <w:gridSpan w:val="3"/>
            <w:shd w:val="clear" w:color="auto" w:fill="F2F2F2" w:themeFill="background1" w:themeFillShade="F2"/>
            <w:vAlign w:val="center"/>
          </w:tcPr>
          <w:p w14:paraId="35D5BB88" w14:textId="2C9D9630" w:rsidR="00134071" w:rsidRDefault="00134071" w:rsidP="00134071">
            <w:pPr>
              <w:pStyle w:val="ListParagraph"/>
              <w:ind w:left="361"/>
              <w:rPr>
                <w:bCs/>
                <w:sz w:val="24"/>
                <w:szCs w:val="24"/>
              </w:rPr>
            </w:pPr>
            <w:r w:rsidRPr="00184728">
              <w:rPr>
                <w:b/>
                <w:sz w:val="24"/>
                <w:szCs w:val="24"/>
              </w:rPr>
              <w:t>What are your</w:t>
            </w:r>
            <w:r>
              <w:rPr>
                <w:b/>
                <w:sz w:val="24"/>
                <w:szCs w:val="24"/>
              </w:rPr>
              <w:t xml:space="preserve"> laboratory objectives for Element 2 during the five-year Cooperative Agreement period?  </w:t>
            </w:r>
          </w:p>
        </w:tc>
        <w:tc>
          <w:tcPr>
            <w:tcW w:w="6132" w:type="dxa"/>
            <w:gridSpan w:val="3"/>
            <w:shd w:val="clear" w:color="auto" w:fill="F2F2F2" w:themeFill="background1" w:themeFillShade="F2"/>
            <w:vAlign w:val="center"/>
          </w:tcPr>
          <w:p w14:paraId="473977E5" w14:textId="0397EC9A" w:rsidR="00134071" w:rsidRDefault="00134071" w:rsidP="00134071">
            <w:pPr>
              <w:jc w:val="center"/>
              <w:rPr>
                <w:b/>
                <w:sz w:val="24"/>
                <w:szCs w:val="24"/>
              </w:rPr>
            </w:pPr>
            <w:r>
              <w:rPr>
                <w:b/>
                <w:sz w:val="24"/>
                <w:szCs w:val="24"/>
              </w:rPr>
              <w:t>How will your laboratory measure success related to these objectives?</w:t>
            </w:r>
          </w:p>
        </w:tc>
      </w:tr>
      <w:tr w:rsidR="00134071" w14:paraId="6F39C857" w14:textId="77777777" w:rsidTr="00EB6E8C">
        <w:tc>
          <w:tcPr>
            <w:tcW w:w="6818" w:type="dxa"/>
            <w:gridSpan w:val="3"/>
            <w:vAlign w:val="center"/>
          </w:tcPr>
          <w:p w14:paraId="5BC0AFA0" w14:textId="1CFB3522" w:rsidR="00134071" w:rsidRPr="00134071" w:rsidRDefault="0073124B" w:rsidP="00134071">
            <w:pPr>
              <w:rPr>
                <w:bCs/>
                <w:sz w:val="24"/>
                <w:szCs w:val="24"/>
              </w:rPr>
            </w:pPr>
            <w:r>
              <w:rPr>
                <w:bCs/>
                <w:sz w:val="24"/>
                <w:szCs w:val="24"/>
              </w:rPr>
              <w:t>Increase collaboration with internal and external partners</w:t>
            </w:r>
          </w:p>
        </w:tc>
        <w:tc>
          <w:tcPr>
            <w:tcW w:w="6132" w:type="dxa"/>
            <w:gridSpan w:val="3"/>
            <w:vAlign w:val="center"/>
          </w:tcPr>
          <w:p w14:paraId="0456C2DF" w14:textId="77777777" w:rsidR="00134071" w:rsidRDefault="0073124B" w:rsidP="008E4EE3">
            <w:pPr>
              <w:pStyle w:val="ListParagraph"/>
              <w:numPr>
                <w:ilvl w:val="0"/>
                <w:numId w:val="29"/>
              </w:numPr>
              <w:ind w:left="361"/>
              <w:rPr>
                <w:bCs/>
                <w:sz w:val="24"/>
                <w:szCs w:val="24"/>
              </w:rPr>
            </w:pPr>
            <w:r>
              <w:rPr>
                <w:bCs/>
                <w:sz w:val="24"/>
                <w:szCs w:val="24"/>
              </w:rPr>
              <w:t>Recorded sign-in sheets, agenda, and minutes from meeting with TTBEP leadership</w:t>
            </w:r>
          </w:p>
          <w:p w14:paraId="4011D1E6" w14:textId="77777777" w:rsidR="0073124B" w:rsidRDefault="0073124B" w:rsidP="008E4EE3">
            <w:pPr>
              <w:pStyle w:val="ListParagraph"/>
              <w:numPr>
                <w:ilvl w:val="0"/>
                <w:numId w:val="29"/>
              </w:numPr>
              <w:ind w:left="361"/>
              <w:rPr>
                <w:bCs/>
                <w:sz w:val="24"/>
                <w:szCs w:val="24"/>
              </w:rPr>
            </w:pPr>
            <w:r>
              <w:rPr>
                <w:bCs/>
                <w:sz w:val="24"/>
                <w:szCs w:val="24"/>
              </w:rPr>
              <w:t>Distribution of unsatisfactory logs to TTBEP leadership and regional TB programs</w:t>
            </w:r>
          </w:p>
          <w:p w14:paraId="661FDBA2" w14:textId="7D623F16" w:rsidR="00B23AF1" w:rsidRPr="00EB6E8C" w:rsidRDefault="0073124B" w:rsidP="008E4EE3">
            <w:pPr>
              <w:pStyle w:val="ListParagraph"/>
              <w:numPr>
                <w:ilvl w:val="0"/>
                <w:numId w:val="29"/>
              </w:numPr>
              <w:ind w:left="361"/>
              <w:rPr>
                <w:bCs/>
                <w:sz w:val="24"/>
                <w:szCs w:val="24"/>
              </w:rPr>
            </w:pPr>
            <w:r>
              <w:rPr>
                <w:bCs/>
                <w:sz w:val="24"/>
                <w:szCs w:val="24"/>
              </w:rPr>
              <w:t>Ensuring laboratory module of TTBEP TB Manual is current with up-to-date procedures and tests</w:t>
            </w:r>
          </w:p>
        </w:tc>
      </w:tr>
      <w:tr w:rsidR="00B4212D" w:rsidRPr="00C30A58" w14:paraId="100F0F0F" w14:textId="77777777" w:rsidTr="00EB6E8C">
        <w:tc>
          <w:tcPr>
            <w:tcW w:w="2785" w:type="dxa"/>
            <w:shd w:val="clear" w:color="auto" w:fill="F2F2F2" w:themeFill="background1" w:themeFillShade="F2"/>
            <w:vAlign w:val="center"/>
          </w:tcPr>
          <w:p w14:paraId="70403B67" w14:textId="77777777" w:rsidR="00B4212D" w:rsidRPr="00C30A58" w:rsidRDefault="00B4212D" w:rsidP="001F2DE7">
            <w:pPr>
              <w:jc w:val="center"/>
              <w:rPr>
                <w:b/>
                <w:sz w:val="24"/>
                <w:szCs w:val="24"/>
              </w:rPr>
            </w:pPr>
            <w:r>
              <w:rPr>
                <w:b/>
                <w:sz w:val="24"/>
                <w:szCs w:val="24"/>
              </w:rPr>
              <w:t>Activities</w:t>
            </w:r>
          </w:p>
        </w:tc>
        <w:tc>
          <w:tcPr>
            <w:tcW w:w="1980" w:type="dxa"/>
            <w:shd w:val="clear" w:color="auto" w:fill="F2F2F2" w:themeFill="background1" w:themeFillShade="F2"/>
            <w:vAlign w:val="center"/>
          </w:tcPr>
          <w:p w14:paraId="6B33C777" w14:textId="77777777" w:rsidR="00B4212D" w:rsidRPr="00C30A58" w:rsidRDefault="00B4212D" w:rsidP="001F2DE7">
            <w:pPr>
              <w:jc w:val="center"/>
              <w:rPr>
                <w:b/>
                <w:sz w:val="24"/>
                <w:szCs w:val="24"/>
              </w:rPr>
            </w:pPr>
            <w:r>
              <w:rPr>
                <w:b/>
                <w:sz w:val="24"/>
                <w:szCs w:val="24"/>
              </w:rPr>
              <w:t>Measure of Success</w:t>
            </w:r>
          </w:p>
        </w:tc>
        <w:tc>
          <w:tcPr>
            <w:tcW w:w="2053" w:type="dxa"/>
            <w:shd w:val="clear" w:color="auto" w:fill="F2F2F2" w:themeFill="background1" w:themeFillShade="F2"/>
            <w:vAlign w:val="center"/>
          </w:tcPr>
          <w:p w14:paraId="3C78138C" w14:textId="77777777" w:rsidR="00B4212D" w:rsidRPr="00C30A58" w:rsidRDefault="00B4212D" w:rsidP="001F2DE7">
            <w:pPr>
              <w:jc w:val="center"/>
              <w:rPr>
                <w:b/>
                <w:sz w:val="24"/>
                <w:szCs w:val="24"/>
              </w:rPr>
            </w:pPr>
            <w:r>
              <w:rPr>
                <w:b/>
                <w:sz w:val="24"/>
                <w:szCs w:val="24"/>
              </w:rPr>
              <w:t>Anticipated Obstacles</w:t>
            </w:r>
          </w:p>
        </w:tc>
        <w:tc>
          <w:tcPr>
            <w:tcW w:w="1745" w:type="dxa"/>
            <w:shd w:val="clear" w:color="auto" w:fill="F2F2F2" w:themeFill="background1" w:themeFillShade="F2"/>
            <w:vAlign w:val="center"/>
          </w:tcPr>
          <w:p w14:paraId="6592AA50" w14:textId="77777777" w:rsidR="00B4212D" w:rsidRPr="00C30A58" w:rsidRDefault="00B4212D" w:rsidP="001F2DE7">
            <w:pPr>
              <w:jc w:val="center"/>
              <w:rPr>
                <w:b/>
                <w:sz w:val="24"/>
                <w:szCs w:val="24"/>
              </w:rPr>
            </w:pPr>
            <w:r>
              <w:rPr>
                <w:b/>
                <w:sz w:val="24"/>
                <w:szCs w:val="24"/>
              </w:rPr>
              <w:t>Responsible Laboratory Staff</w:t>
            </w:r>
          </w:p>
        </w:tc>
        <w:tc>
          <w:tcPr>
            <w:tcW w:w="1655" w:type="dxa"/>
            <w:shd w:val="clear" w:color="auto" w:fill="F2F2F2" w:themeFill="background1" w:themeFillShade="F2"/>
            <w:vAlign w:val="center"/>
          </w:tcPr>
          <w:p w14:paraId="469CB1B4" w14:textId="77777777" w:rsidR="00B4212D" w:rsidRPr="00C30A58" w:rsidRDefault="00B4212D" w:rsidP="001F2DE7">
            <w:pPr>
              <w:jc w:val="center"/>
              <w:rPr>
                <w:b/>
                <w:sz w:val="24"/>
                <w:szCs w:val="24"/>
              </w:rPr>
            </w:pPr>
            <w:r>
              <w:rPr>
                <w:b/>
                <w:sz w:val="24"/>
                <w:szCs w:val="24"/>
              </w:rPr>
              <w:t>Target Completion Date/Timeline</w:t>
            </w:r>
          </w:p>
        </w:tc>
        <w:tc>
          <w:tcPr>
            <w:tcW w:w="2732" w:type="dxa"/>
            <w:shd w:val="clear" w:color="auto" w:fill="F2F2F2" w:themeFill="background1" w:themeFillShade="F2"/>
            <w:vAlign w:val="center"/>
          </w:tcPr>
          <w:p w14:paraId="045A1CC9" w14:textId="77777777" w:rsidR="00B4212D" w:rsidRPr="00C30A58" w:rsidRDefault="00B4212D" w:rsidP="001F2DE7">
            <w:pPr>
              <w:jc w:val="center"/>
              <w:rPr>
                <w:b/>
                <w:sz w:val="24"/>
                <w:szCs w:val="24"/>
              </w:rPr>
            </w:pPr>
            <w:r>
              <w:rPr>
                <w:b/>
                <w:sz w:val="24"/>
                <w:szCs w:val="24"/>
              </w:rPr>
              <w:t>Progress</w:t>
            </w:r>
          </w:p>
        </w:tc>
      </w:tr>
      <w:tr w:rsidR="00B23AF1" w14:paraId="17210427" w14:textId="77777777" w:rsidTr="00EB6E8C">
        <w:tc>
          <w:tcPr>
            <w:tcW w:w="2785" w:type="dxa"/>
            <w:vAlign w:val="center"/>
          </w:tcPr>
          <w:p w14:paraId="2637FE4C" w14:textId="1043B0A1" w:rsidR="00B23AF1" w:rsidRPr="00D87530" w:rsidRDefault="00B23AF1" w:rsidP="00B23AF1">
            <w:pPr>
              <w:rPr>
                <w:bCs/>
                <w:sz w:val="24"/>
                <w:szCs w:val="24"/>
              </w:rPr>
            </w:pPr>
            <w:r>
              <w:rPr>
                <w:bCs/>
                <w:sz w:val="24"/>
                <w:szCs w:val="24"/>
              </w:rPr>
              <w:t>Conduct a minimum of six (6) meetings (in-person or virtual) with TTBEP program</w:t>
            </w:r>
          </w:p>
        </w:tc>
        <w:tc>
          <w:tcPr>
            <w:tcW w:w="1980" w:type="dxa"/>
            <w:vAlign w:val="center"/>
          </w:tcPr>
          <w:p w14:paraId="4D236879" w14:textId="662597EE" w:rsidR="00B23AF1" w:rsidRPr="00D17C5D" w:rsidRDefault="00B23AF1" w:rsidP="00B23AF1">
            <w:pPr>
              <w:rPr>
                <w:bCs/>
                <w:sz w:val="24"/>
                <w:szCs w:val="24"/>
              </w:rPr>
            </w:pPr>
            <w:r>
              <w:rPr>
                <w:bCs/>
                <w:sz w:val="24"/>
                <w:szCs w:val="24"/>
              </w:rPr>
              <w:t>100% of meetings schedule by mid-year</w:t>
            </w:r>
          </w:p>
        </w:tc>
        <w:tc>
          <w:tcPr>
            <w:tcW w:w="2053" w:type="dxa"/>
            <w:vAlign w:val="center"/>
          </w:tcPr>
          <w:p w14:paraId="5D0DC445" w14:textId="77777777" w:rsidR="00B23AF1" w:rsidRDefault="00B23AF1" w:rsidP="00B23AF1">
            <w:pPr>
              <w:pStyle w:val="ListParagraph"/>
              <w:numPr>
                <w:ilvl w:val="0"/>
                <w:numId w:val="30"/>
              </w:numPr>
              <w:ind w:left="361"/>
              <w:rPr>
                <w:bCs/>
                <w:sz w:val="24"/>
                <w:szCs w:val="24"/>
              </w:rPr>
            </w:pPr>
            <w:r>
              <w:rPr>
                <w:bCs/>
                <w:sz w:val="24"/>
                <w:szCs w:val="24"/>
              </w:rPr>
              <w:t>Availability of staff</w:t>
            </w:r>
          </w:p>
          <w:p w14:paraId="626BD301" w14:textId="7D2C5A4D" w:rsidR="00B23AF1" w:rsidRPr="00B23AF1" w:rsidRDefault="00B23AF1" w:rsidP="00B23AF1">
            <w:pPr>
              <w:pStyle w:val="ListParagraph"/>
              <w:numPr>
                <w:ilvl w:val="0"/>
                <w:numId w:val="30"/>
              </w:numPr>
              <w:ind w:left="361"/>
              <w:rPr>
                <w:bCs/>
                <w:sz w:val="24"/>
                <w:szCs w:val="24"/>
              </w:rPr>
            </w:pPr>
            <w:r>
              <w:rPr>
                <w:bCs/>
                <w:sz w:val="24"/>
                <w:szCs w:val="24"/>
              </w:rPr>
              <w:t>Coordination of staff schedules</w:t>
            </w:r>
          </w:p>
        </w:tc>
        <w:tc>
          <w:tcPr>
            <w:tcW w:w="1745" w:type="dxa"/>
            <w:vAlign w:val="center"/>
          </w:tcPr>
          <w:p w14:paraId="5D8AC087" w14:textId="6A1C2B40" w:rsidR="00B23AF1" w:rsidRDefault="00B23AF1" w:rsidP="00B23AF1">
            <w:pPr>
              <w:jc w:val="center"/>
              <w:rPr>
                <w:bCs/>
                <w:sz w:val="24"/>
                <w:szCs w:val="24"/>
              </w:rPr>
            </w:pPr>
            <w:r>
              <w:rPr>
                <w:bCs/>
                <w:sz w:val="24"/>
                <w:szCs w:val="24"/>
              </w:rPr>
              <w:t>Dorothy Baynham, TB Lab Manager</w:t>
            </w:r>
          </w:p>
        </w:tc>
        <w:tc>
          <w:tcPr>
            <w:tcW w:w="1655" w:type="dxa"/>
            <w:vAlign w:val="center"/>
          </w:tcPr>
          <w:p w14:paraId="2F08DBDA" w14:textId="5511AD8E" w:rsidR="00B23AF1" w:rsidRDefault="00B23AF1" w:rsidP="00B23AF1">
            <w:pPr>
              <w:jc w:val="center"/>
              <w:rPr>
                <w:bCs/>
                <w:sz w:val="24"/>
                <w:szCs w:val="24"/>
              </w:rPr>
            </w:pPr>
            <w:r>
              <w:rPr>
                <w:bCs/>
                <w:sz w:val="24"/>
                <w:szCs w:val="24"/>
              </w:rPr>
              <w:t>December 2024</w:t>
            </w:r>
          </w:p>
        </w:tc>
        <w:tc>
          <w:tcPr>
            <w:tcW w:w="2732" w:type="dxa"/>
            <w:vAlign w:val="center"/>
          </w:tcPr>
          <w:p w14:paraId="5DA9F62D" w14:textId="77777777" w:rsidR="00B23AF1" w:rsidRDefault="00B23AF1" w:rsidP="00B23AF1">
            <w:pPr>
              <w:rPr>
                <w:b/>
                <w:sz w:val="24"/>
                <w:szCs w:val="24"/>
              </w:rPr>
            </w:pPr>
            <w:r>
              <w:rPr>
                <w:b/>
                <w:sz w:val="24"/>
                <w:szCs w:val="24"/>
              </w:rPr>
              <w:t>Ongoing</w:t>
            </w:r>
          </w:p>
          <w:p w14:paraId="01E707C0" w14:textId="2DA867AA" w:rsidR="00B23AF1" w:rsidRPr="00B23AF1" w:rsidRDefault="00B23AF1" w:rsidP="00B23AF1">
            <w:pPr>
              <w:rPr>
                <w:bCs/>
                <w:sz w:val="24"/>
                <w:szCs w:val="24"/>
              </w:rPr>
            </w:pPr>
            <w:r>
              <w:rPr>
                <w:bCs/>
                <w:sz w:val="24"/>
                <w:szCs w:val="24"/>
              </w:rPr>
              <w:t>In-person meetings have been postponed due to COVID-19 concerns.  Conference calls with TTBEP leadership have been ongoing throughout this time period.</w:t>
            </w:r>
          </w:p>
        </w:tc>
      </w:tr>
      <w:tr w:rsidR="00B23AF1" w14:paraId="763A1FCE" w14:textId="77777777" w:rsidTr="00EB6E8C">
        <w:tc>
          <w:tcPr>
            <w:tcW w:w="2785" w:type="dxa"/>
            <w:vAlign w:val="center"/>
          </w:tcPr>
          <w:p w14:paraId="5E85FB84" w14:textId="13E9768F" w:rsidR="00B23AF1" w:rsidRPr="00B23AF1" w:rsidRDefault="00B23AF1" w:rsidP="00B23AF1">
            <w:pPr>
              <w:rPr>
                <w:bCs/>
                <w:sz w:val="24"/>
                <w:szCs w:val="24"/>
              </w:rPr>
            </w:pPr>
            <w:r>
              <w:rPr>
                <w:bCs/>
                <w:sz w:val="24"/>
                <w:szCs w:val="24"/>
              </w:rPr>
              <w:lastRenderedPageBreak/>
              <w:t>Provide monthly communication logs for unsatisfactory smear and culture submissions and GeneXpert</w:t>
            </w:r>
            <w:r>
              <w:rPr>
                <w:rFonts w:cstheme="minorHAnsi"/>
                <w:bCs/>
                <w:sz w:val="24"/>
                <w:szCs w:val="24"/>
                <w:vertAlign w:val="superscript"/>
              </w:rPr>
              <w:t>®</w:t>
            </w:r>
            <w:r>
              <w:rPr>
                <w:bCs/>
                <w:sz w:val="24"/>
                <w:szCs w:val="24"/>
              </w:rPr>
              <w:t xml:space="preserve"> testing to TTBEP program</w:t>
            </w:r>
          </w:p>
        </w:tc>
        <w:tc>
          <w:tcPr>
            <w:tcW w:w="1980" w:type="dxa"/>
            <w:vAlign w:val="center"/>
          </w:tcPr>
          <w:p w14:paraId="550EE685" w14:textId="3A55D88E" w:rsidR="00B23AF1" w:rsidRPr="00D17C5D" w:rsidRDefault="00B23AF1" w:rsidP="00B23AF1">
            <w:pPr>
              <w:rPr>
                <w:bCs/>
                <w:sz w:val="24"/>
                <w:szCs w:val="24"/>
              </w:rPr>
            </w:pPr>
            <w:r>
              <w:rPr>
                <w:bCs/>
                <w:sz w:val="24"/>
                <w:szCs w:val="24"/>
              </w:rPr>
              <w:t>Distribution of the document to the TTBEP by the last working day of each month</w:t>
            </w:r>
          </w:p>
        </w:tc>
        <w:tc>
          <w:tcPr>
            <w:tcW w:w="2053" w:type="dxa"/>
            <w:vAlign w:val="center"/>
          </w:tcPr>
          <w:p w14:paraId="37AE67EA" w14:textId="7B3B5F0F" w:rsidR="00B23AF1" w:rsidRPr="00B23AF1" w:rsidRDefault="00B23AF1" w:rsidP="00B23AF1">
            <w:pPr>
              <w:rPr>
                <w:bCs/>
                <w:sz w:val="24"/>
                <w:szCs w:val="24"/>
              </w:rPr>
            </w:pPr>
            <w:r>
              <w:rPr>
                <w:bCs/>
                <w:sz w:val="24"/>
                <w:szCs w:val="24"/>
              </w:rPr>
              <w:t>None</w:t>
            </w:r>
          </w:p>
        </w:tc>
        <w:tc>
          <w:tcPr>
            <w:tcW w:w="1745" w:type="dxa"/>
            <w:vAlign w:val="center"/>
          </w:tcPr>
          <w:p w14:paraId="38D54F8E" w14:textId="48DB6741" w:rsidR="00B23AF1" w:rsidRDefault="00B23AF1" w:rsidP="00B23AF1">
            <w:pPr>
              <w:jc w:val="center"/>
              <w:rPr>
                <w:bCs/>
                <w:sz w:val="24"/>
                <w:szCs w:val="24"/>
              </w:rPr>
            </w:pPr>
            <w:r>
              <w:rPr>
                <w:bCs/>
                <w:sz w:val="24"/>
                <w:szCs w:val="24"/>
              </w:rPr>
              <w:t>Dorothy Baynham, TB Lab Manager</w:t>
            </w:r>
          </w:p>
        </w:tc>
        <w:tc>
          <w:tcPr>
            <w:tcW w:w="1655" w:type="dxa"/>
            <w:vAlign w:val="center"/>
          </w:tcPr>
          <w:p w14:paraId="6A59C25D" w14:textId="4D81E3D4" w:rsidR="00B23AF1" w:rsidRDefault="00B23AF1" w:rsidP="00B23AF1">
            <w:pPr>
              <w:jc w:val="center"/>
              <w:rPr>
                <w:bCs/>
                <w:sz w:val="24"/>
                <w:szCs w:val="24"/>
              </w:rPr>
            </w:pPr>
            <w:r>
              <w:rPr>
                <w:bCs/>
                <w:sz w:val="24"/>
                <w:szCs w:val="24"/>
              </w:rPr>
              <w:t>December 2024</w:t>
            </w:r>
          </w:p>
        </w:tc>
        <w:tc>
          <w:tcPr>
            <w:tcW w:w="2732" w:type="dxa"/>
            <w:vAlign w:val="center"/>
          </w:tcPr>
          <w:p w14:paraId="7DE143DA" w14:textId="77777777" w:rsidR="00B23AF1" w:rsidRDefault="00B23AF1" w:rsidP="00B23AF1">
            <w:pPr>
              <w:rPr>
                <w:bCs/>
                <w:sz w:val="24"/>
                <w:szCs w:val="24"/>
              </w:rPr>
            </w:pPr>
            <w:r>
              <w:rPr>
                <w:b/>
                <w:sz w:val="24"/>
                <w:szCs w:val="24"/>
              </w:rPr>
              <w:t>Ongoing</w:t>
            </w:r>
          </w:p>
          <w:p w14:paraId="10826A71" w14:textId="67A1A4D4" w:rsidR="00B23AF1" w:rsidRPr="00B23AF1" w:rsidRDefault="00B23AF1" w:rsidP="00B23AF1">
            <w:pPr>
              <w:rPr>
                <w:bCs/>
                <w:sz w:val="24"/>
                <w:szCs w:val="24"/>
              </w:rPr>
            </w:pPr>
            <w:r>
              <w:rPr>
                <w:bCs/>
                <w:sz w:val="24"/>
                <w:szCs w:val="24"/>
              </w:rPr>
              <w:t>Communication logs for unsatisfactory smear and culture submissions and GeneXpert</w:t>
            </w:r>
            <w:r>
              <w:rPr>
                <w:rFonts w:cstheme="minorHAnsi"/>
                <w:bCs/>
                <w:sz w:val="24"/>
                <w:szCs w:val="24"/>
                <w:vertAlign w:val="superscript"/>
              </w:rPr>
              <w:t>®</w:t>
            </w:r>
            <w:r>
              <w:rPr>
                <w:bCs/>
                <w:sz w:val="24"/>
                <w:szCs w:val="24"/>
              </w:rPr>
              <w:t xml:space="preserve"> testing are set on the last day of the month to the TTBEP program</w:t>
            </w:r>
          </w:p>
        </w:tc>
      </w:tr>
      <w:tr w:rsidR="00B23AF1" w14:paraId="1D829E87" w14:textId="77777777" w:rsidTr="00EB6E8C">
        <w:tc>
          <w:tcPr>
            <w:tcW w:w="2785" w:type="dxa"/>
            <w:vAlign w:val="center"/>
          </w:tcPr>
          <w:p w14:paraId="30058A3B" w14:textId="373E0F8E" w:rsidR="00B23AF1" w:rsidRPr="00B23AF1" w:rsidRDefault="00B23AF1" w:rsidP="00B23AF1">
            <w:pPr>
              <w:rPr>
                <w:bCs/>
                <w:sz w:val="24"/>
                <w:szCs w:val="24"/>
              </w:rPr>
            </w:pPr>
            <w:r>
              <w:rPr>
                <w:bCs/>
                <w:sz w:val="24"/>
                <w:szCs w:val="24"/>
              </w:rPr>
              <w:t>Provide a weekly DST log to the TTBEP program for all pending and completed DST results</w:t>
            </w:r>
          </w:p>
        </w:tc>
        <w:tc>
          <w:tcPr>
            <w:tcW w:w="1980" w:type="dxa"/>
            <w:vAlign w:val="center"/>
          </w:tcPr>
          <w:p w14:paraId="5F94D837" w14:textId="646CEC25" w:rsidR="00B23AF1" w:rsidRPr="00D17C5D" w:rsidRDefault="00B23AF1" w:rsidP="00B23AF1">
            <w:pPr>
              <w:rPr>
                <w:bCs/>
                <w:sz w:val="24"/>
                <w:szCs w:val="24"/>
              </w:rPr>
            </w:pPr>
            <w:r>
              <w:rPr>
                <w:bCs/>
                <w:sz w:val="24"/>
                <w:szCs w:val="24"/>
              </w:rPr>
              <w:t>Distribution of the document to the TTBEP</w:t>
            </w:r>
            <w:r w:rsidR="003F3C98">
              <w:rPr>
                <w:bCs/>
                <w:sz w:val="24"/>
                <w:szCs w:val="24"/>
              </w:rPr>
              <w:t xml:space="preserve"> by the last working day of each month</w:t>
            </w:r>
          </w:p>
        </w:tc>
        <w:tc>
          <w:tcPr>
            <w:tcW w:w="2053" w:type="dxa"/>
            <w:vAlign w:val="center"/>
          </w:tcPr>
          <w:p w14:paraId="6C37AD90" w14:textId="044FA0CB" w:rsidR="00B23AF1" w:rsidRPr="003F3C98" w:rsidRDefault="003F3C98" w:rsidP="003F3C98">
            <w:pPr>
              <w:rPr>
                <w:bCs/>
                <w:sz w:val="24"/>
                <w:szCs w:val="24"/>
              </w:rPr>
            </w:pPr>
            <w:r>
              <w:rPr>
                <w:bCs/>
                <w:sz w:val="24"/>
                <w:szCs w:val="24"/>
              </w:rPr>
              <w:t>None</w:t>
            </w:r>
          </w:p>
        </w:tc>
        <w:tc>
          <w:tcPr>
            <w:tcW w:w="1745" w:type="dxa"/>
            <w:vAlign w:val="center"/>
          </w:tcPr>
          <w:p w14:paraId="0F37633A" w14:textId="77777777" w:rsidR="003F3C98" w:rsidRDefault="003F3C98" w:rsidP="003F3C98">
            <w:pPr>
              <w:jc w:val="center"/>
              <w:rPr>
                <w:bCs/>
                <w:sz w:val="24"/>
                <w:szCs w:val="24"/>
              </w:rPr>
            </w:pPr>
            <w:r>
              <w:rPr>
                <w:bCs/>
                <w:sz w:val="24"/>
                <w:szCs w:val="24"/>
              </w:rPr>
              <w:t>Dorothy Baynham, TB Lab Manager</w:t>
            </w:r>
          </w:p>
          <w:p w14:paraId="2F0A699F" w14:textId="77777777" w:rsidR="00B23AF1" w:rsidRDefault="00B23AF1" w:rsidP="00B23AF1">
            <w:pPr>
              <w:jc w:val="center"/>
              <w:rPr>
                <w:bCs/>
                <w:sz w:val="24"/>
                <w:szCs w:val="24"/>
              </w:rPr>
            </w:pPr>
          </w:p>
        </w:tc>
        <w:tc>
          <w:tcPr>
            <w:tcW w:w="1655" w:type="dxa"/>
            <w:vAlign w:val="center"/>
          </w:tcPr>
          <w:p w14:paraId="3D82B96D" w14:textId="41EDDE4C" w:rsidR="00B23AF1" w:rsidRDefault="003F3C98" w:rsidP="00B23AF1">
            <w:pPr>
              <w:jc w:val="center"/>
              <w:rPr>
                <w:bCs/>
                <w:sz w:val="24"/>
                <w:szCs w:val="24"/>
              </w:rPr>
            </w:pPr>
            <w:r>
              <w:rPr>
                <w:bCs/>
                <w:sz w:val="24"/>
                <w:szCs w:val="24"/>
              </w:rPr>
              <w:t>December 2024</w:t>
            </w:r>
          </w:p>
        </w:tc>
        <w:tc>
          <w:tcPr>
            <w:tcW w:w="2732" w:type="dxa"/>
            <w:vAlign w:val="center"/>
          </w:tcPr>
          <w:p w14:paraId="1A0E1D5A" w14:textId="77777777" w:rsidR="00B23AF1" w:rsidRDefault="003F3C98" w:rsidP="00B23AF1">
            <w:pPr>
              <w:rPr>
                <w:b/>
                <w:sz w:val="24"/>
                <w:szCs w:val="24"/>
              </w:rPr>
            </w:pPr>
            <w:r>
              <w:rPr>
                <w:b/>
                <w:sz w:val="24"/>
                <w:szCs w:val="24"/>
              </w:rPr>
              <w:t>Ongoing</w:t>
            </w:r>
          </w:p>
          <w:p w14:paraId="5B105B12" w14:textId="4A0C130C" w:rsidR="003F3C98" w:rsidRPr="003F3C98" w:rsidRDefault="003F3C98" w:rsidP="00B23AF1">
            <w:pPr>
              <w:rPr>
                <w:bCs/>
                <w:sz w:val="24"/>
                <w:szCs w:val="24"/>
              </w:rPr>
            </w:pPr>
            <w:r>
              <w:rPr>
                <w:bCs/>
                <w:sz w:val="24"/>
                <w:szCs w:val="24"/>
              </w:rPr>
              <w:t>A weekly DST log sheet is emailed by the last working day of each work week</w:t>
            </w:r>
          </w:p>
        </w:tc>
      </w:tr>
      <w:tr w:rsidR="003F3C98" w14:paraId="3437EAA5" w14:textId="77777777" w:rsidTr="00EB6E8C">
        <w:tc>
          <w:tcPr>
            <w:tcW w:w="2785" w:type="dxa"/>
            <w:vAlign w:val="center"/>
          </w:tcPr>
          <w:p w14:paraId="1F1F6572" w14:textId="60F42992" w:rsidR="003F3C98" w:rsidRDefault="003F3C98" w:rsidP="00B23AF1">
            <w:pPr>
              <w:rPr>
                <w:bCs/>
                <w:sz w:val="24"/>
                <w:szCs w:val="24"/>
              </w:rPr>
            </w:pPr>
            <w:r>
              <w:rPr>
                <w:bCs/>
                <w:sz w:val="24"/>
                <w:szCs w:val="24"/>
              </w:rPr>
              <w:t>Attend and contribute to the annual TB program statewide meeting</w:t>
            </w:r>
          </w:p>
        </w:tc>
        <w:tc>
          <w:tcPr>
            <w:tcW w:w="1980" w:type="dxa"/>
            <w:vAlign w:val="center"/>
          </w:tcPr>
          <w:p w14:paraId="12839085" w14:textId="410B5157" w:rsidR="003F3C98" w:rsidRDefault="003F3C98" w:rsidP="00B23AF1">
            <w:pPr>
              <w:rPr>
                <w:bCs/>
                <w:sz w:val="24"/>
                <w:szCs w:val="24"/>
              </w:rPr>
            </w:pPr>
            <w:r>
              <w:rPr>
                <w:bCs/>
                <w:sz w:val="24"/>
                <w:szCs w:val="24"/>
              </w:rPr>
              <w:t>Attendance and/or presentation at the meeting</w:t>
            </w:r>
          </w:p>
        </w:tc>
        <w:tc>
          <w:tcPr>
            <w:tcW w:w="2053" w:type="dxa"/>
            <w:vAlign w:val="center"/>
          </w:tcPr>
          <w:p w14:paraId="5C4C0A71" w14:textId="6AC7F14A" w:rsidR="003F3C98" w:rsidRDefault="003F3C98" w:rsidP="003F3C98">
            <w:pPr>
              <w:rPr>
                <w:bCs/>
                <w:sz w:val="24"/>
                <w:szCs w:val="24"/>
              </w:rPr>
            </w:pPr>
            <w:r>
              <w:rPr>
                <w:bCs/>
                <w:sz w:val="24"/>
                <w:szCs w:val="24"/>
              </w:rPr>
              <w:t>None</w:t>
            </w:r>
          </w:p>
        </w:tc>
        <w:tc>
          <w:tcPr>
            <w:tcW w:w="1745" w:type="dxa"/>
            <w:vAlign w:val="center"/>
          </w:tcPr>
          <w:p w14:paraId="5E1CA4A6" w14:textId="77777777" w:rsidR="003F3C98" w:rsidRDefault="003F3C98" w:rsidP="003F3C98">
            <w:pPr>
              <w:jc w:val="center"/>
              <w:rPr>
                <w:bCs/>
                <w:sz w:val="24"/>
                <w:szCs w:val="24"/>
              </w:rPr>
            </w:pPr>
            <w:r>
              <w:rPr>
                <w:bCs/>
                <w:sz w:val="24"/>
                <w:szCs w:val="24"/>
              </w:rPr>
              <w:t>Dorothy Baynham, TB Lab Manager</w:t>
            </w:r>
          </w:p>
          <w:p w14:paraId="6C397FDE" w14:textId="77777777" w:rsidR="003F3C98" w:rsidRDefault="003F3C98" w:rsidP="003F3C98">
            <w:pPr>
              <w:jc w:val="center"/>
              <w:rPr>
                <w:bCs/>
                <w:sz w:val="24"/>
                <w:szCs w:val="24"/>
              </w:rPr>
            </w:pPr>
          </w:p>
        </w:tc>
        <w:tc>
          <w:tcPr>
            <w:tcW w:w="1655" w:type="dxa"/>
            <w:vAlign w:val="center"/>
          </w:tcPr>
          <w:p w14:paraId="74EB5A49" w14:textId="40D7A285" w:rsidR="003F3C98" w:rsidRDefault="003F3C98" w:rsidP="00B23AF1">
            <w:pPr>
              <w:jc w:val="center"/>
              <w:rPr>
                <w:bCs/>
                <w:sz w:val="24"/>
                <w:szCs w:val="24"/>
              </w:rPr>
            </w:pPr>
            <w:r>
              <w:rPr>
                <w:bCs/>
                <w:sz w:val="24"/>
                <w:szCs w:val="24"/>
              </w:rPr>
              <w:t>Annually</w:t>
            </w:r>
          </w:p>
        </w:tc>
        <w:tc>
          <w:tcPr>
            <w:tcW w:w="2732" w:type="dxa"/>
            <w:vAlign w:val="center"/>
          </w:tcPr>
          <w:p w14:paraId="1D33A89C" w14:textId="77777777" w:rsidR="003F3C98" w:rsidRDefault="003F3C98" w:rsidP="00B23AF1">
            <w:pPr>
              <w:rPr>
                <w:b/>
                <w:sz w:val="24"/>
                <w:szCs w:val="24"/>
              </w:rPr>
            </w:pPr>
            <w:r>
              <w:rPr>
                <w:b/>
                <w:sz w:val="24"/>
                <w:szCs w:val="24"/>
              </w:rPr>
              <w:t>Ongoing</w:t>
            </w:r>
          </w:p>
          <w:p w14:paraId="03F39F6E" w14:textId="51534C1C" w:rsidR="003F3C98" w:rsidRPr="003F3C98" w:rsidRDefault="003F3C98" w:rsidP="00B23AF1">
            <w:pPr>
              <w:rPr>
                <w:bCs/>
                <w:sz w:val="24"/>
                <w:szCs w:val="24"/>
              </w:rPr>
            </w:pPr>
            <w:r>
              <w:rPr>
                <w:bCs/>
                <w:sz w:val="24"/>
                <w:szCs w:val="24"/>
              </w:rPr>
              <w:t>The statewide meeting for 2020 and 2021 was canceled due to COVID-19.  Awaiting details for 2022.</w:t>
            </w:r>
          </w:p>
        </w:tc>
      </w:tr>
      <w:tr w:rsidR="003F3C98" w14:paraId="193C7E85" w14:textId="77777777" w:rsidTr="00EB6E8C">
        <w:tc>
          <w:tcPr>
            <w:tcW w:w="2785" w:type="dxa"/>
            <w:vAlign w:val="center"/>
          </w:tcPr>
          <w:p w14:paraId="632B4E72" w14:textId="11B50AED" w:rsidR="003F3C98" w:rsidRDefault="003F3C98" w:rsidP="00B23AF1">
            <w:pPr>
              <w:rPr>
                <w:bCs/>
                <w:sz w:val="24"/>
                <w:szCs w:val="24"/>
              </w:rPr>
            </w:pPr>
            <w:r>
              <w:rPr>
                <w:bCs/>
                <w:sz w:val="24"/>
                <w:szCs w:val="24"/>
              </w:rPr>
              <w:t>Review and update lab module of the TTBEP TB Manual</w:t>
            </w:r>
          </w:p>
        </w:tc>
        <w:tc>
          <w:tcPr>
            <w:tcW w:w="1980" w:type="dxa"/>
            <w:vAlign w:val="center"/>
          </w:tcPr>
          <w:p w14:paraId="0F6D50B8" w14:textId="1E3A741F" w:rsidR="003F3C98" w:rsidRDefault="003F3C98" w:rsidP="00B23AF1">
            <w:pPr>
              <w:rPr>
                <w:bCs/>
                <w:sz w:val="24"/>
                <w:szCs w:val="24"/>
              </w:rPr>
            </w:pPr>
            <w:r>
              <w:rPr>
                <w:bCs/>
                <w:sz w:val="24"/>
                <w:szCs w:val="24"/>
              </w:rPr>
              <w:t>Submission of revisions by TTBEP-specified deadline</w:t>
            </w:r>
          </w:p>
        </w:tc>
        <w:tc>
          <w:tcPr>
            <w:tcW w:w="2053" w:type="dxa"/>
            <w:vAlign w:val="center"/>
          </w:tcPr>
          <w:p w14:paraId="6FBE6C7F" w14:textId="334E1437" w:rsidR="003F3C98" w:rsidRDefault="003F3C98" w:rsidP="003F3C98">
            <w:pPr>
              <w:rPr>
                <w:bCs/>
                <w:sz w:val="24"/>
                <w:szCs w:val="24"/>
              </w:rPr>
            </w:pPr>
            <w:r>
              <w:rPr>
                <w:bCs/>
                <w:sz w:val="24"/>
                <w:szCs w:val="24"/>
              </w:rPr>
              <w:t>None</w:t>
            </w:r>
          </w:p>
        </w:tc>
        <w:tc>
          <w:tcPr>
            <w:tcW w:w="1745" w:type="dxa"/>
            <w:vAlign w:val="center"/>
          </w:tcPr>
          <w:p w14:paraId="200BA11A" w14:textId="77777777" w:rsidR="003F3C98" w:rsidRDefault="003F3C98" w:rsidP="003F3C98">
            <w:pPr>
              <w:jc w:val="center"/>
              <w:rPr>
                <w:bCs/>
                <w:sz w:val="24"/>
                <w:szCs w:val="24"/>
              </w:rPr>
            </w:pPr>
            <w:r>
              <w:rPr>
                <w:bCs/>
                <w:sz w:val="24"/>
                <w:szCs w:val="24"/>
              </w:rPr>
              <w:t>Dorothy Baynham, TB Lab Manager</w:t>
            </w:r>
          </w:p>
          <w:p w14:paraId="7755332D" w14:textId="77777777" w:rsidR="003F3C98" w:rsidRDefault="003F3C98" w:rsidP="003F3C98">
            <w:pPr>
              <w:jc w:val="center"/>
              <w:rPr>
                <w:bCs/>
                <w:sz w:val="24"/>
                <w:szCs w:val="24"/>
              </w:rPr>
            </w:pPr>
          </w:p>
        </w:tc>
        <w:tc>
          <w:tcPr>
            <w:tcW w:w="1655" w:type="dxa"/>
            <w:vAlign w:val="center"/>
          </w:tcPr>
          <w:p w14:paraId="1A994D0C" w14:textId="410C8851" w:rsidR="003F3C98" w:rsidRDefault="003F3C98" w:rsidP="00B23AF1">
            <w:pPr>
              <w:jc w:val="center"/>
              <w:rPr>
                <w:bCs/>
                <w:sz w:val="24"/>
                <w:szCs w:val="24"/>
              </w:rPr>
            </w:pPr>
            <w:r>
              <w:rPr>
                <w:bCs/>
                <w:sz w:val="24"/>
                <w:szCs w:val="24"/>
              </w:rPr>
              <w:t>Annually or according to TTBEP revision schedule</w:t>
            </w:r>
          </w:p>
        </w:tc>
        <w:tc>
          <w:tcPr>
            <w:tcW w:w="2732" w:type="dxa"/>
            <w:vAlign w:val="center"/>
          </w:tcPr>
          <w:p w14:paraId="5BE82EB9" w14:textId="77777777" w:rsidR="003F3C98" w:rsidRDefault="003F3C98" w:rsidP="00B23AF1">
            <w:pPr>
              <w:rPr>
                <w:b/>
                <w:sz w:val="24"/>
                <w:szCs w:val="24"/>
              </w:rPr>
            </w:pPr>
            <w:r>
              <w:rPr>
                <w:b/>
                <w:sz w:val="24"/>
                <w:szCs w:val="24"/>
              </w:rPr>
              <w:t>Achieved</w:t>
            </w:r>
          </w:p>
          <w:p w14:paraId="062D770A" w14:textId="264EC00E" w:rsidR="003F3C98" w:rsidRPr="003F3C98" w:rsidRDefault="003F3C98" w:rsidP="00B23AF1">
            <w:pPr>
              <w:rPr>
                <w:bCs/>
                <w:sz w:val="24"/>
                <w:szCs w:val="24"/>
              </w:rPr>
            </w:pPr>
            <w:r>
              <w:rPr>
                <w:bCs/>
                <w:sz w:val="24"/>
                <w:szCs w:val="24"/>
              </w:rPr>
              <w:t>Annual revisions and input were solicited and completed.</w:t>
            </w:r>
          </w:p>
        </w:tc>
      </w:tr>
    </w:tbl>
    <w:p w14:paraId="65A9C15E" w14:textId="77777777" w:rsidR="00C04568" w:rsidRPr="00C04568" w:rsidRDefault="00C04568" w:rsidP="00A00F63">
      <w:pPr>
        <w:spacing w:after="0" w:line="240" w:lineRule="auto"/>
        <w:rPr>
          <w:bCs/>
          <w:sz w:val="24"/>
          <w:szCs w:val="24"/>
        </w:rPr>
      </w:pPr>
    </w:p>
    <w:sectPr w:rsidR="00C04568" w:rsidRPr="00C04568" w:rsidSect="001222A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620B" w14:textId="77777777" w:rsidR="00737FFC" w:rsidRDefault="00737FFC" w:rsidP="00281225">
      <w:pPr>
        <w:spacing w:after="0" w:line="240" w:lineRule="auto"/>
      </w:pPr>
      <w:r>
        <w:separator/>
      </w:r>
    </w:p>
  </w:endnote>
  <w:endnote w:type="continuationSeparator" w:id="0">
    <w:p w14:paraId="1F7DCEEB" w14:textId="77777777" w:rsidR="00737FFC" w:rsidRDefault="00737FFC" w:rsidP="0028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81589"/>
      <w:docPartObj>
        <w:docPartGallery w:val="Page Numbers (Bottom of Page)"/>
        <w:docPartUnique/>
      </w:docPartObj>
    </w:sdtPr>
    <w:sdtEndPr>
      <w:rPr>
        <w:noProof/>
      </w:rPr>
    </w:sdtEndPr>
    <w:sdtContent>
      <w:p w14:paraId="6CA661A3" w14:textId="084B063F" w:rsidR="00737FFC" w:rsidRDefault="00737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F4D345" w14:textId="1FE9EFEF" w:rsidR="00737FFC" w:rsidRPr="00A46CA5" w:rsidRDefault="00737FFC" w:rsidP="00A46C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AEC1" w14:textId="77777777" w:rsidR="00737FFC" w:rsidRDefault="00737FFC" w:rsidP="00281225">
      <w:pPr>
        <w:spacing w:after="0" w:line="240" w:lineRule="auto"/>
      </w:pPr>
      <w:r>
        <w:separator/>
      </w:r>
    </w:p>
  </w:footnote>
  <w:footnote w:type="continuationSeparator" w:id="0">
    <w:p w14:paraId="17B5E58D" w14:textId="77777777" w:rsidR="00737FFC" w:rsidRDefault="00737FFC" w:rsidP="0028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1E35" w14:textId="6514775F" w:rsidR="00737FFC" w:rsidRDefault="00737FFC" w:rsidP="00025479">
    <w:pPr>
      <w:pStyle w:val="Header"/>
    </w:pPr>
    <w:bookmarkStart w:id="1" w:name="_Hlk75842369"/>
    <w:bookmarkStart w:id="2" w:name="_Hlk75842370"/>
    <w:r>
      <w:t>Tennessee</w:t>
    </w:r>
    <w:r>
      <w:tab/>
    </w:r>
    <w:r>
      <w:tab/>
      <w:t>Annual Performance Report</w:t>
    </w:r>
  </w:p>
  <w:p w14:paraId="5D3474F1" w14:textId="4D615F72" w:rsidR="00737FFC" w:rsidRDefault="00737FFC" w:rsidP="00025479">
    <w:pPr>
      <w:pStyle w:val="Header"/>
    </w:pPr>
    <w:r>
      <w:t>CDC-RFA-PS20-2001</w:t>
    </w:r>
    <w:r>
      <w:tab/>
    </w:r>
    <w:r>
      <w:tab/>
      <w:t>January 1 – December 31, 2020</w:t>
    </w:r>
  </w:p>
  <w:p w14:paraId="1BEF5E63" w14:textId="624BCF90" w:rsidR="00737FFC" w:rsidRPr="00025479" w:rsidRDefault="00737FFC" w:rsidP="00025479">
    <w:pPr>
      <w:pStyle w:val="Header"/>
    </w:pPr>
    <w:r>
      <w:tab/>
    </w:r>
    <w:r>
      <w:tab/>
      <w:t xml:space="preserve">January 1 – June 30, 2021 </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8AD9" w14:textId="448694E4" w:rsidR="00737FFC" w:rsidRDefault="00737FFC" w:rsidP="00400658">
    <w:pPr>
      <w:pStyle w:val="Header"/>
    </w:pPr>
    <w:bookmarkStart w:id="6" w:name="_Hlk75756001"/>
    <w:bookmarkStart w:id="7" w:name="_Hlk75756002"/>
    <w:r>
      <w:t>Tennessee</w:t>
    </w:r>
    <w:r>
      <w:tab/>
    </w:r>
    <w:r>
      <w:tab/>
    </w:r>
    <w:r>
      <w:tab/>
      <w:t xml:space="preserve">      Annual Performance Report</w:t>
    </w:r>
    <w:r>
      <w:tab/>
    </w:r>
  </w:p>
  <w:p w14:paraId="5A2587DD" w14:textId="7CCBB95C" w:rsidR="00737FFC" w:rsidRDefault="00737FFC" w:rsidP="00400658">
    <w:pPr>
      <w:pStyle w:val="Header"/>
    </w:pPr>
    <w:r>
      <w:t>CDC-RFA-PS20-2001</w:t>
    </w:r>
    <w:r w:rsidRPr="00400658">
      <w:t xml:space="preserve"> </w:t>
    </w:r>
    <w:r>
      <w:tab/>
    </w:r>
    <w:r>
      <w:tab/>
    </w:r>
    <w:r>
      <w:tab/>
      <w:t>January 1 – December 31, 2020</w:t>
    </w:r>
  </w:p>
  <w:p w14:paraId="2E92FEB3" w14:textId="7CD7CB51" w:rsidR="00737FFC" w:rsidRPr="00400658" w:rsidRDefault="00737FFC" w:rsidP="00400658">
    <w:pPr>
      <w:pStyle w:val="Header"/>
    </w:pPr>
    <w:r>
      <w:tab/>
    </w:r>
    <w:r>
      <w:tab/>
    </w:r>
    <w:r>
      <w:tab/>
      <w:t xml:space="preserve">          January 1 – June 30, 2021</w:t>
    </w:r>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329B" w14:textId="33574AB6" w:rsidR="00737FFC" w:rsidRDefault="00737FFC" w:rsidP="00400658">
    <w:pPr>
      <w:pStyle w:val="Header"/>
    </w:pPr>
    <w:r>
      <w:t>Tennessee</w:t>
    </w:r>
    <w:r>
      <w:tab/>
    </w:r>
    <w:r>
      <w:tab/>
      <w:t xml:space="preserve">      Annual Performance Report</w:t>
    </w:r>
  </w:p>
  <w:p w14:paraId="0AA211F2" w14:textId="36D9FA2A" w:rsidR="00737FFC" w:rsidRDefault="00737FFC" w:rsidP="00400658">
    <w:pPr>
      <w:pStyle w:val="Header"/>
    </w:pPr>
    <w:r>
      <w:t>CDC-RFA-PS20-2001</w:t>
    </w:r>
    <w:r w:rsidRPr="00400658">
      <w:t xml:space="preserve"> </w:t>
    </w:r>
    <w:r>
      <w:tab/>
    </w:r>
    <w:r>
      <w:tab/>
      <w:t>January 1 – December 31, 2020</w:t>
    </w:r>
  </w:p>
  <w:p w14:paraId="069715C8" w14:textId="635EF320" w:rsidR="00737FFC" w:rsidRPr="00400658" w:rsidRDefault="00737FFC" w:rsidP="00400658">
    <w:pPr>
      <w:pStyle w:val="Header"/>
    </w:pPr>
    <w:r>
      <w:tab/>
    </w:r>
    <w:r>
      <w:tab/>
      <w:t xml:space="preserve">          January 1 – June 30,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813A" w14:textId="5A33B6F4" w:rsidR="00737FFC" w:rsidRDefault="00737FFC" w:rsidP="00400658">
    <w:pPr>
      <w:pStyle w:val="Header"/>
    </w:pPr>
    <w:r>
      <w:t>Tennessee</w:t>
    </w:r>
    <w:r>
      <w:tab/>
    </w:r>
    <w:r>
      <w:tab/>
      <w:t xml:space="preserve">     </w:t>
    </w:r>
    <w:r>
      <w:tab/>
      <w:t xml:space="preserve"> Annual Performance Report</w:t>
    </w:r>
  </w:p>
  <w:p w14:paraId="01856464" w14:textId="0CFE9D2A" w:rsidR="00737FFC" w:rsidRDefault="00737FFC" w:rsidP="00400658">
    <w:pPr>
      <w:pStyle w:val="Header"/>
    </w:pPr>
    <w:r>
      <w:t>CDC-RFA-PS20-2001</w:t>
    </w:r>
    <w:r w:rsidRPr="00400658">
      <w:t xml:space="preserve"> </w:t>
    </w:r>
    <w:r>
      <w:tab/>
    </w:r>
    <w:r>
      <w:tab/>
    </w:r>
    <w:r>
      <w:tab/>
      <w:t>January 1 – December 31, 2020</w:t>
    </w:r>
  </w:p>
  <w:p w14:paraId="75690D64" w14:textId="1EE004AA" w:rsidR="00737FFC" w:rsidRPr="00400658" w:rsidRDefault="00737FFC" w:rsidP="00400658">
    <w:pPr>
      <w:pStyle w:val="Header"/>
    </w:pPr>
    <w:r>
      <w:tab/>
    </w:r>
    <w:r>
      <w:tab/>
    </w:r>
    <w:r>
      <w:tab/>
      <w:t xml:space="preserve">          January 1 – June 30,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8C1" w14:textId="77777777" w:rsidR="00737FFC" w:rsidRDefault="00737FFC" w:rsidP="00BE180C">
    <w:pPr>
      <w:pStyle w:val="Header"/>
    </w:pPr>
    <w:r>
      <w:t>Tennessee</w:t>
    </w:r>
    <w:r>
      <w:tab/>
    </w:r>
    <w:r>
      <w:tab/>
    </w:r>
    <w:r>
      <w:tab/>
      <w:t>Annual Performance Report</w:t>
    </w:r>
  </w:p>
  <w:p w14:paraId="21AB05D4" w14:textId="77777777" w:rsidR="00737FFC" w:rsidRDefault="00737FFC" w:rsidP="00BE180C">
    <w:pPr>
      <w:pStyle w:val="Header"/>
    </w:pPr>
    <w:r>
      <w:t>CDC-RFA-PS20-2001</w:t>
    </w:r>
    <w:r>
      <w:tab/>
    </w:r>
    <w:r>
      <w:tab/>
    </w:r>
    <w:r>
      <w:tab/>
      <w:t>January 1 – December 31, 2020</w:t>
    </w:r>
  </w:p>
  <w:p w14:paraId="390B54F5" w14:textId="77777777" w:rsidR="00737FFC" w:rsidRPr="00BE180C" w:rsidRDefault="00737FFC" w:rsidP="00BE180C">
    <w:pPr>
      <w:pStyle w:val="Header"/>
    </w:pPr>
    <w:r>
      <w:tab/>
    </w:r>
    <w:r>
      <w:tab/>
    </w:r>
    <w:r>
      <w:tab/>
      <w:t>January 1 – June 30,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FD25" w14:textId="02E6D961" w:rsidR="00737FFC" w:rsidRDefault="00737FFC" w:rsidP="00A00F63">
    <w:pPr>
      <w:pStyle w:val="Header"/>
    </w:pPr>
    <w:r>
      <w:t>Tennessee</w:t>
    </w:r>
    <w:r>
      <w:tab/>
      <w:t xml:space="preserve">    </w:t>
    </w:r>
    <w:r>
      <w:tab/>
      <w:t xml:space="preserve">  Annual Performance Report</w:t>
    </w:r>
  </w:p>
  <w:p w14:paraId="2A59254C" w14:textId="7CA062F8" w:rsidR="00737FFC" w:rsidRDefault="00737FFC" w:rsidP="00A00F63">
    <w:pPr>
      <w:pStyle w:val="Header"/>
    </w:pPr>
    <w:r>
      <w:t>CDC-RFA-PS20-2001</w:t>
    </w:r>
    <w:r w:rsidRPr="00400658">
      <w:t xml:space="preserve"> </w:t>
    </w:r>
    <w:r>
      <w:tab/>
    </w:r>
    <w:r>
      <w:tab/>
      <w:t>January 1 – December 31, 2020</w:t>
    </w:r>
  </w:p>
  <w:p w14:paraId="38F89892" w14:textId="561BF70E" w:rsidR="00737FFC" w:rsidRPr="00400658" w:rsidRDefault="00737FFC" w:rsidP="00A00F63">
    <w:pPr>
      <w:pStyle w:val="Header"/>
    </w:pPr>
    <w:r>
      <w:t xml:space="preserve"> </w:t>
    </w:r>
    <w:r>
      <w:tab/>
    </w:r>
    <w:r>
      <w:tab/>
      <w:t xml:space="preserve"> January 1 – June 30, 2021</w:t>
    </w:r>
  </w:p>
  <w:p w14:paraId="53F44BD7" w14:textId="10E0E6C6" w:rsidR="00737FFC" w:rsidRPr="00A00F63" w:rsidRDefault="00737FFC" w:rsidP="00A00F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50A6" w14:textId="58B20EC1" w:rsidR="00737FFC" w:rsidRDefault="00737FFC" w:rsidP="00A00F63">
    <w:pPr>
      <w:pStyle w:val="Header"/>
    </w:pPr>
    <w:r>
      <w:t>Tennessee</w:t>
    </w:r>
    <w:r>
      <w:tab/>
      <w:t xml:space="preserve">    </w:t>
    </w:r>
    <w:r>
      <w:tab/>
    </w:r>
    <w:r>
      <w:tab/>
      <w:t xml:space="preserve">  Annual Performance Report</w:t>
    </w:r>
  </w:p>
  <w:p w14:paraId="6064DA67" w14:textId="41ECF73A" w:rsidR="00737FFC" w:rsidRDefault="00737FFC" w:rsidP="00A00F63">
    <w:pPr>
      <w:pStyle w:val="Header"/>
    </w:pPr>
    <w:r>
      <w:t>CDC-RFA-PS20-2001</w:t>
    </w:r>
    <w:r w:rsidRPr="00400658">
      <w:t xml:space="preserve"> </w:t>
    </w:r>
    <w:r>
      <w:tab/>
    </w:r>
    <w:r>
      <w:tab/>
    </w:r>
    <w:r>
      <w:tab/>
      <w:t>January 1 – December 31, 2020</w:t>
    </w:r>
  </w:p>
  <w:p w14:paraId="181B9A0E" w14:textId="3AD5423D" w:rsidR="00737FFC" w:rsidRPr="00400658" w:rsidRDefault="00737FFC" w:rsidP="00A00F63">
    <w:pPr>
      <w:pStyle w:val="Header"/>
    </w:pPr>
    <w:r>
      <w:t xml:space="preserve"> </w:t>
    </w:r>
    <w:r>
      <w:tab/>
    </w:r>
    <w:r>
      <w:tab/>
    </w:r>
    <w:r>
      <w:tab/>
      <w:t xml:space="preserve"> January 1 – June 30, 2021</w:t>
    </w:r>
  </w:p>
  <w:p w14:paraId="75F1CF7E" w14:textId="77777777" w:rsidR="00737FFC" w:rsidRPr="00A00F63" w:rsidRDefault="00737FFC" w:rsidP="00A0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DCE"/>
    <w:multiLevelType w:val="hybridMultilevel"/>
    <w:tmpl w:val="0DFCF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66529"/>
    <w:multiLevelType w:val="hybridMultilevel"/>
    <w:tmpl w:val="3A9E21D0"/>
    <w:lvl w:ilvl="0" w:tplc="EA8CA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12CB3"/>
    <w:multiLevelType w:val="hybridMultilevel"/>
    <w:tmpl w:val="EFBEFEE0"/>
    <w:lvl w:ilvl="0" w:tplc="33744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14744"/>
    <w:multiLevelType w:val="hybridMultilevel"/>
    <w:tmpl w:val="963A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1E48"/>
    <w:multiLevelType w:val="hybridMultilevel"/>
    <w:tmpl w:val="C1DA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90756"/>
    <w:multiLevelType w:val="hybridMultilevel"/>
    <w:tmpl w:val="F04C3CDA"/>
    <w:lvl w:ilvl="0" w:tplc="D61A4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356ED"/>
    <w:multiLevelType w:val="hybridMultilevel"/>
    <w:tmpl w:val="3B00EAEC"/>
    <w:lvl w:ilvl="0" w:tplc="E10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C6822"/>
    <w:multiLevelType w:val="hybridMultilevel"/>
    <w:tmpl w:val="3634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1669C"/>
    <w:multiLevelType w:val="hybridMultilevel"/>
    <w:tmpl w:val="855EEF44"/>
    <w:lvl w:ilvl="0" w:tplc="BE6268D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54242"/>
    <w:multiLevelType w:val="hybridMultilevel"/>
    <w:tmpl w:val="790C2E2C"/>
    <w:lvl w:ilvl="0" w:tplc="6638E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D6457"/>
    <w:multiLevelType w:val="hybridMultilevel"/>
    <w:tmpl w:val="3C8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D685C"/>
    <w:multiLevelType w:val="hybridMultilevel"/>
    <w:tmpl w:val="2D162DDC"/>
    <w:lvl w:ilvl="0" w:tplc="0D62A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B2C28"/>
    <w:multiLevelType w:val="hybridMultilevel"/>
    <w:tmpl w:val="6D04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E29A2"/>
    <w:multiLevelType w:val="hybridMultilevel"/>
    <w:tmpl w:val="AC502656"/>
    <w:lvl w:ilvl="0" w:tplc="C5D4D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40102"/>
    <w:multiLevelType w:val="hybridMultilevel"/>
    <w:tmpl w:val="147EABF2"/>
    <w:lvl w:ilvl="0" w:tplc="1526C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D7D9F"/>
    <w:multiLevelType w:val="hybridMultilevel"/>
    <w:tmpl w:val="BF4660D2"/>
    <w:lvl w:ilvl="0" w:tplc="8EB66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70A99"/>
    <w:multiLevelType w:val="hybridMultilevel"/>
    <w:tmpl w:val="49C2E84E"/>
    <w:lvl w:ilvl="0" w:tplc="2BBE8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B7E71"/>
    <w:multiLevelType w:val="hybridMultilevel"/>
    <w:tmpl w:val="6F5C7AA8"/>
    <w:lvl w:ilvl="0" w:tplc="DF706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C74EB"/>
    <w:multiLevelType w:val="hybridMultilevel"/>
    <w:tmpl w:val="2DF8E270"/>
    <w:lvl w:ilvl="0" w:tplc="40624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F76DA"/>
    <w:multiLevelType w:val="hybridMultilevel"/>
    <w:tmpl w:val="72BCF678"/>
    <w:lvl w:ilvl="0" w:tplc="71F2D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65F01"/>
    <w:multiLevelType w:val="hybridMultilevel"/>
    <w:tmpl w:val="A70887F0"/>
    <w:lvl w:ilvl="0" w:tplc="C08A2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14FE8"/>
    <w:multiLevelType w:val="hybridMultilevel"/>
    <w:tmpl w:val="F8C08376"/>
    <w:lvl w:ilvl="0" w:tplc="F822D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34E64"/>
    <w:multiLevelType w:val="hybridMultilevel"/>
    <w:tmpl w:val="169A5832"/>
    <w:lvl w:ilvl="0" w:tplc="E86E6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A1AB0"/>
    <w:multiLevelType w:val="hybridMultilevel"/>
    <w:tmpl w:val="8D7E9E56"/>
    <w:lvl w:ilvl="0" w:tplc="C69E4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F220A"/>
    <w:multiLevelType w:val="hybridMultilevel"/>
    <w:tmpl w:val="BC221BE2"/>
    <w:lvl w:ilvl="0" w:tplc="F12CE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B7F22"/>
    <w:multiLevelType w:val="hybridMultilevel"/>
    <w:tmpl w:val="EFC4C87A"/>
    <w:lvl w:ilvl="0" w:tplc="E950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613B1"/>
    <w:multiLevelType w:val="hybridMultilevel"/>
    <w:tmpl w:val="F95C0650"/>
    <w:lvl w:ilvl="0" w:tplc="0D9C9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24D83"/>
    <w:multiLevelType w:val="hybridMultilevel"/>
    <w:tmpl w:val="AEC8CA70"/>
    <w:lvl w:ilvl="0" w:tplc="D5641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B72CA"/>
    <w:multiLevelType w:val="hybridMultilevel"/>
    <w:tmpl w:val="E42C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24837"/>
    <w:multiLevelType w:val="hybridMultilevel"/>
    <w:tmpl w:val="FD8A1ED6"/>
    <w:lvl w:ilvl="0" w:tplc="289A1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232E5"/>
    <w:multiLevelType w:val="hybridMultilevel"/>
    <w:tmpl w:val="6D942FA8"/>
    <w:lvl w:ilvl="0" w:tplc="47B8C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90108"/>
    <w:multiLevelType w:val="hybridMultilevel"/>
    <w:tmpl w:val="E050DF34"/>
    <w:lvl w:ilvl="0" w:tplc="B0A8A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312FD"/>
    <w:multiLevelType w:val="hybridMultilevel"/>
    <w:tmpl w:val="D218A15E"/>
    <w:lvl w:ilvl="0" w:tplc="44362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310A2"/>
    <w:multiLevelType w:val="hybridMultilevel"/>
    <w:tmpl w:val="35569480"/>
    <w:lvl w:ilvl="0" w:tplc="46EC2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A1327"/>
    <w:multiLevelType w:val="hybridMultilevel"/>
    <w:tmpl w:val="D0EEC4C2"/>
    <w:lvl w:ilvl="0" w:tplc="FA2AB23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4"/>
  </w:num>
  <w:num w:numId="4">
    <w:abstractNumId w:val="32"/>
  </w:num>
  <w:num w:numId="5">
    <w:abstractNumId w:val="22"/>
  </w:num>
  <w:num w:numId="6">
    <w:abstractNumId w:val="29"/>
  </w:num>
  <w:num w:numId="7">
    <w:abstractNumId w:val="10"/>
  </w:num>
  <w:num w:numId="8">
    <w:abstractNumId w:val="25"/>
  </w:num>
  <w:num w:numId="9">
    <w:abstractNumId w:val="6"/>
  </w:num>
  <w:num w:numId="10">
    <w:abstractNumId w:val="14"/>
  </w:num>
  <w:num w:numId="11">
    <w:abstractNumId w:val="13"/>
  </w:num>
  <w:num w:numId="12">
    <w:abstractNumId w:val="33"/>
  </w:num>
  <w:num w:numId="13">
    <w:abstractNumId w:val="21"/>
  </w:num>
  <w:num w:numId="14">
    <w:abstractNumId w:val="7"/>
  </w:num>
  <w:num w:numId="15">
    <w:abstractNumId w:val="28"/>
  </w:num>
  <w:num w:numId="16">
    <w:abstractNumId w:val="17"/>
  </w:num>
  <w:num w:numId="17">
    <w:abstractNumId w:val="18"/>
  </w:num>
  <w:num w:numId="18">
    <w:abstractNumId w:val="0"/>
  </w:num>
  <w:num w:numId="19">
    <w:abstractNumId w:val="8"/>
  </w:num>
  <w:num w:numId="20">
    <w:abstractNumId w:val="34"/>
  </w:num>
  <w:num w:numId="21">
    <w:abstractNumId w:val="12"/>
  </w:num>
  <w:num w:numId="22">
    <w:abstractNumId w:val="9"/>
  </w:num>
  <w:num w:numId="23">
    <w:abstractNumId w:val="11"/>
  </w:num>
  <w:num w:numId="24">
    <w:abstractNumId w:val="26"/>
  </w:num>
  <w:num w:numId="25">
    <w:abstractNumId w:val="30"/>
  </w:num>
  <w:num w:numId="26">
    <w:abstractNumId w:val="15"/>
  </w:num>
  <w:num w:numId="27">
    <w:abstractNumId w:val="27"/>
  </w:num>
  <w:num w:numId="28">
    <w:abstractNumId w:val="1"/>
  </w:num>
  <w:num w:numId="29">
    <w:abstractNumId w:val="19"/>
  </w:num>
  <w:num w:numId="30">
    <w:abstractNumId w:val="2"/>
  </w:num>
  <w:num w:numId="31">
    <w:abstractNumId w:val="23"/>
  </w:num>
  <w:num w:numId="32">
    <w:abstractNumId w:val="16"/>
  </w:num>
  <w:num w:numId="33">
    <w:abstractNumId w:val="31"/>
  </w:num>
  <w:num w:numId="34">
    <w:abstractNumId w:val="4"/>
  </w:num>
  <w:num w:numId="3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25"/>
    <w:rsid w:val="00003BE9"/>
    <w:rsid w:val="0000550A"/>
    <w:rsid w:val="00006DDF"/>
    <w:rsid w:val="00010477"/>
    <w:rsid w:val="00010FEF"/>
    <w:rsid w:val="00013402"/>
    <w:rsid w:val="00016D7B"/>
    <w:rsid w:val="000202C9"/>
    <w:rsid w:val="00020470"/>
    <w:rsid w:val="0002172A"/>
    <w:rsid w:val="000221C1"/>
    <w:rsid w:val="000227C8"/>
    <w:rsid w:val="00022DC6"/>
    <w:rsid w:val="00025479"/>
    <w:rsid w:val="000277AD"/>
    <w:rsid w:val="00031E4E"/>
    <w:rsid w:val="00036873"/>
    <w:rsid w:val="000411D2"/>
    <w:rsid w:val="00041F91"/>
    <w:rsid w:val="00045E32"/>
    <w:rsid w:val="00047A41"/>
    <w:rsid w:val="00054B01"/>
    <w:rsid w:val="000552F2"/>
    <w:rsid w:val="00056068"/>
    <w:rsid w:val="000560B9"/>
    <w:rsid w:val="00056B1C"/>
    <w:rsid w:val="0006080E"/>
    <w:rsid w:val="00062E23"/>
    <w:rsid w:val="00066D83"/>
    <w:rsid w:val="00067849"/>
    <w:rsid w:val="000738B5"/>
    <w:rsid w:val="00073FFB"/>
    <w:rsid w:val="00074A62"/>
    <w:rsid w:val="000765D4"/>
    <w:rsid w:val="0007666F"/>
    <w:rsid w:val="00080B50"/>
    <w:rsid w:val="0008255F"/>
    <w:rsid w:val="00082F95"/>
    <w:rsid w:val="00083987"/>
    <w:rsid w:val="000857DF"/>
    <w:rsid w:val="00085C20"/>
    <w:rsid w:val="00086EAD"/>
    <w:rsid w:val="00087C73"/>
    <w:rsid w:val="00091AB2"/>
    <w:rsid w:val="00094D78"/>
    <w:rsid w:val="0009754E"/>
    <w:rsid w:val="00097657"/>
    <w:rsid w:val="000A1F43"/>
    <w:rsid w:val="000A37EA"/>
    <w:rsid w:val="000A7994"/>
    <w:rsid w:val="000A7A3E"/>
    <w:rsid w:val="000B066E"/>
    <w:rsid w:val="000B1F94"/>
    <w:rsid w:val="000B2FEE"/>
    <w:rsid w:val="000B4A34"/>
    <w:rsid w:val="000B628F"/>
    <w:rsid w:val="000B64D0"/>
    <w:rsid w:val="000B696D"/>
    <w:rsid w:val="000B69C0"/>
    <w:rsid w:val="000C00C3"/>
    <w:rsid w:val="000C040F"/>
    <w:rsid w:val="000C2317"/>
    <w:rsid w:val="000C2DC6"/>
    <w:rsid w:val="000D030C"/>
    <w:rsid w:val="000D177A"/>
    <w:rsid w:val="000D649B"/>
    <w:rsid w:val="000D7CA8"/>
    <w:rsid w:val="000E3E6A"/>
    <w:rsid w:val="000E523B"/>
    <w:rsid w:val="000E6FFF"/>
    <w:rsid w:val="000E77FA"/>
    <w:rsid w:val="000F0861"/>
    <w:rsid w:val="000F109F"/>
    <w:rsid w:val="000F67B8"/>
    <w:rsid w:val="000F7599"/>
    <w:rsid w:val="00100B40"/>
    <w:rsid w:val="00103B24"/>
    <w:rsid w:val="0011040E"/>
    <w:rsid w:val="00110927"/>
    <w:rsid w:val="0011134E"/>
    <w:rsid w:val="001113E0"/>
    <w:rsid w:val="0011182E"/>
    <w:rsid w:val="00114B41"/>
    <w:rsid w:val="00117229"/>
    <w:rsid w:val="00117B41"/>
    <w:rsid w:val="00117D60"/>
    <w:rsid w:val="00117F3F"/>
    <w:rsid w:val="00120B7C"/>
    <w:rsid w:val="001222A0"/>
    <w:rsid w:val="00122303"/>
    <w:rsid w:val="00131116"/>
    <w:rsid w:val="001326E9"/>
    <w:rsid w:val="00133627"/>
    <w:rsid w:val="00134071"/>
    <w:rsid w:val="00134678"/>
    <w:rsid w:val="00136815"/>
    <w:rsid w:val="00137DD9"/>
    <w:rsid w:val="001414CB"/>
    <w:rsid w:val="00141AC3"/>
    <w:rsid w:val="001423F0"/>
    <w:rsid w:val="00143836"/>
    <w:rsid w:val="00147177"/>
    <w:rsid w:val="00164602"/>
    <w:rsid w:val="00171659"/>
    <w:rsid w:val="001738D8"/>
    <w:rsid w:val="001738E9"/>
    <w:rsid w:val="0017610B"/>
    <w:rsid w:val="00181007"/>
    <w:rsid w:val="00182689"/>
    <w:rsid w:val="00184391"/>
    <w:rsid w:val="00184728"/>
    <w:rsid w:val="0018597E"/>
    <w:rsid w:val="00185ED3"/>
    <w:rsid w:val="00187B29"/>
    <w:rsid w:val="00192515"/>
    <w:rsid w:val="00192AF3"/>
    <w:rsid w:val="00193915"/>
    <w:rsid w:val="00196719"/>
    <w:rsid w:val="0019748F"/>
    <w:rsid w:val="001A3957"/>
    <w:rsid w:val="001B043D"/>
    <w:rsid w:val="001B0545"/>
    <w:rsid w:val="001B228B"/>
    <w:rsid w:val="001B4A82"/>
    <w:rsid w:val="001B4CEC"/>
    <w:rsid w:val="001B51AC"/>
    <w:rsid w:val="001B5244"/>
    <w:rsid w:val="001B5560"/>
    <w:rsid w:val="001B7005"/>
    <w:rsid w:val="001C53DC"/>
    <w:rsid w:val="001C661C"/>
    <w:rsid w:val="001D0C36"/>
    <w:rsid w:val="001D3E77"/>
    <w:rsid w:val="001D3F10"/>
    <w:rsid w:val="001D5DBE"/>
    <w:rsid w:val="001E5C9E"/>
    <w:rsid w:val="001E677D"/>
    <w:rsid w:val="001F0465"/>
    <w:rsid w:val="001F0E1D"/>
    <w:rsid w:val="001F193D"/>
    <w:rsid w:val="001F2B31"/>
    <w:rsid w:val="001F2DE7"/>
    <w:rsid w:val="002006FE"/>
    <w:rsid w:val="00202912"/>
    <w:rsid w:val="002039EF"/>
    <w:rsid w:val="002069E2"/>
    <w:rsid w:val="00210C29"/>
    <w:rsid w:val="00211649"/>
    <w:rsid w:val="002123CD"/>
    <w:rsid w:val="0021319E"/>
    <w:rsid w:val="002135D8"/>
    <w:rsid w:val="002135FE"/>
    <w:rsid w:val="0021381A"/>
    <w:rsid w:val="002146F4"/>
    <w:rsid w:val="00215D78"/>
    <w:rsid w:val="0021666E"/>
    <w:rsid w:val="002168AA"/>
    <w:rsid w:val="00216DF7"/>
    <w:rsid w:val="002213D6"/>
    <w:rsid w:val="0022300F"/>
    <w:rsid w:val="00223C1F"/>
    <w:rsid w:val="002268FC"/>
    <w:rsid w:val="00230139"/>
    <w:rsid w:val="00230377"/>
    <w:rsid w:val="002310B9"/>
    <w:rsid w:val="00233C7C"/>
    <w:rsid w:val="0023437E"/>
    <w:rsid w:val="0023661B"/>
    <w:rsid w:val="00241226"/>
    <w:rsid w:val="00241BBD"/>
    <w:rsid w:val="002423E6"/>
    <w:rsid w:val="0025070C"/>
    <w:rsid w:val="002543E6"/>
    <w:rsid w:val="00255CEB"/>
    <w:rsid w:val="00256917"/>
    <w:rsid w:val="0026041F"/>
    <w:rsid w:val="002613CF"/>
    <w:rsid w:val="00262FDE"/>
    <w:rsid w:val="00266B0D"/>
    <w:rsid w:val="00267739"/>
    <w:rsid w:val="00267C81"/>
    <w:rsid w:val="00272B75"/>
    <w:rsid w:val="00275D53"/>
    <w:rsid w:val="002809C9"/>
    <w:rsid w:val="00280FE8"/>
    <w:rsid w:val="00281225"/>
    <w:rsid w:val="0028377E"/>
    <w:rsid w:val="00283FFE"/>
    <w:rsid w:val="00284815"/>
    <w:rsid w:val="002851E0"/>
    <w:rsid w:val="0028745B"/>
    <w:rsid w:val="0028751F"/>
    <w:rsid w:val="00287DD4"/>
    <w:rsid w:val="00293461"/>
    <w:rsid w:val="002968C5"/>
    <w:rsid w:val="002A0F20"/>
    <w:rsid w:val="002A4836"/>
    <w:rsid w:val="002A4B4E"/>
    <w:rsid w:val="002B060E"/>
    <w:rsid w:val="002B4B87"/>
    <w:rsid w:val="002B50B9"/>
    <w:rsid w:val="002B5A27"/>
    <w:rsid w:val="002C66F3"/>
    <w:rsid w:val="002D07AE"/>
    <w:rsid w:val="002D5A08"/>
    <w:rsid w:val="002D5CB0"/>
    <w:rsid w:val="002D7D53"/>
    <w:rsid w:val="002E06F0"/>
    <w:rsid w:val="002E1B25"/>
    <w:rsid w:val="002E25CE"/>
    <w:rsid w:val="002E2A9B"/>
    <w:rsid w:val="002E4687"/>
    <w:rsid w:val="002E617F"/>
    <w:rsid w:val="002E6705"/>
    <w:rsid w:val="002F01B5"/>
    <w:rsid w:val="002F1383"/>
    <w:rsid w:val="002F2449"/>
    <w:rsid w:val="002F2F72"/>
    <w:rsid w:val="002F3672"/>
    <w:rsid w:val="00300255"/>
    <w:rsid w:val="00300B57"/>
    <w:rsid w:val="00300B8C"/>
    <w:rsid w:val="00302A70"/>
    <w:rsid w:val="00304260"/>
    <w:rsid w:val="00305FD5"/>
    <w:rsid w:val="0030736C"/>
    <w:rsid w:val="003073DC"/>
    <w:rsid w:val="00307499"/>
    <w:rsid w:val="00310116"/>
    <w:rsid w:val="003117C7"/>
    <w:rsid w:val="00313392"/>
    <w:rsid w:val="00313800"/>
    <w:rsid w:val="0031462E"/>
    <w:rsid w:val="00314B51"/>
    <w:rsid w:val="0031625F"/>
    <w:rsid w:val="003168ED"/>
    <w:rsid w:val="00316C07"/>
    <w:rsid w:val="00320304"/>
    <w:rsid w:val="00330D6A"/>
    <w:rsid w:val="00331515"/>
    <w:rsid w:val="00331DAD"/>
    <w:rsid w:val="00333F3D"/>
    <w:rsid w:val="00334392"/>
    <w:rsid w:val="00335905"/>
    <w:rsid w:val="003379E3"/>
    <w:rsid w:val="00337ADD"/>
    <w:rsid w:val="0034000E"/>
    <w:rsid w:val="00340109"/>
    <w:rsid w:val="00345F18"/>
    <w:rsid w:val="00346079"/>
    <w:rsid w:val="00347A11"/>
    <w:rsid w:val="00347AD1"/>
    <w:rsid w:val="00350FF9"/>
    <w:rsid w:val="00352793"/>
    <w:rsid w:val="00352BC9"/>
    <w:rsid w:val="00357087"/>
    <w:rsid w:val="00361A27"/>
    <w:rsid w:val="00362444"/>
    <w:rsid w:val="00363B54"/>
    <w:rsid w:val="00364510"/>
    <w:rsid w:val="003647DF"/>
    <w:rsid w:val="00364F63"/>
    <w:rsid w:val="003768AF"/>
    <w:rsid w:val="00376AF3"/>
    <w:rsid w:val="003803B5"/>
    <w:rsid w:val="00382524"/>
    <w:rsid w:val="00383D5D"/>
    <w:rsid w:val="00384EFB"/>
    <w:rsid w:val="0038682D"/>
    <w:rsid w:val="00387F18"/>
    <w:rsid w:val="00397E55"/>
    <w:rsid w:val="003A0192"/>
    <w:rsid w:val="003A3A57"/>
    <w:rsid w:val="003A3F63"/>
    <w:rsid w:val="003B0135"/>
    <w:rsid w:val="003B01AB"/>
    <w:rsid w:val="003B22B3"/>
    <w:rsid w:val="003B772E"/>
    <w:rsid w:val="003C08D3"/>
    <w:rsid w:val="003C16E2"/>
    <w:rsid w:val="003D2FE7"/>
    <w:rsid w:val="003D4680"/>
    <w:rsid w:val="003E0F5A"/>
    <w:rsid w:val="003E7152"/>
    <w:rsid w:val="003F0A4B"/>
    <w:rsid w:val="003F26F4"/>
    <w:rsid w:val="003F2F7C"/>
    <w:rsid w:val="003F3C98"/>
    <w:rsid w:val="003F5767"/>
    <w:rsid w:val="00400658"/>
    <w:rsid w:val="0040076C"/>
    <w:rsid w:val="0040092F"/>
    <w:rsid w:val="00400C56"/>
    <w:rsid w:val="00400CD2"/>
    <w:rsid w:val="00410C52"/>
    <w:rsid w:val="00411C70"/>
    <w:rsid w:val="00412F71"/>
    <w:rsid w:val="00416C62"/>
    <w:rsid w:val="004204B6"/>
    <w:rsid w:val="00420614"/>
    <w:rsid w:val="0042736D"/>
    <w:rsid w:val="00430F4B"/>
    <w:rsid w:val="00432AA6"/>
    <w:rsid w:val="00432EEA"/>
    <w:rsid w:val="00436362"/>
    <w:rsid w:val="00440100"/>
    <w:rsid w:val="00440354"/>
    <w:rsid w:val="004422E0"/>
    <w:rsid w:val="0044325D"/>
    <w:rsid w:val="00450AD0"/>
    <w:rsid w:val="004518BD"/>
    <w:rsid w:val="00452076"/>
    <w:rsid w:val="00452837"/>
    <w:rsid w:val="004611CA"/>
    <w:rsid w:val="00461BA7"/>
    <w:rsid w:val="00465306"/>
    <w:rsid w:val="004714E0"/>
    <w:rsid w:val="004726D5"/>
    <w:rsid w:val="00474EE0"/>
    <w:rsid w:val="0047514C"/>
    <w:rsid w:val="00475411"/>
    <w:rsid w:val="00475972"/>
    <w:rsid w:val="004809D4"/>
    <w:rsid w:val="004811D3"/>
    <w:rsid w:val="00482331"/>
    <w:rsid w:val="0048318A"/>
    <w:rsid w:val="00483C6F"/>
    <w:rsid w:val="00484A77"/>
    <w:rsid w:val="004864FA"/>
    <w:rsid w:val="00486618"/>
    <w:rsid w:val="00490E1B"/>
    <w:rsid w:val="00491FB4"/>
    <w:rsid w:val="004933FE"/>
    <w:rsid w:val="00495776"/>
    <w:rsid w:val="004973E7"/>
    <w:rsid w:val="004975A0"/>
    <w:rsid w:val="004A45FA"/>
    <w:rsid w:val="004A531F"/>
    <w:rsid w:val="004A640B"/>
    <w:rsid w:val="004B4758"/>
    <w:rsid w:val="004B6DC2"/>
    <w:rsid w:val="004C6CF9"/>
    <w:rsid w:val="004D3E0A"/>
    <w:rsid w:val="004D5332"/>
    <w:rsid w:val="004D65F4"/>
    <w:rsid w:val="004D675F"/>
    <w:rsid w:val="004D7DB1"/>
    <w:rsid w:val="004E4FDC"/>
    <w:rsid w:val="004E6F6E"/>
    <w:rsid w:val="004F05BF"/>
    <w:rsid w:val="004F08CB"/>
    <w:rsid w:val="004F3C3B"/>
    <w:rsid w:val="004F49E9"/>
    <w:rsid w:val="005021DE"/>
    <w:rsid w:val="00510BC7"/>
    <w:rsid w:val="005132FB"/>
    <w:rsid w:val="0051596C"/>
    <w:rsid w:val="00517D39"/>
    <w:rsid w:val="00521140"/>
    <w:rsid w:val="005324A3"/>
    <w:rsid w:val="00536BC1"/>
    <w:rsid w:val="00540739"/>
    <w:rsid w:val="005420E7"/>
    <w:rsid w:val="00542553"/>
    <w:rsid w:val="0054317C"/>
    <w:rsid w:val="005443D5"/>
    <w:rsid w:val="005450B3"/>
    <w:rsid w:val="00545876"/>
    <w:rsid w:val="0056291E"/>
    <w:rsid w:val="0056312B"/>
    <w:rsid w:val="00564AE5"/>
    <w:rsid w:val="00565D37"/>
    <w:rsid w:val="00567000"/>
    <w:rsid w:val="0056720D"/>
    <w:rsid w:val="00567218"/>
    <w:rsid w:val="0057096D"/>
    <w:rsid w:val="00576431"/>
    <w:rsid w:val="0057690A"/>
    <w:rsid w:val="00582F6E"/>
    <w:rsid w:val="00583377"/>
    <w:rsid w:val="0058545F"/>
    <w:rsid w:val="0058608F"/>
    <w:rsid w:val="005874A6"/>
    <w:rsid w:val="00587797"/>
    <w:rsid w:val="0059149D"/>
    <w:rsid w:val="005941DE"/>
    <w:rsid w:val="005A0265"/>
    <w:rsid w:val="005A1837"/>
    <w:rsid w:val="005A785E"/>
    <w:rsid w:val="005B0F9F"/>
    <w:rsid w:val="005B1D05"/>
    <w:rsid w:val="005B4988"/>
    <w:rsid w:val="005C07ED"/>
    <w:rsid w:val="005C19B7"/>
    <w:rsid w:val="005D0367"/>
    <w:rsid w:val="005D16A4"/>
    <w:rsid w:val="005D32EA"/>
    <w:rsid w:val="005E0126"/>
    <w:rsid w:val="005E18F4"/>
    <w:rsid w:val="005E1CD6"/>
    <w:rsid w:val="005E2453"/>
    <w:rsid w:val="005E2F1D"/>
    <w:rsid w:val="005E3BEA"/>
    <w:rsid w:val="005E3DCF"/>
    <w:rsid w:val="005E3E56"/>
    <w:rsid w:val="005E4196"/>
    <w:rsid w:val="005E4738"/>
    <w:rsid w:val="005E56F3"/>
    <w:rsid w:val="005F6F3F"/>
    <w:rsid w:val="005F7706"/>
    <w:rsid w:val="006013F5"/>
    <w:rsid w:val="006023A6"/>
    <w:rsid w:val="0060520D"/>
    <w:rsid w:val="006067CB"/>
    <w:rsid w:val="00607535"/>
    <w:rsid w:val="00607DAF"/>
    <w:rsid w:val="00613626"/>
    <w:rsid w:val="006137F4"/>
    <w:rsid w:val="006158F9"/>
    <w:rsid w:val="006164C8"/>
    <w:rsid w:val="00621A32"/>
    <w:rsid w:val="00625437"/>
    <w:rsid w:val="00626835"/>
    <w:rsid w:val="006311FB"/>
    <w:rsid w:val="0063136A"/>
    <w:rsid w:val="00632FCE"/>
    <w:rsid w:val="00634613"/>
    <w:rsid w:val="00637752"/>
    <w:rsid w:val="0064029D"/>
    <w:rsid w:val="00641FC7"/>
    <w:rsid w:val="00642758"/>
    <w:rsid w:val="00644CCA"/>
    <w:rsid w:val="00644FC7"/>
    <w:rsid w:val="0064541B"/>
    <w:rsid w:val="00647D22"/>
    <w:rsid w:val="006541E1"/>
    <w:rsid w:val="00657A8F"/>
    <w:rsid w:val="0066176E"/>
    <w:rsid w:val="0066238F"/>
    <w:rsid w:val="00664DDD"/>
    <w:rsid w:val="00666DE2"/>
    <w:rsid w:val="006673C1"/>
    <w:rsid w:val="00672101"/>
    <w:rsid w:val="006728FA"/>
    <w:rsid w:val="0067397C"/>
    <w:rsid w:val="00674612"/>
    <w:rsid w:val="00674D2E"/>
    <w:rsid w:val="006753DE"/>
    <w:rsid w:val="006800F6"/>
    <w:rsid w:val="0068031F"/>
    <w:rsid w:val="006808E7"/>
    <w:rsid w:val="006817EA"/>
    <w:rsid w:val="00683557"/>
    <w:rsid w:val="00685E23"/>
    <w:rsid w:val="006A08BA"/>
    <w:rsid w:val="006A1DDB"/>
    <w:rsid w:val="006A54AF"/>
    <w:rsid w:val="006A60B9"/>
    <w:rsid w:val="006A7286"/>
    <w:rsid w:val="006B03DA"/>
    <w:rsid w:val="006B69C3"/>
    <w:rsid w:val="006C1440"/>
    <w:rsid w:val="006C3ECC"/>
    <w:rsid w:val="006C42C5"/>
    <w:rsid w:val="006C7D45"/>
    <w:rsid w:val="006D0AD5"/>
    <w:rsid w:val="006D2CC1"/>
    <w:rsid w:val="006D39F4"/>
    <w:rsid w:val="006E0132"/>
    <w:rsid w:val="006E1747"/>
    <w:rsid w:val="006E1B0A"/>
    <w:rsid w:val="006E3466"/>
    <w:rsid w:val="006E4C82"/>
    <w:rsid w:val="006E4F18"/>
    <w:rsid w:val="006F3048"/>
    <w:rsid w:val="006F5427"/>
    <w:rsid w:val="006F5ACD"/>
    <w:rsid w:val="006F6709"/>
    <w:rsid w:val="006F67FD"/>
    <w:rsid w:val="006F78D7"/>
    <w:rsid w:val="00700433"/>
    <w:rsid w:val="007008BE"/>
    <w:rsid w:val="00700D7C"/>
    <w:rsid w:val="00702D51"/>
    <w:rsid w:val="00703B74"/>
    <w:rsid w:val="00711051"/>
    <w:rsid w:val="0072059F"/>
    <w:rsid w:val="00721C0C"/>
    <w:rsid w:val="00721C47"/>
    <w:rsid w:val="00724B66"/>
    <w:rsid w:val="00727275"/>
    <w:rsid w:val="0073124B"/>
    <w:rsid w:val="007319E6"/>
    <w:rsid w:val="007334E2"/>
    <w:rsid w:val="007353F9"/>
    <w:rsid w:val="00735B4F"/>
    <w:rsid w:val="00735C08"/>
    <w:rsid w:val="00737FFC"/>
    <w:rsid w:val="00741CE9"/>
    <w:rsid w:val="0074225F"/>
    <w:rsid w:val="007431FF"/>
    <w:rsid w:val="0074340E"/>
    <w:rsid w:val="0074423F"/>
    <w:rsid w:val="00747622"/>
    <w:rsid w:val="00752C5A"/>
    <w:rsid w:val="00753791"/>
    <w:rsid w:val="00754AAC"/>
    <w:rsid w:val="007559D0"/>
    <w:rsid w:val="00755DCA"/>
    <w:rsid w:val="0075722B"/>
    <w:rsid w:val="0076132E"/>
    <w:rsid w:val="00761AFE"/>
    <w:rsid w:val="00762B80"/>
    <w:rsid w:val="007657C0"/>
    <w:rsid w:val="007660E2"/>
    <w:rsid w:val="00770563"/>
    <w:rsid w:val="00770D5C"/>
    <w:rsid w:val="00771413"/>
    <w:rsid w:val="007715E3"/>
    <w:rsid w:val="00772B80"/>
    <w:rsid w:val="00772FB3"/>
    <w:rsid w:val="00773541"/>
    <w:rsid w:val="007750F9"/>
    <w:rsid w:val="00775D1B"/>
    <w:rsid w:val="007765B4"/>
    <w:rsid w:val="00780541"/>
    <w:rsid w:val="00781902"/>
    <w:rsid w:val="007858B9"/>
    <w:rsid w:val="00791B6F"/>
    <w:rsid w:val="007949D6"/>
    <w:rsid w:val="00795CCC"/>
    <w:rsid w:val="00796454"/>
    <w:rsid w:val="007968C8"/>
    <w:rsid w:val="00797FA1"/>
    <w:rsid w:val="007A3B80"/>
    <w:rsid w:val="007A4107"/>
    <w:rsid w:val="007B0A9B"/>
    <w:rsid w:val="007B0ECD"/>
    <w:rsid w:val="007B4725"/>
    <w:rsid w:val="007B51A2"/>
    <w:rsid w:val="007B5538"/>
    <w:rsid w:val="007B6282"/>
    <w:rsid w:val="007B67BC"/>
    <w:rsid w:val="007B6FB4"/>
    <w:rsid w:val="007C19FF"/>
    <w:rsid w:val="007C496A"/>
    <w:rsid w:val="007C558F"/>
    <w:rsid w:val="007C5B5F"/>
    <w:rsid w:val="007C708A"/>
    <w:rsid w:val="007C7A71"/>
    <w:rsid w:val="007D0C6F"/>
    <w:rsid w:val="007D6429"/>
    <w:rsid w:val="007D6957"/>
    <w:rsid w:val="007E166F"/>
    <w:rsid w:val="007E3A70"/>
    <w:rsid w:val="007E3F7B"/>
    <w:rsid w:val="007E482A"/>
    <w:rsid w:val="007E69BF"/>
    <w:rsid w:val="007E7C4D"/>
    <w:rsid w:val="007F11E3"/>
    <w:rsid w:val="007F6C70"/>
    <w:rsid w:val="008002D9"/>
    <w:rsid w:val="00802EDC"/>
    <w:rsid w:val="00806D7D"/>
    <w:rsid w:val="00807A95"/>
    <w:rsid w:val="00812172"/>
    <w:rsid w:val="00812911"/>
    <w:rsid w:val="0081498C"/>
    <w:rsid w:val="008255DD"/>
    <w:rsid w:val="0082564A"/>
    <w:rsid w:val="00827193"/>
    <w:rsid w:val="00827F45"/>
    <w:rsid w:val="00830AF1"/>
    <w:rsid w:val="008327CA"/>
    <w:rsid w:val="00832E9A"/>
    <w:rsid w:val="00837870"/>
    <w:rsid w:val="00837C3F"/>
    <w:rsid w:val="008400D0"/>
    <w:rsid w:val="00841B2F"/>
    <w:rsid w:val="00843869"/>
    <w:rsid w:val="0084585F"/>
    <w:rsid w:val="008506B8"/>
    <w:rsid w:val="00852ECA"/>
    <w:rsid w:val="0085314D"/>
    <w:rsid w:val="008603B9"/>
    <w:rsid w:val="008604AB"/>
    <w:rsid w:val="0086272E"/>
    <w:rsid w:val="00873E75"/>
    <w:rsid w:val="00875122"/>
    <w:rsid w:val="00875419"/>
    <w:rsid w:val="00876190"/>
    <w:rsid w:val="00876482"/>
    <w:rsid w:val="00880880"/>
    <w:rsid w:val="008818FB"/>
    <w:rsid w:val="00881C03"/>
    <w:rsid w:val="00881CD2"/>
    <w:rsid w:val="0088430B"/>
    <w:rsid w:val="00885CA1"/>
    <w:rsid w:val="00885E4B"/>
    <w:rsid w:val="00890ECF"/>
    <w:rsid w:val="00892656"/>
    <w:rsid w:val="00894537"/>
    <w:rsid w:val="008946BD"/>
    <w:rsid w:val="00895DA0"/>
    <w:rsid w:val="008A03CD"/>
    <w:rsid w:val="008A1DC8"/>
    <w:rsid w:val="008A5C6E"/>
    <w:rsid w:val="008A7B7A"/>
    <w:rsid w:val="008B03B1"/>
    <w:rsid w:val="008B6136"/>
    <w:rsid w:val="008C1A7C"/>
    <w:rsid w:val="008C2306"/>
    <w:rsid w:val="008C251B"/>
    <w:rsid w:val="008C7B41"/>
    <w:rsid w:val="008D0F8B"/>
    <w:rsid w:val="008D21DD"/>
    <w:rsid w:val="008D3EA2"/>
    <w:rsid w:val="008D4195"/>
    <w:rsid w:val="008D4FBF"/>
    <w:rsid w:val="008D634A"/>
    <w:rsid w:val="008D6602"/>
    <w:rsid w:val="008E21C5"/>
    <w:rsid w:val="008E23E6"/>
    <w:rsid w:val="008E4EE3"/>
    <w:rsid w:val="008E52B2"/>
    <w:rsid w:val="008E5A16"/>
    <w:rsid w:val="008E5E6F"/>
    <w:rsid w:val="008F063E"/>
    <w:rsid w:val="008F2A61"/>
    <w:rsid w:val="008F340A"/>
    <w:rsid w:val="008F54CB"/>
    <w:rsid w:val="008F615E"/>
    <w:rsid w:val="00903C31"/>
    <w:rsid w:val="00906A10"/>
    <w:rsid w:val="0091155D"/>
    <w:rsid w:val="00913E67"/>
    <w:rsid w:val="00914505"/>
    <w:rsid w:val="009145E7"/>
    <w:rsid w:val="0092234D"/>
    <w:rsid w:val="009263F9"/>
    <w:rsid w:val="00930823"/>
    <w:rsid w:val="009309EA"/>
    <w:rsid w:val="00932EFB"/>
    <w:rsid w:val="009351CE"/>
    <w:rsid w:val="0093653D"/>
    <w:rsid w:val="00936DF1"/>
    <w:rsid w:val="009372F0"/>
    <w:rsid w:val="00940871"/>
    <w:rsid w:val="0094149A"/>
    <w:rsid w:val="00944072"/>
    <w:rsid w:val="00954027"/>
    <w:rsid w:val="00955EBB"/>
    <w:rsid w:val="00956CF1"/>
    <w:rsid w:val="00957193"/>
    <w:rsid w:val="00962ACD"/>
    <w:rsid w:val="0096354A"/>
    <w:rsid w:val="00964946"/>
    <w:rsid w:val="00964C03"/>
    <w:rsid w:val="00970D36"/>
    <w:rsid w:val="00971E7D"/>
    <w:rsid w:val="00974642"/>
    <w:rsid w:val="00975E18"/>
    <w:rsid w:val="009809F9"/>
    <w:rsid w:val="00980DBD"/>
    <w:rsid w:val="0098395A"/>
    <w:rsid w:val="00984572"/>
    <w:rsid w:val="00993736"/>
    <w:rsid w:val="00993778"/>
    <w:rsid w:val="009A50B6"/>
    <w:rsid w:val="009A51D7"/>
    <w:rsid w:val="009A55C9"/>
    <w:rsid w:val="009B2CE6"/>
    <w:rsid w:val="009B7156"/>
    <w:rsid w:val="009C0BE7"/>
    <w:rsid w:val="009C1FD5"/>
    <w:rsid w:val="009C2FDC"/>
    <w:rsid w:val="009C35CF"/>
    <w:rsid w:val="009C5070"/>
    <w:rsid w:val="009C526A"/>
    <w:rsid w:val="009C692A"/>
    <w:rsid w:val="009C744A"/>
    <w:rsid w:val="009D06E0"/>
    <w:rsid w:val="009D0D5D"/>
    <w:rsid w:val="009D2758"/>
    <w:rsid w:val="009D450B"/>
    <w:rsid w:val="009D481D"/>
    <w:rsid w:val="009D6520"/>
    <w:rsid w:val="009D7A52"/>
    <w:rsid w:val="009D7D59"/>
    <w:rsid w:val="009E4638"/>
    <w:rsid w:val="009E4B87"/>
    <w:rsid w:val="009E5536"/>
    <w:rsid w:val="009E631F"/>
    <w:rsid w:val="009F4B9B"/>
    <w:rsid w:val="009F69DE"/>
    <w:rsid w:val="00A00701"/>
    <w:rsid w:val="00A00BB3"/>
    <w:rsid w:val="00A00F63"/>
    <w:rsid w:val="00A03ABE"/>
    <w:rsid w:val="00A07602"/>
    <w:rsid w:val="00A1037C"/>
    <w:rsid w:val="00A118F6"/>
    <w:rsid w:val="00A124F5"/>
    <w:rsid w:val="00A129C0"/>
    <w:rsid w:val="00A151AA"/>
    <w:rsid w:val="00A15F88"/>
    <w:rsid w:val="00A1717E"/>
    <w:rsid w:val="00A219D6"/>
    <w:rsid w:val="00A22951"/>
    <w:rsid w:val="00A30977"/>
    <w:rsid w:val="00A31A67"/>
    <w:rsid w:val="00A359D1"/>
    <w:rsid w:val="00A35F06"/>
    <w:rsid w:val="00A36608"/>
    <w:rsid w:val="00A4066A"/>
    <w:rsid w:val="00A423E3"/>
    <w:rsid w:val="00A430AF"/>
    <w:rsid w:val="00A441E5"/>
    <w:rsid w:val="00A462CC"/>
    <w:rsid w:val="00A46CA5"/>
    <w:rsid w:val="00A52F5F"/>
    <w:rsid w:val="00A52FFF"/>
    <w:rsid w:val="00A543B8"/>
    <w:rsid w:val="00A54727"/>
    <w:rsid w:val="00A55035"/>
    <w:rsid w:val="00A57AD8"/>
    <w:rsid w:val="00A62859"/>
    <w:rsid w:val="00A62908"/>
    <w:rsid w:val="00A62C69"/>
    <w:rsid w:val="00A70DF9"/>
    <w:rsid w:val="00A75228"/>
    <w:rsid w:val="00A76CFC"/>
    <w:rsid w:val="00A7732D"/>
    <w:rsid w:val="00A81972"/>
    <w:rsid w:val="00A82F47"/>
    <w:rsid w:val="00A87DDD"/>
    <w:rsid w:val="00A87F87"/>
    <w:rsid w:val="00A87FBA"/>
    <w:rsid w:val="00A92681"/>
    <w:rsid w:val="00A92AC3"/>
    <w:rsid w:val="00A94530"/>
    <w:rsid w:val="00AA0527"/>
    <w:rsid w:val="00AA0A99"/>
    <w:rsid w:val="00AA15DC"/>
    <w:rsid w:val="00AA1AA9"/>
    <w:rsid w:val="00AA26BE"/>
    <w:rsid w:val="00AA4677"/>
    <w:rsid w:val="00AA598C"/>
    <w:rsid w:val="00AA66C6"/>
    <w:rsid w:val="00AA6A8D"/>
    <w:rsid w:val="00AA7786"/>
    <w:rsid w:val="00AB0219"/>
    <w:rsid w:val="00AB028B"/>
    <w:rsid w:val="00AB0BFE"/>
    <w:rsid w:val="00AB1362"/>
    <w:rsid w:val="00AB208B"/>
    <w:rsid w:val="00AB2B6F"/>
    <w:rsid w:val="00AB30B3"/>
    <w:rsid w:val="00AB596B"/>
    <w:rsid w:val="00AB5A34"/>
    <w:rsid w:val="00AB6868"/>
    <w:rsid w:val="00AC285C"/>
    <w:rsid w:val="00AC313C"/>
    <w:rsid w:val="00AC37D0"/>
    <w:rsid w:val="00AC3B72"/>
    <w:rsid w:val="00AD76E9"/>
    <w:rsid w:val="00AE2BC8"/>
    <w:rsid w:val="00AE3059"/>
    <w:rsid w:val="00AE3BB1"/>
    <w:rsid w:val="00AE4F2A"/>
    <w:rsid w:val="00AE5B6A"/>
    <w:rsid w:val="00AE6B24"/>
    <w:rsid w:val="00AE721D"/>
    <w:rsid w:val="00AF1F47"/>
    <w:rsid w:val="00AF5BA0"/>
    <w:rsid w:val="00AF61FB"/>
    <w:rsid w:val="00AF642D"/>
    <w:rsid w:val="00AF65A4"/>
    <w:rsid w:val="00AF706D"/>
    <w:rsid w:val="00B0285F"/>
    <w:rsid w:val="00B0539F"/>
    <w:rsid w:val="00B054C9"/>
    <w:rsid w:val="00B13C01"/>
    <w:rsid w:val="00B1624E"/>
    <w:rsid w:val="00B16702"/>
    <w:rsid w:val="00B16A05"/>
    <w:rsid w:val="00B2213F"/>
    <w:rsid w:val="00B232CB"/>
    <w:rsid w:val="00B2364D"/>
    <w:rsid w:val="00B23A67"/>
    <w:rsid w:val="00B23AF1"/>
    <w:rsid w:val="00B242C0"/>
    <w:rsid w:val="00B24B0C"/>
    <w:rsid w:val="00B25224"/>
    <w:rsid w:val="00B307C9"/>
    <w:rsid w:val="00B31EAE"/>
    <w:rsid w:val="00B32374"/>
    <w:rsid w:val="00B328A2"/>
    <w:rsid w:val="00B334CA"/>
    <w:rsid w:val="00B33B78"/>
    <w:rsid w:val="00B40F07"/>
    <w:rsid w:val="00B4212D"/>
    <w:rsid w:val="00B517F4"/>
    <w:rsid w:val="00B518D5"/>
    <w:rsid w:val="00B56C98"/>
    <w:rsid w:val="00B57FB5"/>
    <w:rsid w:val="00B6022D"/>
    <w:rsid w:val="00B6422C"/>
    <w:rsid w:val="00B64BF7"/>
    <w:rsid w:val="00B64E2E"/>
    <w:rsid w:val="00B66DE6"/>
    <w:rsid w:val="00B67F36"/>
    <w:rsid w:val="00B727F4"/>
    <w:rsid w:val="00B72C92"/>
    <w:rsid w:val="00B76A77"/>
    <w:rsid w:val="00B76D93"/>
    <w:rsid w:val="00B80B3D"/>
    <w:rsid w:val="00B8293C"/>
    <w:rsid w:val="00B82E05"/>
    <w:rsid w:val="00B84CE0"/>
    <w:rsid w:val="00B874B8"/>
    <w:rsid w:val="00B90B15"/>
    <w:rsid w:val="00B91BD2"/>
    <w:rsid w:val="00B931E7"/>
    <w:rsid w:val="00B94782"/>
    <w:rsid w:val="00BA2226"/>
    <w:rsid w:val="00BA6183"/>
    <w:rsid w:val="00BB2417"/>
    <w:rsid w:val="00BB3854"/>
    <w:rsid w:val="00BC06F2"/>
    <w:rsid w:val="00BC12DF"/>
    <w:rsid w:val="00BC30EF"/>
    <w:rsid w:val="00BC49B8"/>
    <w:rsid w:val="00BC5EC8"/>
    <w:rsid w:val="00BC6DB2"/>
    <w:rsid w:val="00BC6FEC"/>
    <w:rsid w:val="00BC723A"/>
    <w:rsid w:val="00BD1E59"/>
    <w:rsid w:val="00BD4B13"/>
    <w:rsid w:val="00BD773F"/>
    <w:rsid w:val="00BE0526"/>
    <w:rsid w:val="00BE180C"/>
    <w:rsid w:val="00BE7EAF"/>
    <w:rsid w:val="00BF119A"/>
    <w:rsid w:val="00BF11C0"/>
    <w:rsid w:val="00BF3B1C"/>
    <w:rsid w:val="00BF6423"/>
    <w:rsid w:val="00BF65A9"/>
    <w:rsid w:val="00BF6648"/>
    <w:rsid w:val="00BF69A0"/>
    <w:rsid w:val="00C02A0F"/>
    <w:rsid w:val="00C02B5C"/>
    <w:rsid w:val="00C04568"/>
    <w:rsid w:val="00C0473F"/>
    <w:rsid w:val="00C17026"/>
    <w:rsid w:val="00C20618"/>
    <w:rsid w:val="00C20861"/>
    <w:rsid w:val="00C21B6F"/>
    <w:rsid w:val="00C224C6"/>
    <w:rsid w:val="00C23604"/>
    <w:rsid w:val="00C23AF5"/>
    <w:rsid w:val="00C30A58"/>
    <w:rsid w:val="00C312D0"/>
    <w:rsid w:val="00C31891"/>
    <w:rsid w:val="00C32697"/>
    <w:rsid w:val="00C32C41"/>
    <w:rsid w:val="00C32D4F"/>
    <w:rsid w:val="00C3658C"/>
    <w:rsid w:val="00C37D2E"/>
    <w:rsid w:val="00C4068C"/>
    <w:rsid w:val="00C41473"/>
    <w:rsid w:val="00C418F5"/>
    <w:rsid w:val="00C41AFA"/>
    <w:rsid w:val="00C41EB1"/>
    <w:rsid w:val="00C47246"/>
    <w:rsid w:val="00C56F98"/>
    <w:rsid w:val="00C60C36"/>
    <w:rsid w:val="00C63477"/>
    <w:rsid w:val="00C640E2"/>
    <w:rsid w:val="00C64DE8"/>
    <w:rsid w:val="00C64E85"/>
    <w:rsid w:val="00C65325"/>
    <w:rsid w:val="00C66159"/>
    <w:rsid w:val="00C668C8"/>
    <w:rsid w:val="00C66914"/>
    <w:rsid w:val="00C6702C"/>
    <w:rsid w:val="00C70C60"/>
    <w:rsid w:val="00C718E6"/>
    <w:rsid w:val="00C71CCD"/>
    <w:rsid w:val="00C73067"/>
    <w:rsid w:val="00C75E0A"/>
    <w:rsid w:val="00C76029"/>
    <w:rsid w:val="00C80B38"/>
    <w:rsid w:val="00C83A12"/>
    <w:rsid w:val="00C85EDD"/>
    <w:rsid w:val="00C86044"/>
    <w:rsid w:val="00C9522F"/>
    <w:rsid w:val="00C958CA"/>
    <w:rsid w:val="00C965F8"/>
    <w:rsid w:val="00C97A5E"/>
    <w:rsid w:val="00CA3525"/>
    <w:rsid w:val="00CA5841"/>
    <w:rsid w:val="00CA6C3A"/>
    <w:rsid w:val="00CA71A3"/>
    <w:rsid w:val="00CB0D26"/>
    <w:rsid w:val="00CB1164"/>
    <w:rsid w:val="00CB5727"/>
    <w:rsid w:val="00CB5D71"/>
    <w:rsid w:val="00CB75A4"/>
    <w:rsid w:val="00CC0043"/>
    <w:rsid w:val="00CC32B0"/>
    <w:rsid w:val="00CC7FAB"/>
    <w:rsid w:val="00CE1CA0"/>
    <w:rsid w:val="00CE567D"/>
    <w:rsid w:val="00CE5A4E"/>
    <w:rsid w:val="00CF1754"/>
    <w:rsid w:val="00CF2E39"/>
    <w:rsid w:val="00CF59B6"/>
    <w:rsid w:val="00CF7561"/>
    <w:rsid w:val="00D003C5"/>
    <w:rsid w:val="00D01023"/>
    <w:rsid w:val="00D104F8"/>
    <w:rsid w:val="00D1200A"/>
    <w:rsid w:val="00D15B03"/>
    <w:rsid w:val="00D15B09"/>
    <w:rsid w:val="00D15EAD"/>
    <w:rsid w:val="00D16186"/>
    <w:rsid w:val="00D17C5D"/>
    <w:rsid w:val="00D20400"/>
    <w:rsid w:val="00D21231"/>
    <w:rsid w:val="00D22CF6"/>
    <w:rsid w:val="00D2367F"/>
    <w:rsid w:val="00D2541C"/>
    <w:rsid w:val="00D254BB"/>
    <w:rsid w:val="00D27114"/>
    <w:rsid w:val="00D274B0"/>
    <w:rsid w:val="00D27E9D"/>
    <w:rsid w:val="00D3172D"/>
    <w:rsid w:val="00D32B9A"/>
    <w:rsid w:val="00D3413F"/>
    <w:rsid w:val="00D417D1"/>
    <w:rsid w:val="00D41B67"/>
    <w:rsid w:val="00D41C24"/>
    <w:rsid w:val="00D43D1B"/>
    <w:rsid w:val="00D46B4D"/>
    <w:rsid w:val="00D51B62"/>
    <w:rsid w:val="00D53B12"/>
    <w:rsid w:val="00D53DF9"/>
    <w:rsid w:val="00D545D5"/>
    <w:rsid w:val="00D54733"/>
    <w:rsid w:val="00D614B3"/>
    <w:rsid w:val="00D6219D"/>
    <w:rsid w:val="00D629AB"/>
    <w:rsid w:val="00D63964"/>
    <w:rsid w:val="00D64B0C"/>
    <w:rsid w:val="00D6513C"/>
    <w:rsid w:val="00D70204"/>
    <w:rsid w:val="00D70BC7"/>
    <w:rsid w:val="00D70CCD"/>
    <w:rsid w:val="00D71A14"/>
    <w:rsid w:val="00D72599"/>
    <w:rsid w:val="00D729ED"/>
    <w:rsid w:val="00D73BDE"/>
    <w:rsid w:val="00D768E3"/>
    <w:rsid w:val="00D830C0"/>
    <w:rsid w:val="00D83DE7"/>
    <w:rsid w:val="00D85D87"/>
    <w:rsid w:val="00D87530"/>
    <w:rsid w:val="00D878CC"/>
    <w:rsid w:val="00D90065"/>
    <w:rsid w:val="00D90DFA"/>
    <w:rsid w:val="00D93594"/>
    <w:rsid w:val="00D93B08"/>
    <w:rsid w:val="00DA1CB8"/>
    <w:rsid w:val="00DA2FDF"/>
    <w:rsid w:val="00DA33EB"/>
    <w:rsid w:val="00DA3CB8"/>
    <w:rsid w:val="00DA489D"/>
    <w:rsid w:val="00DA7FAD"/>
    <w:rsid w:val="00DB0DBD"/>
    <w:rsid w:val="00DB3CAD"/>
    <w:rsid w:val="00DB4559"/>
    <w:rsid w:val="00DB574D"/>
    <w:rsid w:val="00DB5ED6"/>
    <w:rsid w:val="00DC1597"/>
    <w:rsid w:val="00DC1E6C"/>
    <w:rsid w:val="00DC2843"/>
    <w:rsid w:val="00DC2877"/>
    <w:rsid w:val="00DC5080"/>
    <w:rsid w:val="00DD109C"/>
    <w:rsid w:val="00DD1F15"/>
    <w:rsid w:val="00DD5F1B"/>
    <w:rsid w:val="00DD6139"/>
    <w:rsid w:val="00DD717B"/>
    <w:rsid w:val="00DE752E"/>
    <w:rsid w:val="00DF1052"/>
    <w:rsid w:val="00DF44C0"/>
    <w:rsid w:val="00DF4C05"/>
    <w:rsid w:val="00DF6037"/>
    <w:rsid w:val="00E01304"/>
    <w:rsid w:val="00E01C6D"/>
    <w:rsid w:val="00E02545"/>
    <w:rsid w:val="00E0314B"/>
    <w:rsid w:val="00E04603"/>
    <w:rsid w:val="00E047F5"/>
    <w:rsid w:val="00E06D47"/>
    <w:rsid w:val="00E125D8"/>
    <w:rsid w:val="00E1492F"/>
    <w:rsid w:val="00E1550C"/>
    <w:rsid w:val="00E15E99"/>
    <w:rsid w:val="00E250DA"/>
    <w:rsid w:val="00E27933"/>
    <w:rsid w:val="00E3394A"/>
    <w:rsid w:val="00E367A2"/>
    <w:rsid w:val="00E36918"/>
    <w:rsid w:val="00E37F7A"/>
    <w:rsid w:val="00E42012"/>
    <w:rsid w:val="00E432E9"/>
    <w:rsid w:val="00E47DE0"/>
    <w:rsid w:val="00E52011"/>
    <w:rsid w:val="00E52081"/>
    <w:rsid w:val="00E53172"/>
    <w:rsid w:val="00E65F6F"/>
    <w:rsid w:val="00E71B6D"/>
    <w:rsid w:val="00E8362B"/>
    <w:rsid w:val="00E848F4"/>
    <w:rsid w:val="00E861A4"/>
    <w:rsid w:val="00E86EDF"/>
    <w:rsid w:val="00E874C9"/>
    <w:rsid w:val="00E95BF4"/>
    <w:rsid w:val="00EA3D4B"/>
    <w:rsid w:val="00EB179A"/>
    <w:rsid w:val="00EB1F08"/>
    <w:rsid w:val="00EB2CF0"/>
    <w:rsid w:val="00EB2D55"/>
    <w:rsid w:val="00EB5A70"/>
    <w:rsid w:val="00EB6E8C"/>
    <w:rsid w:val="00EC0C4A"/>
    <w:rsid w:val="00EC150A"/>
    <w:rsid w:val="00EC1BF6"/>
    <w:rsid w:val="00EC3CF5"/>
    <w:rsid w:val="00EC572D"/>
    <w:rsid w:val="00EC7FA3"/>
    <w:rsid w:val="00ED151C"/>
    <w:rsid w:val="00ED17EC"/>
    <w:rsid w:val="00ED4355"/>
    <w:rsid w:val="00ED567E"/>
    <w:rsid w:val="00EE4176"/>
    <w:rsid w:val="00EE5C2D"/>
    <w:rsid w:val="00EF306F"/>
    <w:rsid w:val="00F00754"/>
    <w:rsid w:val="00F02486"/>
    <w:rsid w:val="00F03F48"/>
    <w:rsid w:val="00F12505"/>
    <w:rsid w:val="00F15089"/>
    <w:rsid w:val="00F174F5"/>
    <w:rsid w:val="00F1777E"/>
    <w:rsid w:val="00F2012D"/>
    <w:rsid w:val="00F207C0"/>
    <w:rsid w:val="00F22CE4"/>
    <w:rsid w:val="00F24AD8"/>
    <w:rsid w:val="00F27A3E"/>
    <w:rsid w:val="00F31E6E"/>
    <w:rsid w:val="00F33E44"/>
    <w:rsid w:val="00F341AC"/>
    <w:rsid w:val="00F34EC5"/>
    <w:rsid w:val="00F407BB"/>
    <w:rsid w:val="00F40C0C"/>
    <w:rsid w:val="00F53B9F"/>
    <w:rsid w:val="00F57A8F"/>
    <w:rsid w:val="00F61CCB"/>
    <w:rsid w:val="00F61D94"/>
    <w:rsid w:val="00F62ABC"/>
    <w:rsid w:val="00F62DE7"/>
    <w:rsid w:val="00F6320B"/>
    <w:rsid w:val="00F65BEE"/>
    <w:rsid w:val="00F7561E"/>
    <w:rsid w:val="00F83175"/>
    <w:rsid w:val="00F87198"/>
    <w:rsid w:val="00F95199"/>
    <w:rsid w:val="00FA17DF"/>
    <w:rsid w:val="00FA1A94"/>
    <w:rsid w:val="00FA3971"/>
    <w:rsid w:val="00FA485B"/>
    <w:rsid w:val="00FA5198"/>
    <w:rsid w:val="00FA678E"/>
    <w:rsid w:val="00FA6E39"/>
    <w:rsid w:val="00FB05A5"/>
    <w:rsid w:val="00FB3959"/>
    <w:rsid w:val="00FB4DA6"/>
    <w:rsid w:val="00FB5701"/>
    <w:rsid w:val="00FC2D40"/>
    <w:rsid w:val="00FC2DB0"/>
    <w:rsid w:val="00FC34C1"/>
    <w:rsid w:val="00FC3D6E"/>
    <w:rsid w:val="00FC6149"/>
    <w:rsid w:val="00FC6F2C"/>
    <w:rsid w:val="00FC7DD4"/>
    <w:rsid w:val="00FD1A1E"/>
    <w:rsid w:val="00FE0B77"/>
    <w:rsid w:val="00FE3432"/>
    <w:rsid w:val="00FE5594"/>
    <w:rsid w:val="00FE55B0"/>
    <w:rsid w:val="00FE7A63"/>
    <w:rsid w:val="00FE7B81"/>
    <w:rsid w:val="00FF4BE7"/>
    <w:rsid w:val="00FF4FE5"/>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E0BE21"/>
  <w15:docId w15:val="{71D7E4DE-AE37-462B-9ABC-828AC4F1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25"/>
  </w:style>
  <w:style w:type="paragraph" w:styleId="Footer">
    <w:name w:val="footer"/>
    <w:basedOn w:val="Normal"/>
    <w:link w:val="FooterChar"/>
    <w:uiPriority w:val="99"/>
    <w:unhideWhenUsed/>
    <w:rsid w:val="0028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25"/>
  </w:style>
  <w:style w:type="paragraph" w:styleId="BalloonText">
    <w:name w:val="Balloon Text"/>
    <w:basedOn w:val="Normal"/>
    <w:link w:val="BalloonTextChar"/>
    <w:uiPriority w:val="99"/>
    <w:semiHidden/>
    <w:unhideWhenUsed/>
    <w:rsid w:val="00281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25"/>
    <w:rPr>
      <w:rFonts w:ascii="Tahoma" w:hAnsi="Tahoma" w:cs="Tahoma"/>
      <w:sz w:val="16"/>
      <w:szCs w:val="16"/>
    </w:rPr>
  </w:style>
  <w:style w:type="table" w:styleId="TableGrid">
    <w:name w:val="Table Grid"/>
    <w:basedOn w:val="TableNormal"/>
    <w:uiPriority w:val="59"/>
    <w:rsid w:val="0028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026"/>
    <w:pPr>
      <w:ind w:left="720"/>
      <w:contextualSpacing/>
    </w:pPr>
  </w:style>
  <w:style w:type="character" w:styleId="Hyperlink">
    <w:name w:val="Hyperlink"/>
    <w:basedOn w:val="DefaultParagraphFont"/>
    <w:uiPriority w:val="99"/>
    <w:unhideWhenUsed/>
    <w:rsid w:val="000C040F"/>
    <w:rPr>
      <w:color w:val="0000FF" w:themeColor="hyperlink"/>
      <w:u w:val="single"/>
    </w:rPr>
  </w:style>
  <w:style w:type="paragraph" w:styleId="BodyTextIndent">
    <w:name w:val="Body Text Indent"/>
    <w:basedOn w:val="Normal"/>
    <w:link w:val="BodyTextIndentChar"/>
    <w:uiPriority w:val="99"/>
    <w:rsid w:val="00E02545"/>
    <w:pPr>
      <w:spacing w:after="0" w:line="48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E02545"/>
    <w:rPr>
      <w:rFonts w:ascii="Arial" w:eastAsia="Times New Roman" w:hAnsi="Arial" w:cs="Times New Roman"/>
      <w:sz w:val="24"/>
      <w:szCs w:val="20"/>
    </w:rPr>
  </w:style>
  <w:style w:type="paragraph" w:styleId="CommentText">
    <w:name w:val="annotation text"/>
    <w:basedOn w:val="Normal"/>
    <w:link w:val="CommentTextChar"/>
    <w:uiPriority w:val="99"/>
    <w:semiHidden/>
    <w:unhideWhenUsed/>
    <w:rsid w:val="006A7286"/>
    <w:pPr>
      <w:spacing w:line="240" w:lineRule="auto"/>
    </w:pPr>
    <w:rPr>
      <w:sz w:val="20"/>
      <w:szCs w:val="20"/>
    </w:rPr>
  </w:style>
  <w:style w:type="character" w:customStyle="1" w:styleId="CommentTextChar">
    <w:name w:val="Comment Text Char"/>
    <w:basedOn w:val="DefaultParagraphFont"/>
    <w:link w:val="CommentText"/>
    <w:uiPriority w:val="99"/>
    <w:semiHidden/>
    <w:rsid w:val="006A7286"/>
    <w:rPr>
      <w:sz w:val="20"/>
      <w:szCs w:val="20"/>
    </w:rPr>
  </w:style>
  <w:style w:type="paragraph" w:styleId="CommentSubject">
    <w:name w:val="annotation subject"/>
    <w:basedOn w:val="CommentText"/>
    <w:next w:val="CommentText"/>
    <w:link w:val="CommentSubjectChar"/>
    <w:uiPriority w:val="99"/>
    <w:semiHidden/>
    <w:rsid w:val="006A7286"/>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6A7286"/>
    <w:rPr>
      <w:rFonts w:ascii="Calibri" w:eastAsia="Calibri" w:hAnsi="Calibri" w:cs="Times New Roman"/>
      <w:b/>
      <w:bCs/>
      <w:sz w:val="20"/>
      <w:szCs w:val="20"/>
    </w:rPr>
  </w:style>
  <w:style w:type="paragraph" w:styleId="NoSpacing">
    <w:name w:val="No Spacing"/>
    <w:uiPriority w:val="1"/>
    <w:qFormat/>
    <w:rsid w:val="004B6DC2"/>
    <w:pPr>
      <w:spacing w:after="0" w:line="240" w:lineRule="auto"/>
    </w:pPr>
  </w:style>
  <w:style w:type="character" w:styleId="LineNumber">
    <w:name w:val="line number"/>
    <w:basedOn w:val="DefaultParagraphFont"/>
    <w:uiPriority w:val="99"/>
    <w:semiHidden/>
    <w:unhideWhenUsed/>
    <w:rsid w:val="00F61D94"/>
  </w:style>
  <w:style w:type="character" w:styleId="UnresolvedMention">
    <w:name w:val="Unresolved Mention"/>
    <w:basedOn w:val="DefaultParagraphFont"/>
    <w:uiPriority w:val="99"/>
    <w:semiHidden/>
    <w:unhideWhenUsed/>
    <w:rsid w:val="00F61D94"/>
    <w:rPr>
      <w:color w:val="605E5C"/>
      <w:shd w:val="clear" w:color="auto" w:fill="E1DFDD"/>
    </w:rPr>
  </w:style>
  <w:style w:type="character" w:styleId="FollowedHyperlink">
    <w:name w:val="FollowedHyperlink"/>
    <w:basedOn w:val="DefaultParagraphFont"/>
    <w:uiPriority w:val="99"/>
    <w:semiHidden/>
    <w:unhideWhenUsed/>
    <w:rsid w:val="00F61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1021054366">
      <w:bodyDiv w:val="1"/>
      <w:marLeft w:val="0"/>
      <w:marRight w:val="0"/>
      <w:marTop w:val="0"/>
      <w:marBottom w:val="0"/>
      <w:divBdr>
        <w:top w:val="none" w:sz="0" w:space="0" w:color="auto"/>
        <w:left w:val="none" w:sz="0" w:space="0" w:color="auto"/>
        <w:bottom w:val="none" w:sz="0" w:space="0" w:color="auto"/>
        <w:right w:val="none" w:sz="0" w:space="0" w:color="auto"/>
      </w:divBdr>
    </w:div>
    <w:div w:id="11194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tb/programs/evaluation/indicators/default.htm" TargetMode="External"/><Relationship Id="rId18" Type="http://schemas.openxmlformats.org/officeDocument/2006/relationships/hyperlink" Target="mailto:Ben.Katz@tn.gov" TargetMode="External"/><Relationship Id="rId26" Type="http://schemas.openxmlformats.org/officeDocument/2006/relationships/package" Target="embeddings/Microsoft_Visio_Drawing.vsdx"/><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cdc.gov/tb/programs/evaluation/indicators/default.htm" TargetMode="External"/><Relationship Id="rId17" Type="http://schemas.openxmlformats.org/officeDocument/2006/relationships/header" Target="header3.xm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tn.gov/content/dam/tn/health/documents/reportable-diseases/2020_HowtoReport_ForHealthcareProviders.pdf" TargetMode="External"/><Relationship Id="rId20" Type="http://schemas.openxmlformats.org/officeDocument/2006/relationships/hyperlink" Target="mailto:Trudy.Stein-Hart@tn.gov" TargetMode="External"/><Relationship Id="rId29"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tb/programs/evaluation/indicators/default.htm" TargetMode="External"/><Relationship Id="rId24" Type="http://schemas.openxmlformats.org/officeDocument/2006/relationships/hyperlink" Target="mailto:Tabatha.East@tn.gov" TargetMode="External"/><Relationship Id="rId5" Type="http://schemas.openxmlformats.org/officeDocument/2006/relationships/webSettings" Target="webSettings.xml"/><Relationship Id="rId15" Type="http://schemas.openxmlformats.org/officeDocument/2006/relationships/hyperlink" Target="https://www.tn.gov/content/dam/tn/health/documents/reportable-diseases/Provider-list-2021.pdf" TargetMode="External"/><Relationship Id="rId23" Type="http://schemas.openxmlformats.org/officeDocument/2006/relationships/hyperlink" Target="mailto:Tabatha.East@tn.gov" TargetMode="External"/><Relationship Id="rId28"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en.Katz@tn.gov" TargetMode="Externa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1883-1404-45B4-A5EE-5A9CEA5B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12208</Words>
  <Characters>66536</Characters>
  <Application>Microsoft Office Word</Application>
  <DocSecurity>0</DocSecurity>
  <Lines>3168</Lines>
  <Paragraphs>1607</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77137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Cummins</dc:creator>
  <cp:lastModifiedBy>Jennifer Kanouse</cp:lastModifiedBy>
  <cp:revision>2</cp:revision>
  <cp:lastPrinted>2021-08-06T14:59:00Z</cp:lastPrinted>
  <dcterms:created xsi:type="dcterms:W3CDTF">2021-08-11T13:33:00Z</dcterms:created>
  <dcterms:modified xsi:type="dcterms:W3CDTF">2021-08-11T13:33:00Z</dcterms:modified>
</cp:coreProperties>
</file>