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4C79" w14:textId="4ADD1E13" w:rsidR="009A7A7E" w:rsidRDefault="00E57A8D" w:rsidP="008915DD">
      <w:r>
        <w:rPr>
          <w:noProof/>
        </w:rPr>
        <w:drawing>
          <wp:anchor distT="0" distB="0" distL="114300" distR="114300" simplePos="0" relativeHeight="251711488" behindDoc="1" locked="0" layoutInCell="1" allowOverlap="1" wp14:anchorId="4E188C7E" wp14:editId="1ED2A4BA">
            <wp:simplePos x="0" y="0"/>
            <wp:positionH relativeFrom="column">
              <wp:posOffset>-151130</wp:posOffset>
            </wp:positionH>
            <wp:positionV relativeFrom="paragraph">
              <wp:posOffset>-215265</wp:posOffset>
            </wp:positionV>
            <wp:extent cx="2349500" cy="12801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Health-ColorPMS-RE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0" cy="1280160"/>
                    </a:xfrm>
                    <a:prstGeom prst="rect">
                      <a:avLst/>
                    </a:prstGeom>
                  </pic:spPr>
                </pic:pic>
              </a:graphicData>
            </a:graphic>
            <wp14:sizeRelH relativeFrom="page">
              <wp14:pctWidth>0</wp14:pctWidth>
            </wp14:sizeRelH>
            <wp14:sizeRelV relativeFrom="page">
              <wp14:pctHeight>0</wp14:pctHeight>
            </wp14:sizeRelV>
          </wp:anchor>
        </w:drawing>
      </w:r>
      <w:r w:rsidR="009C1E5E">
        <w:rPr>
          <w:noProof/>
        </w:rPr>
        <w:drawing>
          <wp:anchor distT="0" distB="0" distL="114300" distR="114300" simplePos="0" relativeHeight="251656190" behindDoc="1" locked="0" layoutInCell="1" allowOverlap="1" wp14:anchorId="12063D14" wp14:editId="1461E303">
            <wp:simplePos x="0" y="0"/>
            <wp:positionH relativeFrom="column">
              <wp:posOffset>-106349</wp:posOffset>
            </wp:positionH>
            <wp:positionV relativeFrom="paragraph">
              <wp:posOffset>-213360</wp:posOffset>
            </wp:positionV>
            <wp:extent cx="3840480" cy="12801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Inst-ColorPMS-RE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0480" cy="1280160"/>
                    </a:xfrm>
                    <a:prstGeom prst="rect">
                      <a:avLst/>
                    </a:prstGeom>
                  </pic:spPr>
                </pic:pic>
              </a:graphicData>
            </a:graphic>
            <wp14:sizeRelH relativeFrom="page">
              <wp14:pctWidth>0</wp14:pctWidth>
            </wp14:sizeRelH>
            <wp14:sizeRelV relativeFrom="page">
              <wp14:pctHeight>0</wp14:pctHeight>
            </wp14:sizeRelV>
          </wp:anchor>
        </w:drawing>
      </w:r>
      <w:r w:rsidR="009A7A7E">
        <w:br/>
      </w:r>
    </w:p>
    <w:p w14:paraId="10309E51" w14:textId="134EAEA1" w:rsidR="009A7A7E" w:rsidRDefault="00B812A9" w:rsidP="008915DD">
      <w:r>
        <w:rPr>
          <w:noProof/>
        </w:rPr>
        <mc:AlternateContent>
          <mc:Choice Requires="wps">
            <w:drawing>
              <wp:anchor distT="0" distB="0" distL="114300" distR="114300" simplePos="0" relativeHeight="251662336" behindDoc="0" locked="0" layoutInCell="1" allowOverlap="1" wp14:anchorId="754759FA" wp14:editId="489A7FFB">
                <wp:simplePos x="0" y="0"/>
                <wp:positionH relativeFrom="column">
                  <wp:posOffset>-1226820</wp:posOffset>
                </wp:positionH>
                <wp:positionV relativeFrom="paragraph">
                  <wp:posOffset>584200</wp:posOffset>
                </wp:positionV>
                <wp:extent cx="8124825" cy="0"/>
                <wp:effectExtent l="0" t="19050" r="9525" b="38100"/>
                <wp:wrapNone/>
                <wp:docPr id="15" name="Straight Connector 15"/>
                <wp:cNvGraphicFramePr/>
                <a:graphic xmlns:a="http://schemas.openxmlformats.org/drawingml/2006/main">
                  <a:graphicData uri="http://schemas.microsoft.com/office/word/2010/wordprocessingShape">
                    <wps:wsp>
                      <wps:cNvCnPr/>
                      <wps:spPr>
                        <a:xfrm>
                          <a:off x="0" y="0"/>
                          <a:ext cx="8124825" cy="0"/>
                        </a:xfrm>
                        <a:prstGeom prst="line">
                          <a:avLst/>
                        </a:prstGeom>
                        <a:ln w="508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31EEF"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6pt,46pt" to="543.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ss2wEAAA8EAAAOAAAAZHJzL2Uyb0RvYy54bWysU8tu2zAQvBfoPxC813qgKQzBcg4OkkvR&#10;Gk37ATS1lAjwBZK15L/vkpLloCkKtMiFErk7szvD5e5+0oqcwQdpTUurTUkJGG47afqW/vj++GFL&#10;SYjMdExZAy29QKD3+/fvdqNroLaDVR14giQmNKNr6RCja4oi8AE0CxvrwGBQWK9ZxK3vi86zEdm1&#10;Kuqy/FSM1nfOWw4h4OnDHKT7zC8E8PhViACRqJZibzGvPq+ntBb7HWt6z9wg+dIG+48uNJMGi65U&#10;Dywy8tPLV1Racm+DFXHDrS6sEJJD1oBqqvI3Nc8Dc5C1oDnBrTaFt6PlX85HT2SHd3dHiWEa7+g5&#10;eib7IZKDNQYdtJ5gEJ0aXWgQcDBHv+yCO/okexJepy8KIlN297K6C1MkHA+3Vf1xW2MVfo0VN6Dz&#10;IT6B1ST9tFRJk4Szhp0/h4jFMPWako6VIWNL78ptWea0YJXsHqVSKZiHBw7KkzPDaz/1dWoeGV5k&#10;4U4ZPEySZhH5L14UzPzfQKAt2HY1F0gDeeNknIOJ1cKrDGYnmMAOVuDS2d+AS36CQh7WfwGviFzZ&#10;mriCtTTW/6ntOF1bFnP+1YFZd7LgZLtLvt5sDU5ddm55IWmsX+4z/PaO978AAAD//wMAUEsDBBQA&#10;BgAIAAAAIQCmVnIi4QAAAAsBAAAPAAAAZHJzL2Rvd25yZXYueG1sTI9BT8JAEIXvJv6HzZh4gy0l&#10;IVC7JYAQjenF6kFvS3doG7qzTXeB6q93iAc9zsx7b76XLgfbijP2vnGkYDKOQCCVzjRUKXh/243m&#10;IHzQZHTrCBV8oYdldnuT6sS4C73iuQiV4BDyiVZQh9AlUvqyRqv92HVIfDu43urAY19J0+sLh9tW&#10;xlE0k1Y3xB9q3eGmxvJYnCxjxM+0o+06/xg+v1/yJ1Ns88eNUvd3w+oBRMAh/Inhis8eyJhp705k&#10;vGgVjCaLacxaBYuYS10V0Xw2BbH/3cgslf87ZD8AAAD//wMAUEsBAi0AFAAGAAgAAAAhALaDOJL+&#10;AAAA4QEAABMAAAAAAAAAAAAAAAAAAAAAAFtDb250ZW50X1R5cGVzXS54bWxQSwECLQAUAAYACAAA&#10;ACEAOP0h/9YAAACUAQAACwAAAAAAAAAAAAAAAAAvAQAAX3JlbHMvLnJlbHNQSwECLQAUAAYACAAA&#10;ACEAQVM7LNsBAAAPBAAADgAAAAAAAAAAAAAAAAAuAgAAZHJzL2Uyb0RvYy54bWxQSwECLQAUAAYA&#10;CAAAACEAplZyIuEAAAALAQAADwAAAAAAAAAAAAAAAAA1BAAAZHJzL2Rvd25yZXYueG1sUEsFBgAA&#10;AAAEAAQA8wAAAEMFAAAAAA==&#10;" strokecolor="#ff0f00 [3214]" strokeweight="4pt"/>
            </w:pict>
          </mc:Fallback>
        </mc:AlternateContent>
      </w:r>
    </w:p>
    <w:p w14:paraId="34365388" w14:textId="7B0EFEC8" w:rsidR="009A7A7E" w:rsidRDefault="009A7A7E" w:rsidP="008915DD"/>
    <w:p w14:paraId="232F5489" w14:textId="119D405A" w:rsidR="009A7A7E" w:rsidRDefault="009A7A7E" w:rsidP="008915DD"/>
    <w:p w14:paraId="253C8159" w14:textId="391BC019" w:rsidR="008915DD" w:rsidRDefault="00B812A9" w:rsidP="003F731C">
      <w:pPr>
        <w:spacing w:line="240" w:lineRule="auto"/>
        <w:rPr>
          <w:rFonts w:ascii="PermianSlabSerifTypeface" w:hAnsi="PermianSlabSerifTypeface"/>
          <w:b/>
          <w:color w:val="1B365D" w:themeColor="text2"/>
          <w:kern w:val="52"/>
          <w:sz w:val="84"/>
          <w:szCs w:val="84"/>
        </w:rPr>
      </w:pPr>
      <w:r>
        <w:rPr>
          <w:rFonts w:ascii="PermianSlabSerifTypeface" w:hAnsi="PermianSlabSerifTypeface"/>
          <w:b/>
          <w:color w:val="1B365D" w:themeColor="text2"/>
          <w:kern w:val="52"/>
          <w:sz w:val="84"/>
          <w:szCs w:val="84"/>
        </w:rPr>
        <w:t>Tuberculosis Elimination in Tennessee</w:t>
      </w:r>
    </w:p>
    <w:p w14:paraId="7BEAF47B" w14:textId="3CA3C352" w:rsidR="00B812A9" w:rsidRDefault="00B812A9" w:rsidP="00B812A9">
      <w:pPr>
        <w:spacing w:after="0" w:line="240" w:lineRule="auto"/>
        <w:rPr>
          <w:color w:val="666666" w:themeColor="accent5"/>
          <w:sz w:val="36"/>
          <w:szCs w:val="26"/>
        </w:rPr>
      </w:pPr>
      <w:r>
        <w:rPr>
          <w:color w:val="666666" w:themeColor="accent5"/>
          <w:sz w:val="36"/>
          <w:szCs w:val="26"/>
        </w:rPr>
        <w:t>Tennessee Department of Health</w:t>
      </w:r>
    </w:p>
    <w:p w14:paraId="6CFE869F" w14:textId="42EE2345" w:rsidR="00B812A9" w:rsidRDefault="00B812A9" w:rsidP="00B812A9">
      <w:pPr>
        <w:spacing w:after="0" w:line="240" w:lineRule="auto"/>
        <w:rPr>
          <w:color w:val="666666" w:themeColor="accent5"/>
          <w:sz w:val="36"/>
          <w:szCs w:val="26"/>
        </w:rPr>
      </w:pPr>
      <w:r w:rsidRPr="00B812A9">
        <w:rPr>
          <w:color w:val="666666" w:themeColor="accent5"/>
          <w:sz w:val="36"/>
          <w:szCs w:val="26"/>
        </w:rPr>
        <w:t>Tubercu</w:t>
      </w:r>
      <w:r>
        <w:rPr>
          <w:color w:val="666666" w:themeColor="accent5"/>
          <w:sz w:val="36"/>
          <w:szCs w:val="26"/>
        </w:rPr>
        <w:t>losis Elimination Program (TTBEP)</w:t>
      </w:r>
    </w:p>
    <w:p w14:paraId="44CBD7B9" w14:textId="34B4B590" w:rsidR="00B812A9" w:rsidRDefault="00B812A9" w:rsidP="00B812A9">
      <w:pPr>
        <w:spacing w:after="0" w:line="240" w:lineRule="auto"/>
        <w:rPr>
          <w:color w:val="666666" w:themeColor="accent5"/>
          <w:sz w:val="36"/>
          <w:szCs w:val="26"/>
        </w:rPr>
      </w:pPr>
      <w:r>
        <w:rPr>
          <w:color w:val="666666" w:themeColor="accent5"/>
          <w:sz w:val="36"/>
          <w:szCs w:val="26"/>
        </w:rPr>
        <w:t>October 2020</w:t>
      </w:r>
    </w:p>
    <w:p w14:paraId="13A6305A" w14:textId="6999BAC5" w:rsidR="00B812A9" w:rsidRDefault="00B812A9" w:rsidP="00B812A9">
      <w:pPr>
        <w:spacing w:after="0" w:line="240" w:lineRule="auto"/>
        <w:rPr>
          <w:color w:val="666666" w:themeColor="accent5"/>
          <w:sz w:val="36"/>
          <w:szCs w:val="26"/>
        </w:rPr>
      </w:pPr>
    </w:p>
    <w:p w14:paraId="24A89AEC" w14:textId="5C39C52E" w:rsidR="00935C9E" w:rsidRPr="00E43148" w:rsidRDefault="00935C9E" w:rsidP="00B4124F">
      <w:pPr>
        <w:pStyle w:val="Subtitle"/>
        <w:spacing w:after="120"/>
        <w:rPr>
          <w:color w:val="666666" w:themeColor="accent5"/>
        </w:rPr>
      </w:pPr>
    </w:p>
    <w:p w14:paraId="734C254D" w14:textId="2F4E6881" w:rsidR="008915DD" w:rsidRPr="0076206A" w:rsidRDefault="003F731C" w:rsidP="00E43148">
      <w:pPr>
        <w:pStyle w:val="coverbyline"/>
        <w:spacing w:after="120"/>
      </w:pPr>
      <w:r w:rsidRPr="00E43148">
        <w:rPr>
          <w:noProof/>
          <w:color w:val="666666" w:themeColor="accent5"/>
        </w:rPr>
        <w:drawing>
          <wp:anchor distT="0" distB="0" distL="114300" distR="114300" simplePos="0" relativeHeight="251709440" behindDoc="0" locked="0" layoutInCell="1" allowOverlap="1" wp14:anchorId="213745D4" wp14:editId="5656C80B">
            <wp:simplePos x="0" y="0"/>
            <wp:positionH relativeFrom="column">
              <wp:posOffset>4849495</wp:posOffset>
            </wp:positionH>
            <wp:positionV relativeFrom="paragraph">
              <wp:posOffset>256540</wp:posOffset>
            </wp:positionV>
            <wp:extent cx="2654300" cy="265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starsart.eps"/>
                    <pic:cNvPicPr/>
                  </pic:nvPicPr>
                  <pic:blipFill>
                    <a:blip r:embed="rId10">
                      <a:alphaModFix amt="40000"/>
                      <a:extLst>
                        <a:ext uri="{28A0092B-C50C-407E-A947-70E740481C1C}">
                          <a14:useLocalDpi xmlns:a14="http://schemas.microsoft.com/office/drawing/2010/main" val="0"/>
                        </a:ext>
                      </a:extLst>
                    </a:blip>
                    <a:stretch>
                      <a:fillRect/>
                    </a:stretch>
                  </pic:blipFill>
                  <pic:spPr>
                    <a:xfrm>
                      <a:off x="0" y="0"/>
                      <a:ext cx="2654300" cy="2654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8915DD">
        <w:br w:type="page"/>
      </w:r>
    </w:p>
    <w:p w14:paraId="4B3FE572" w14:textId="77777777" w:rsidR="00935C9E" w:rsidRPr="00E43148" w:rsidRDefault="008915DD" w:rsidP="008915DD">
      <w:pPr>
        <w:pStyle w:val="Heading1"/>
        <w:rPr>
          <w:color w:val="666666" w:themeColor="accent5"/>
        </w:rPr>
      </w:pPr>
      <w:r w:rsidRPr="00E43148">
        <w:rPr>
          <w:color w:val="666666" w:themeColor="accent5"/>
        </w:rPr>
        <w:lastRenderedPageBreak/>
        <w:t>Executive Summary</w:t>
      </w:r>
    </w:p>
    <w:p w14:paraId="6D522499" w14:textId="6D54EF65" w:rsidR="009A7A7E" w:rsidRDefault="00AC5C51" w:rsidP="008915DD">
      <w:r>
        <w:t xml:space="preserve">Tuberculosis (TB) remains one of the top 10 causes of death.  </w:t>
      </w:r>
      <w:r w:rsidR="009C3BC7">
        <w:t xml:space="preserve">According to the World Health Organization’s Global Tuberculosis Report 2020, an estimated 10 million people were diagnosed with TB.  As estimated 1.2 million people died from TB, making it </w:t>
      </w:r>
      <w:r w:rsidR="00686660">
        <w:t>the leading cause of death from a single infectious agent</w:t>
      </w:r>
      <w:r w:rsidR="00350CD7">
        <w:rPr>
          <w:rStyle w:val="FootnoteReference"/>
        </w:rPr>
        <w:footnoteReference w:id="2"/>
      </w:r>
      <w:r w:rsidR="00350CD7">
        <w:t xml:space="preserve">.  </w:t>
      </w:r>
      <w:r w:rsidR="00686660">
        <w:t xml:space="preserve">Tuberculosis is caused by the bacterium, </w:t>
      </w:r>
      <w:r w:rsidR="00686660">
        <w:rPr>
          <w:i/>
          <w:iCs/>
        </w:rPr>
        <w:t>Mycobacterium tuberculosis</w:t>
      </w:r>
      <w:r w:rsidR="00686660">
        <w:t xml:space="preserve">, and is spread when someone with active TB expels these bacteria into the air by coughing, singing, or talking.  </w:t>
      </w:r>
      <w:r w:rsidR="001873D9">
        <w:t xml:space="preserve">Approximately two (2) billion people worldwide are estimated to </w:t>
      </w:r>
      <w:r w:rsidR="009C7D70">
        <w:t>have TB infection (TBI) (i.e., i</w:t>
      </w:r>
      <w:r w:rsidR="001873D9">
        <w:t xml:space="preserve">nfected with </w:t>
      </w:r>
      <w:r w:rsidR="001873D9">
        <w:rPr>
          <w:i/>
          <w:iCs/>
        </w:rPr>
        <w:t>Mycobacterium tuberculosis</w:t>
      </w:r>
      <w:r w:rsidR="009C7D70">
        <w:rPr>
          <w:i/>
          <w:iCs/>
        </w:rPr>
        <w:t xml:space="preserve"> </w:t>
      </w:r>
      <w:r w:rsidR="009C7D70">
        <w:t>but have not developed active TB disease</w:t>
      </w:r>
      <w:r w:rsidR="00350CD7">
        <w:t xml:space="preserve">.   </w:t>
      </w:r>
      <w:r w:rsidR="001873D9">
        <w:t xml:space="preserve">Without treatment, approximately 5-10% of those infected with </w:t>
      </w:r>
      <w:r w:rsidR="001873D9">
        <w:rPr>
          <w:i/>
          <w:iCs/>
        </w:rPr>
        <w:t>Mycobacterium tuberculosis</w:t>
      </w:r>
      <w:r w:rsidR="001873D9">
        <w:t xml:space="preserve"> </w:t>
      </w:r>
      <w:r w:rsidR="009C7D70">
        <w:t>will develop active TB in their lifetime, and progression from untreated TBI accounts for approximately 80% of TB cases in the United States</w:t>
      </w:r>
      <w:r w:rsidR="00350CD7">
        <w:rPr>
          <w:rStyle w:val="FootnoteReference"/>
        </w:rPr>
        <w:footnoteReference w:id="3"/>
      </w:r>
      <w:r w:rsidR="009C719A">
        <w:t xml:space="preserve">.  </w:t>
      </w:r>
    </w:p>
    <w:p w14:paraId="71A916FB" w14:textId="77777777" w:rsidR="00385458" w:rsidRDefault="007437F5" w:rsidP="008915DD">
      <w:r>
        <w:t xml:space="preserve">The mission of the Tennessee Tuberculosis Elimination Program (TTBEP).  Within the state, there are 12 regional TB programs that serve all 95 counties.  All regional TB programs follow standards established in the </w:t>
      </w:r>
      <w:r w:rsidR="00385458">
        <w:t xml:space="preserve">TTBEP Manual that is updated annually.  </w:t>
      </w:r>
    </w:p>
    <w:p w14:paraId="7BCDC50B" w14:textId="4ED55749" w:rsidR="009C7D70" w:rsidRDefault="009C7D70" w:rsidP="008915DD">
      <w:r>
        <w:t xml:space="preserve">In the past 50 years, the number of TB cases diagnosed in Tennessee have overall steadily declined.  From 2010-2019, the average number of new diagnoses of TB in Tennessee </w:t>
      </w:r>
      <w:r w:rsidR="00271907">
        <w:t xml:space="preserve">is 143.2.  During that same time period, there has been a net decrease in the number of persons diagnosed with active TB disease of 3.4% in Tennessee.  </w:t>
      </w:r>
      <w:r w:rsidR="0066197A">
        <w:t xml:space="preserve">In 2019, Tennessee reported 129 persons with active TB disease.  </w:t>
      </w:r>
      <w:r w:rsidR="00271907">
        <w:t xml:space="preserve"> Achieving th</w:t>
      </w:r>
      <w:r w:rsidR="00385458">
        <w:t xml:space="preserve">e </w:t>
      </w:r>
      <w:r w:rsidR="00271907">
        <w:t xml:space="preserve">mission </w:t>
      </w:r>
      <w:r w:rsidR="00385458">
        <w:t xml:space="preserve">of the TTBEP </w:t>
      </w:r>
      <w:r w:rsidR="00271907">
        <w:t xml:space="preserve">is predicated on the implementation of three (3) priority strategies </w:t>
      </w:r>
      <w:r w:rsidR="000E60EA">
        <w:t xml:space="preserve">for controlling and preventing TB as recommended by the </w:t>
      </w:r>
      <w:r w:rsidR="00350CD7">
        <w:t>N</w:t>
      </w:r>
      <w:r w:rsidR="000E60EA">
        <w:t>ational Advisory Council for the Elimination of Tuberculosis (ACET)</w:t>
      </w:r>
      <w:r w:rsidR="003D65AE" w:rsidRPr="003D65AE">
        <w:rPr>
          <w:vertAlign w:val="superscript"/>
        </w:rPr>
        <w:t>2</w:t>
      </w:r>
      <w:r w:rsidR="000E60EA">
        <w:t>:</w:t>
      </w:r>
    </w:p>
    <w:p w14:paraId="67B04AB0" w14:textId="430F25E7" w:rsidR="000E60EA" w:rsidRDefault="009346A8" w:rsidP="000E60EA">
      <w:pPr>
        <w:pStyle w:val="ListParagraph"/>
        <w:numPr>
          <w:ilvl w:val="0"/>
          <w:numId w:val="3"/>
        </w:numPr>
      </w:pPr>
      <w:r>
        <w:t>Identification of and completion of treatment for persons with active TB disease to render their condition noninfectious</w:t>
      </w:r>
    </w:p>
    <w:p w14:paraId="498793EF" w14:textId="1F981076" w:rsidR="000E60EA" w:rsidRDefault="009346A8" w:rsidP="000E60EA">
      <w:pPr>
        <w:pStyle w:val="ListParagraph"/>
        <w:numPr>
          <w:ilvl w:val="0"/>
          <w:numId w:val="3"/>
        </w:numPr>
      </w:pPr>
      <w:r>
        <w:t xml:space="preserve">Finding and screening persons who have had contact with persons with active TB disease to determine: whether they have active TB themselves; whether they have been infected with </w:t>
      </w:r>
      <w:r>
        <w:rPr>
          <w:i/>
          <w:iCs/>
        </w:rPr>
        <w:t>Mycobacterium tuberculosis</w:t>
      </w:r>
      <w:r>
        <w:t xml:space="preserve">; or for children </w:t>
      </w:r>
      <w:r w:rsidR="002E0E38">
        <w:t xml:space="preserve">and other persons at high risk, </w:t>
      </w:r>
      <w:r w:rsidR="002E0E38">
        <w:lastRenderedPageBreak/>
        <w:t>whether they require window prophylaxis (preventive treatment of presumed TB infection during the time that it would normally would take for a tuberculin skin test [TST] or interferon gamma release assay [IGRA] to become positive after exposure) and whether to administer treatment</w:t>
      </w:r>
    </w:p>
    <w:p w14:paraId="5092033A" w14:textId="6EEAFB91" w:rsidR="00350CD7" w:rsidRDefault="002E0E38" w:rsidP="001A1F5A">
      <w:pPr>
        <w:pStyle w:val="ListParagraph"/>
        <w:numPr>
          <w:ilvl w:val="0"/>
          <w:numId w:val="3"/>
        </w:numPr>
      </w:pPr>
      <w:r>
        <w:t>Screening, testing, and treatment of other selected persons and populations at high risk for TB infection (TBI) and subsequent active TB disease to detect persons who can most benefit from treatment for TBI, which is essential for TB elimination because of new immunosuppressive drugs and therapies used for different illnesses, immigration from areas where TB is endemic, and diminished knowledge and reduced recognition of TB by clinicians as a result of decreased incidence</w:t>
      </w:r>
      <w:r w:rsidR="00350CD7">
        <w:rPr>
          <w:rStyle w:val="FootnoteReference"/>
        </w:rPr>
        <w:footnoteReference w:id="4"/>
      </w:r>
      <w:r w:rsidR="00350CD7">
        <w:t xml:space="preserve">.  </w:t>
      </w:r>
    </w:p>
    <w:p w14:paraId="2C6DDBB2" w14:textId="6D7CB13E" w:rsidR="00A13190" w:rsidRDefault="0066197A" w:rsidP="00350CD7">
      <w:pPr>
        <w:ind w:left="360"/>
      </w:pPr>
      <w:r>
        <w:t xml:space="preserve">The definition of TB elimination is 1.0 persons with active TB per one (1) million population.  </w:t>
      </w:r>
      <w:r w:rsidRPr="002247EB">
        <w:t xml:space="preserve">In 2019, </w:t>
      </w:r>
      <w:r w:rsidR="002247EB">
        <w:t>the TB case rate in Tennessee was 19.1 per one (1) million population</w:t>
      </w:r>
      <w:r>
        <w:t xml:space="preserve">.  </w:t>
      </w:r>
      <w:r w:rsidR="007437F5">
        <w:t>Also,</w:t>
      </w:r>
      <w:r w:rsidR="002247EB">
        <w:t xml:space="preserve"> in 2019, 35 of Tennessee’s 95 counties (</w:t>
      </w:r>
      <w:r w:rsidR="007437F5">
        <w:t xml:space="preserve">36.8%) had ≥1 resident diagnosed with active TB.  Case rates in those counties ranged from 6.3 to 152.7 per one (1) million population.  </w:t>
      </w:r>
      <w:r>
        <w:t>The TTBEP utilizes recent advances in testing</w:t>
      </w:r>
      <w:r w:rsidR="005B05E4">
        <w:t xml:space="preserve"> and treatment</w:t>
      </w:r>
      <w:r>
        <w:t xml:space="preserve"> such as</w:t>
      </w:r>
      <w:r w:rsidR="005B05E4">
        <w:t xml:space="preserve">: </w:t>
      </w:r>
      <w:r>
        <w:t xml:space="preserve"> QuantiFERON</w:t>
      </w:r>
      <w:r w:rsidRPr="00350CD7">
        <w:rPr>
          <w:vertAlign w:val="superscript"/>
        </w:rPr>
        <w:t>®</w:t>
      </w:r>
      <w:r>
        <w:t xml:space="preserve">-TB Gold blood assay for the detection of </w:t>
      </w:r>
      <w:r w:rsidRPr="00350CD7">
        <w:rPr>
          <w:i/>
          <w:iCs/>
        </w:rPr>
        <w:t>Mycobacterium tuberculosis</w:t>
      </w:r>
      <w:r>
        <w:t xml:space="preserve"> infection</w:t>
      </w:r>
      <w:r w:rsidR="005B05E4">
        <w:t xml:space="preserve">; </w:t>
      </w:r>
      <w:r>
        <w:t>Cepheid</w:t>
      </w:r>
      <w:r w:rsidRPr="00350CD7">
        <w:rPr>
          <w:vertAlign w:val="subscript"/>
        </w:rPr>
        <w:t xml:space="preserve"> </w:t>
      </w:r>
      <w:r>
        <w:t>GeneXpert</w:t>
      </w:r>
      <w:r w:rsidRPr="00350CD7">
        <w:rPr>
          <w:vertAlign w:val="superscript"/>
        </w:rPr>
        <w:t>®</w:t>
      </w:r>
      <w:r>
        <w:t xml:space="preserve"> nucleic acid amplification test (NAAT) for the rapid confirmation of active TB diagnosis</w:t>
      </w:r>
      <w:r w:rsidR="009C719A">
        <w:t xml:space="preserve"> and rifampin resistance</w:t>
      </w:r>
      <w:r w:rsidR="005B05E4">
        <w:t xml:space="preserve">; </w:t>
      </w:r>
      <w:r w:rsidR="00C10603">
        <w:t xml:space="preserve">utilization of electronic directly observed therapy (eDOT); </w:t>
      </w:r>
      <w:r w:rsidR="005B05E4">
        <w:t xml:space="preserve">and the 12-week </w:t>
      </w:r>
      <w:r w:rsidR="00A47133">
        <w:t>treatment course of Isoniazid and Rifapentine for TB infection</w:t>
      </w:r>
      <w:r>
        <w:t xml:space="preserve">.  </w:t>
      </w:r>
      <w:r w:rsidR="008B0DF6">
        <w:t xml:space="preserve">These advances in technology </w:t>
      </w:r>
      <w:r w:rsidR="009C719A">
        <w:t>have</w:t>
      </w:r>
      <w:r w:rsidR="008B0DF6">
        <w:t xml:space="preserve"> assisted with diagnosing both TB infection and active TB disease; however, factors </w:t>
      </w:r>
      <w:r w:rsidR="009C719A">
        <w:t>such as</w:t>
      </w:r>
      <w:r w:rsidR="008803B9">
        <w:t xml:space="preserve"> co-morbid conditions, access to healthcare, and other risk factors that increase progression to active TB disease if infected, present challenges to eliminating TB statewide.  </w:t>
      </w:r>
    </w:p>
    <w:p w14:paraId="524A83F7" w14:textId="421B264A" w:rsidR="008803B9" w:rsidRDefault="008803B9" w:rsidP="00A13190">
      <w:r>
        <w:t xml:space="preserve">This report will focus on the three (3) priority strategies for controlling and preventing TB mentioned above.  Goals and activities for each of the three (3) strategies are based on current TB epidemiology in Tennessee; the Centers for Disease Control and Prevention (CDC) Division </w:t>
      </w:r>
      <w:r>
        <w:lastRenderedPageBreak/>
        <w:t>of Tuberculosis Elimination (DTBE)’s National TB Indicators Project (NTIP); and the Healthy People 2030 objective for TB.</w:t>
      </w:r>
    </w:p>
    <w:p w14:paraId="3230B740" w14:textId="471D03EE" w:rsidR="00DD6D63" w:rsidRDefault="003D65AE" w:rsidP="003D65AE">
      <w:pPr>
        <w:pStyle w:val="Heading1"/>
        <w:rPr>
          <w:color w:val="666666" w:themeColor="accent5"/>
        </w:rPr>
      </w:pPr>
      <w:r>
        <w:rPr>
          <w:color w:val="666666" w:themeColor="accent5"/>
        </w:rPr>
        <w:t>Essential Components of a Public Health Tuberculosis Prevention, Control, and Elimination Program</w:t>
      </w:r>
    </w:p>
    <w:p w14:paraId="791383BA" w14:textId="52A7079C" w:rsidR="003D65AE" w:rsidRDefault="003D65AE" w:rsidP="003D65AE">
      <w:pPr>
        <w:spacing w:after="60"/>
      </w:pPr>
      <w:r>
        <w:t>The following are the 12 essential components of a TB prevention, control, and elimination program:</w:t>
      </w:r>
    </w:p>
    <w:p w14:paraId="6CDBDE89" w14:textId="4A77B8A2" w:rsidR="003D65AE" w:rsidRDefault="003D65AE" w:rsidP="003D65AE">
      <w:pPr>
        <w:pStyle w:val="ListParagraph"/>
        <w:numPr>
          <w:ilvl w:val="0"/>
          <w:numId w:val="23"/>
        </w:numPr>
        <w:spacing w:after="60"/>
      </w:pPr>
      <w:r>
        <w:t>Role of public health departments</w:t>
      </w:r>
    </w:p>
    <w:p w14:paraId="6DF2EC2D" w14:textId="48802741" w:rsidR="003D65AE" w:rsidRDefault="003D65AE" w:rsidP="003D65AE">
      <w:pPr>
        <w:pStyle w:val="ListParagraph"/>
        <w:numPr>
          <w:ilvl w:val="0"/>
          <w:numId w:val="23"/>
        </w:numPr>
        <w:spacing w:after="60"/>
      </w:pPr>
      <w:r>
        <w:t>Overall planning and policy components</w:t>
      </w:r>
    </w:p>
    <w:p w14:paraId="776ED09C" w14:textId="47F769F2" w:rsidR="003D65AE" w:rsidRDefault="003D65AE" w:rsidP="003D65AE">
      <w:pPr>
        <w:pStyle w:val="ListParagraph"/>
        <w:numPr>
          <w:ilvl w:val="0"/>
          <w:numId w:val="23"/>
        </w:numPr>
        <w:spacing w:after="60"/>
      </w:pPr>
      <w:r>
        <w:t>Surveillance and reporting of persons with suspected or confirmed TB disease</w:t>
      </w:r>
    </w:p>
    <w:p w14:paraId="79A83856" w14:textId="7C1F2680" w:rsidR="003D65AE" w:rsidRDefault="003D65AE" w:rsidP="003D65AE">
      <w:pPr>
        <w:pStyle w:val="ListParagraph"/>
        <w:numPr>
          <w:ilvl w:val="0"/>
          <w:numId w:val="23"/>
        </w:numPr>
        <w:spacing w:after="60"/>
      </w:pPr>
      <w:r>
        <w:t>Data management, analysis, and use</w:t>
      </w:r>
    </w:p>
    <w:p w14:paraId="5215095D" w14:textId="009CEAA8" w:rsidR="003D65AE" w:rsidRDefault="003D65AE" w:rsidP="003D65AE">
      <w:pPr>
        <w:pStyle w:val="ListParagraph"/>
        <w:numPr>
          <w:ilvl w:val="0"/>
          <w:numId w:val="23"/>
        </w:numPr>
        <w:spacing w:after="60"/>
      </w:pPr>
      <w:r>
        <w:t>Program evaluation and quality improvement</w:t>
      </w:r>
    </w:p>
    <w:p w14:paraId="1EE2D2A0" w14:textId="77098696" w:rsidR="003D65AE" w:rsidRDefault="003D65AE" w:rsidP="003D65AE">
      <w:pPr>
        <w:pStyle w:val="ListParagraph"/>
        <w:numPr>
          <w:ilvl w:val="0"/>
          <w:numId w:val="23"/>
        </w:numPr>
        <w:spacing w:after="60"/>
      </w:pPr>
      <w:r>
        <w:t>Laboratory and other testing</w:t>
      </w:r>
    </w:p>
    <w:p w14:paraId="437D1CDB" w14:textId="3B4C3FE0" w:rsidR="003D65AE" w:rsidRDefault="003D65AE" w:rsidP="003D65AE">
      <w:pPr>
        <w:pStyle w:val="ListParagraph"/>
        <w:numPr>
          <w:ilvl w:val="0"/>
          <w:numId w:val="23"/>
        </w:numPr>
        <w:spacing w:after="60"/>
      </w:pPr>
      <w:r>
        <w:t>Identification, management, and treatment of persons with latent TB infection</w:t>
      </w:r>
    </w:p>
    <w:p w14:paraId="2CB44B21" w14:textId="0651D1F5" w:rsidR="003D65AE" w:rsidRDefault="003D65AE" w:rsidP="003D65AE">
      <w:pPr>
        <w:pStyle w:val="ListParagraph"/>
        <w:numPr>
          <w:ilvl w:val="0"/>
          <w:numId w:val="23"/>
        </w:numPr>
        <w:spacing w:after="60"/>
      </w:pPr>
      <w:r>
        <w:t>Identification, management, and treatment of persons with TB disease</w:t>
      </w:r>
    </w:p>
    <w:p w14:paraId="0BF04DE4" w14:textId="70C1A316" w:rsidR="003D65AE" w:rsidRDefault="003D65AE" w:rsidP="003D65AE">
      <w:pPr>
        <w:pStyle w:val="ListParagraph"/>
        <w:numPr>
          <w:ilvl w:val="0"/>
          <w:numId w:val="23"/>
        </w:numPr>
        <w:spacing w:after="60"/>
      </w:pPr>
      <w:r>
        <w:t>Epidemiologic investigation</w:t>
      </w:r>
    </w:p>
    <w:p w14:paraId="4F9A65D2" w14:textId="1C912E5A" w:rsidR="003D65AE" w:rsidRDefault="003D65AE" w:rsidP="003D65AE">
      <w:pPr>
        <w:pStyle w:val="ListParagraph"/>
        <w:numPr>
          <w:ilvl w:val="0"/>
          <w:numId w:val="23"/>
        </w:numPr>
        <w:spacing w:after="60"/>
      </w:pPr>
      <w:r>
        <w:t>Training and education</w:t>
      </w:r>
    </w:p>
    <w:p w14:paraId="08ABEAF8" w14:textId="4CE9881E" w:rsidR="003D65AE" w:rsidRDefault="003D65AE" w:rsidP="003D65AE">
      <w:pPr>
        <w:pStyle w:val="ListParagraph"/>
        <w:numPr>
          <w:ilvl w:val="0"/>
          <w:numId w:val="23"/>
        </w:numPr>
        <w:spacing w:after="60"/>
      </w:pPr>
      <w:r>
        <w:t>Partnerships and collaboration</w:t>
      </w:r>
    </w:p>
    <w:p w14:paraId="3617C1B6" w14:textId="6BE5F3B6" w:rsidR="003D65AE" w:rsidRDefault="003D65AE" w:rsidP="003D65AE">
      <w:pPr>
        <w:pStyle w:val="ListParagraph"/>
        <w:numPr>
          <w:ilvl w:val="0"/>
          <w:numId w:val="23"/>
        </w:numPr>
        <w:spacing w:after="60"/>
      </w:pPr>
      <w:r>
        <w:t>Research</w:t>
      </w:r>
    </w:p>
    <w:p w14:paraId="6FC38BAB" w14:textId="77777777" w:rsidR="003D65AE" w:rsidRDefault="003D65AE" w:rsidP="003D65AE">
      <w:pPr>
        <w:pStyle w:val="ListParagraph"/>
        <w:spacing w:after="60"/>
      </w:pPr>
    </w:p>
    <w:p w14:paraId="07198B12" w14:textId="71459C9F" w:rsidR="0004755A" w:rsidRDefault="00B13133" w:rsidP="008915DD">
      <w:pPr>
        <w:pStyle w:val="Heading1"/>
        <w:rPr>
          <w:color w:val="666666" w:themeColor="accent5"/>
        </w:rPr>
      </w:pPr>
      <w:r>
        <w:rPr>
          <w:noProof/>
        </w:rPr>
        <mc:AlternateContent>
          <mc:Choice Requires="wps">
            <w:drawing>
              <wp:anchor distT="0" distB="0" distL="274320" distR="114300" simplePos="0" relativeHeight="251717632" behindDoc="0" locked="0" layoutInCell="1" allowOverlap="1" wp14:anchorId="26AA0A5A" wp14:editId="4EA9E746">
                <wp:simplePos x="0" y="0"/>
                <wp:positionH relativeFrom="column">
                  <wp:posOffset>4925695</wp:posOffset>
                </wp:positionH>
                <wp:positionV relativeFrom="paragraph">
                  <wp:posOffset>9525</wp:posOffset>
                </wp:positionV>
                <wp:extent cx="1435100" cy="1499235"/>
                <wp:effectExtent l="0" t="0" r="0" b="5715"/>
                <wp:wrapSquare wrapText="bothSides"/>
                <wp:docPr id="19" name="Text Box 19"/>
                <wp:cNvGraphicFramePr/>
                <a:graphic xmlns:a="http://schemas.openxmlformats.org/drawingml/2006/main">
                  <a:graphicData uri="http://schemas.microsoft.com/office/word/2010/wordprocessingShape">
                    <wps:wsp>
                      <wps:cNvSpPr txBox="1"/>
                      <wps:spPr>
                        <a:xfrm>
                          <a:off x="0" y="0"/>
                          <a:ext cx="1435100" cy="1499235"/>
                        </a:xfrm>
                        <a:prstGeom prst="rect">
                          <a:avLst/>
                        </a:prstGeom>
                        <a:solidFill>
                          <a:sysClr val="window" lastClr="FFFFFF"/>
                        </a:solidFill>
                        <a:ln w="6350">
                          <a:noFill/>
                        </a:ln>
                        <a:effectLst/>
                      </wps:spPr>
                      <wps:txbx>
                        <w:txbxContent>
                          <w:p w14:paraId="006A9E82" w14:textId="1D08F4E0" w:rsidR="0004755A" w:rsidRPr="00484D34" w:rsidRDefault="00BB24EE" w:rsidP="0004755A">
                            <w:pPr>
                              <w:pStyle w:val="PullQuote0"/>
                            </w:pPr>
                            <w:r>
                              <w:t xml:space="preserve">Between 2010-2019, Tennessee reported </w:t>
                            </w:r>
                            <w:r w:rsidR="002F3E17">
                              <w:t>1,454</w:t>
                            </w:r>
                            <w:r>
                              <w:t xml:space="preserve"> active cases of TB.</w:t>
                            </w:r>
                            <w:r w:rsidR="0004755A">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A0A5A" id="_x0000_t202" coordsize="21600,21600" o:spt="202" path="m,l,21600r21600,l21600,xe">
                <v:stroke joinstyle="miter"/>
                <v:path gradientshapeok="t" o:connecttype="rect"/>
              </v:shapetype>
              <v:shape id="Text Box 19" o:spid="_x0000_s1026" type="#_x0000_t202" style="position:absolute;margin-left:387.85pt;margin-top:.75pt;width:113pt;height:118.05pt;z-index:251717632;visibility:visible;mso-wrap-style:square;mso-width-percent:0;mso-height-percent:0;mso-wrap-distance-left:21.6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nUQIAAJsEAAAOAAAAZHJzL2Uyb0RvYy54bWysVMtu2zAQvBfoPxC8N/IzjQ3LgZvARYEg&#10;CRAXOdMUZQuguCxJW3K/vkNKTtK0p6I+0PviLnd2VovrttbsqJyvyOR8eDHgTBlJRWV2Of++WX+6&#10;4swHYQqhyaicn5Tn18uPHxaNnasR7UkXyjEkMX7e2JzvQ7DzLPNyr2rhL8gqA2dJrhYBqttlhRMN&#10;stc6Gw0Gl1lDrrCOpPIe1tvOyZcpf1kqGR7K0qvAdM7xtpBOl85tPLPlQsx3Tth9JftniH94RS0q&#10;g6IvqW5FEOzgqj9S1ZV05KkMF5LqjMqykir1gG6Gg3fdPO2FVakXgOPtC0z+/6WV98dHx6oCs5tx&#10;ZkSNGW1UG9gXahlMwKexfo6wJ4vA0MKO2LPdwxjbbktXx380xOAH0qcXdGM2GS9NxtPhAC4J33Ay&#10;m43G05gne71unQ9fFdUsCjl3GF9CVRzvfOhCzyGxmiddFetK66Sc/I127CgwaRCkoIYzLXyAMefr&#10;9Our/XZNG9bk/HI8HaRKhmK+rpQ2Ma9KLOrrRyy6nqMU2m3bA7Sl4gR8HHUM81auK/Rwhwc8CgdK&#10;oW+sSXjAUWpCSeolzvbkfv7NHuMxaXg5a0DRnPsfB+EU+vpmwIHZcDKJnE7KZPp5BMW99Wzfesyh&#10;viFgM8RCWpnEGB/0WSwd1c/YplWsCpcwErVzvj2LN6FbHGyjVKtVCgKLrQh35snKmDoCFie0aZ+F&#10;s/0YAxhwT2cyi/m7aXax8aah1SFQWaVRR4A7VEGRqGADEln6bY0r9lZPUa/flOUvAAAA//8DAFBL&#10;AwQUAAYACAAAACEAgA5gTeAAAAAKAQAADwAAAGRycy9kb3ducmV2LnhtbEyPwU7DMAyG70i8Q2Qk&#10;bizZ0NZSmk5oUhES4rCBNnFzm9CWJU7VZGt5e7ITHO3v1+/P+Xqyhp314DtHEuYzAUxT7VRHjYSP&#10;9/IuBeYDkkLjSEv40R7WxfVVjplyI231eRcaFkvIZyihDaHPOPd1qy36mes1RfblBoshjkPD1YBj&#10;LLeGL4RYcYsdxQst9nrT6vq4O1kJz0n69kDj6+aYElb78lB+f74YKW9vpqdHYEFP4S8MF/2oDkV0&#10;qtyJlGdGQpIskxiNYAnswoWYx0UlYXGfrIAXOf//QvELAAD//wMAUEsBAi0AFAAGAAgAAAAhALaD&#10;OJL+AAAA4QEAABMAAAAAAAAAAAAAAAAAAAAAAFtDb250ZW50X1R5cGVzXS54bWxQSwECLQAUAAYA&#10;CAAAACEAOP0h/9YAAACUAQAACwAAAAAAAAAAAAAAAAAvAQAAX3JlbHMvLnJlbHNQSwECLQAUAAYA&#10;CAAAACEAe/wxZ1ECAACbBAAADgAAAAAAAAAAAAAAAAAuAgAAZHJzL2Uyb0RvYy54bWxQSwECLQAU&#10;AAYACAAAACEAgA5gTeAAAAAKAQAADwAAAAAAAAAAAAAAAACrBAAAZHJzL2Rvd25yZXYueG1sUEsF&#10;BgAAAAAEAAQA8wAAALgFAAAAAA==&#10;" fillcolor="window" stroked="f" strokeweight=".5pt">
                <v:textbox>
                  <w:txbxContent>
                    <w:p w14:paraId="006A9E82" w14:textId="1D08F4E0" w:rsidR="0004755A" w:rsidRPr="00484D34" w:rsidRDefault="00BB24EE" w:rsidP="0004755A">
                      <w:pPr>
                        <w:pStyle w:val="PullQuote0"/>
                      </w:pPr>
                      <w:r>
                        <w:t xml:space="preserve">Between 2010-2019, Tennessee reported </w:t>
                      </w:r>
                      <w:r w:rsidR="002F3E17">
                        <w:t>1,454</w:t>
                      </w:r>
                      <w:r>
                        <w:t xml:space="preserve"> active cases of TB.</w:t>
                      </w:r>
                      <w:r w:rsidR="0004755A">
                        <w:t xml:space="preserve"> </w:t>
                      </w:r>
                    </w:p>
                  </w:txbxContent>
                </v:textbox>
                <w10:wrap type="square"/>
              </v:shape>
            </w:pict>
          </mc:Fallback>
        </mc:AlternateContent>
      </w:r>
      <w:r w:rsidR="0004755A">
        <w:rPr>
          <w:color w:val="666666" w:themeColor="accent5"/>
        </w:rPr>
        <w:t>Overview of Data</w:t>
      </w:r>
    </w:p>
    <w:p w14:paraId="304B4BCF" w14:textId="45244C1A" w:rsidR="00F15488" w:rsidRDefault="004A2BFC" w:rsidP="0004755A">
      <w:pPr>
        <w:pStyle w:val="Heading2"/>
        <w:rPr>
          <w:b w:val="0"/>
          <w:bCs w:val="0"/>
          <w:i w:val="0"/>
          <w:iCs/>
          <w:sz w:val="21"/>
        </w:rPr>
      </w:pPr>
      <w:r>
        <w:rPr>
          <w:b w:val="0"/>
          <w:bCs w:val="0"/>
          <w:i w:val="0"/>
          <w:iCs/>
          <w:sz w:val="21"/>
        </w:rPr>
        <w:t>The data cohort used for this plan are persons with confirmed TB disease counted towards Tennessee’s morbidity count for MMWR years 2010-2019.</w:t>
      </w:r>
    </w:p>
    <w:p w14:paraId="1C885C09" w14:textId="77777777" w:rsidR="00080476" w:rsidRPr="00080476" w:rsidRDefault="00080476" w:rsidP="00080476"/>
    <w:p w14:paraId="47F2E0C2" w14:textId="24B24D62" w:rsidR="00385458" w:rsidRDefault="00385458" w:rsidP="0004755A">
      <w:pPr>
        <w:pStyle w:val="Heading2"/>
      </w:pPr>
      <w:r>
        <w:t>TB Incidence</w:t>
      </w:r>
    </w:p>
    <w:p w14:paraId="674F5C00" w14:textId="463DD871" w:rsidR="00385458" w:rsidRDefault="00385458" w:rsidP="00385458">
      <w:r>
        <w:rPr>
          <w:b/>
          <w:bCs w:val="0"/>
        </w:rPr>
        <w:t>Figure X</w:t>
      </w:r>
      <w:r>
        <w:t xml:space="preserve"> shows the TB incidence in Tennessee per one (1) million populations for years 2010 – 2019.</w:t>
      </w:r>
    </w:p>
    <w:p w14:paraId="4DA53C65" w14:textId="53180273" w:rsidR="00385458" w:rsidRPr="00385458" w:rsidRDefault="00385458" w:rsidP="00385458">
      <w:r>
        <w:rPr>
          <w:noProof/>
        </w:rPr>
        <w:lastRenderedPageBreak/>
        <w:drawing>
          <wp:inline distT="0" distB="0" distL="0" distR="0" wp14:anchorId="5B22D3E3" wp14:editId="44AC5442">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4F84E5" w14:textId="41D5F3B3" w:rsidR="0004755A" w:rsidRDefault="00DD6D63" w:rsidP="0004755A">
      <w:pPr>
        <w:pStyle w:val="Heading2"/>
      </w:pPr>
      <w:r>
        <w:t>Demographics</w:t>
      </w:r>
    </w:p>
    <w:p w14:paraId="3803474F" w14:textId="1CAD0E40" w:rsidR="004B1840" w:rsidRDefault="004B1840" w:rsidP="004B1840">
      <w:pPr>
        <w:spacing w:after="120" w:line="240" w:lineRule="auto"/>
        <w:rPr>
          <w:i/>
          <w:iCs/>
          <w:sz w:val="24"/>
          <w:szCs w:val="24"/>
          <w:u w:val="single"/>
        </w:rPr>
      </w:pPr>
      <w:r>
        <w:rPr>
          <w:i/>
          <w:iCs/>
          <w:sz w:val="24"/>
          <w:szCs w:val="24"/>
          <w:u w:val="single"/>
        </w:rPr>
        <w:t>Age</w:t>
      </w:r>
    </w:p>
    <w:p w14:paraId="36085B8E" w14:textId="2F57F076" w:rsidR="0011731D" w:rsidRPr="00C72BBF" w:rsidRDefault="0011731D" w:rsidP="004B1840">
      <w:pPr>
        <w:spacing w:after="120" w:line="240" w:lineRule="auto"/>
      </w:pPr>
      <w:r>
        <w:t xml:space="preserve">The average age of persons diagnosed with TB in Tennessee </w:t>
      </w:r>
      <w:r w:rsidR="00EA5F82">
        <w:t xml:space="preserve">between 2010 – 2019 </w:t>
      </w:r>
      <w:r>
        <w:t xml:space="preserve">has overall remained steady between 44 years and 50 years.  </w:t>
      </w:r>
      <w:r w:rsidR="00C72BBF">
        <w:rPr>
          <w:b/>
          <w:bCs w:val="0"/>
        </w:rPr>
        <w:t>Figure X</w:t>
      </w:r>
      <w:r w:rsidR="00C72BBF">
        <w:t xml:space="preserve"> shows the ages of the TB patients counted between 2010 – 2019 by age category.  </w:t>
      </w:r>
      <w:r w:rsidR="0062412A">
        <w:t xml:space="preserve">On average, approximately 4.4% of patients </w:t>
      </w:r>
      <w:r w:rsidR="00227736">
        <w:t xml:space="preserve">diagnosed with TB in Tennessee are &lt;5 years of age and 2.9% are between the ages of 5 and 15 years.  </w:t>
      </w:r>
    </w:p>
    <w:p w14:paraId="5D0A59DC" w14:textId="15397ED4" w:rsidR="00DD44F5" w:rsidRPr="00DD44F5" w:rsidRDefault="00DD44F5" w:rsidP="004B1840">
      <w:pPr>
        <w:spacing w:after="120" w:line="240" w:lineRule="auto"/>
        <w:rPr>
          <w:b/>
          <w:bCs w:val="0"/>
        </w:rPr>
      </w:pPr>
      <w:r>
        <w:rPr>
          <w:b/>
          <w:bCs w:val="0"/>
        </w:rPr>
        <w:t xml:space="preserve">Figure </w:t>
      </w:r>
      <w:r w:rsidR="00D37211">
        <w:rPr>
          <w:b/>
          <w:bCs w:val="0"/>
        </w:rPr>
        <w:t>X</w:t>
      </w:r>
    </w:p>
    <w:p w14:paraId="13C72EED" w14:textId="1971B78E" w:rsidR="004B1840" w:rsidRPr="004B1840" w:rsidRDefault="003507FB" w:rsidP="004B1840">
      <w:pPr>
        <w:spacing w:after="120" w:line="240" w:lineRule="auto"/>
        <w:rPr>
          <w:sz w:val="24"/>
          <w:szCs w:val="24"/>
        </w:rPr>
      </w:pPr>
      <w:r>
        <w:rPr>
          <w:noProof/>
          <w:sz w:val="24"/>
          <w:szCs w:val="24"/>
        </w:rPr>
        <w:lastRenderedPageBreak/>
        <w:drawing>
          <wp:inline distT="0" distB="0" distL="0" distR="0" wp14:anchorId="3A9B75C3" wp14:editId="38F0B093">
            <wp:extent cx="6181725"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7FC410F" w14:textId="1DFC7580" w:rsidR="004B1840" w:rsidRDefault="00E451D5" w:rsidP="004B1840">
      <w:pPr>
        <w:spacing w:after="120" w:line="240" w:lineRule="auto"/>
        <w:rPr>
          <w:i/>
          <w:iCs/>
          <w:sz w:val="24"/>
          <w:szCs w:val="24"/>
          <w:u w:val="single"/>
        </w:rPr>
      </w:pPr>
      <w:r>
        <w:rPr>
          <w:noProof/>
        </w:rPr>
        <mc:AlternateContent>
          <mc:Choice Requires="wps">
            <w:drawing>
              <wp:anchor distT="0" distB="0" distL="274320" distR="114300" simplePos="0" relativeHeight="251723776" behindDoc="0" locked="0" layoutInCell="1" allowOverlap="1" wp14:anchorId="4A28CCB5" wp14:editId="16E78FFA">
                <wp:simplePos x="0" y="0"/>
                <wp:positionH relativeFrom="column">
                  <wp:posOffset>4638040</wp:posOffset>
                </wp:positionH>
                <wp:positionV relativeFrom="paragraph">
                  <wp:posOffset>114300</wp:posOffset>
                </wp:positionV>
                <wp:extent cx="1673225" cy="1809750"/>
                <wp:effectExtent l="0" t="0" r="3175" b="0"/>
                <wp:wrapSquare wrapText="bothSides"/>
                <wp:docPr id="10" name="Text Box 10"/>
                <wp:cNvGraphicFramePr/>
                <a:graphic xmlns:a="http://schemas.openxmlformats.org/drawingml/2006/main">
                  <a:graphicData uri="http://schemas.microsoft.com/office/word/2010/wordprocessingShape">
                    <wps:wsp>
                      <wps:cNvSpPr txBox="1"/>
                      <wps:spPr>
                        <a:xfrm>
                          <a:off x="0" y="0"/>
                          <a:ext cx="1673225" cy="1809750"/>
                        </a:xfrm>
                        <a:prstGeom prst="rect">
                          <a:avLst/>
                        </a:prstGeom>
                        <a:solidFill>
                          <a:sysClr val="window" lastClr="FFFFFF"/>
                        </a:solidFill>
                        <a:ln w="6350">
                          <a:noFill/>
                        </a:ln>
                        <a:effectLst/>
                      </wps:spPr>
                      <wps:txbx>
                        <w:txbxContent>
                          <w:p w14:paraId="6C3060FA" w14:textId="0BE17BA5" w:rsidR="00E451D5" w:rsidRPr="00484D34" w:rsidRDefault="008E6673" w:rsidP="00E451D5">
                            <w:pPr>
                              <w:pStyle w:val="PullQuote0"/>
                            </w:pPr>
                            <w:r>
                              <w:t xml:space="preserve">TB disproportionately </w:t>
                            </w:r>
                            <w:r w:rsidR="00FE6A75">
                              <w:t xml:space="preserve">affects </w:t>
                            </w:r>
                            <w:r>
                              <w:t>minority groups in Tennessee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8CCB5" id="Text Box 10" o:spid="_x0000_s1027" type="#_x0000_t202" style="position:absolute;margin-left:365.2pt;margin-top:9pt;width:131.75pt;height:142.5pt;z-index:251723776;visibility:visible;mso-wrap-style:square;mso-width-percent:0;mso-height-percent:0;mso-wrap-distance-left:21.6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vFVAIAAKIEAAAOAAAAZHJzL2Uyb0RvYy54bWysVE1vGjEQvVfqf7B8bxYI+UIsESWiqoSS&#10;SKTK2Xi9sJLX49qGXfrr++wFQtKeqnIwng+/mXkzs+P7ttZsp5yvyOS8f9HjTBlJRWXWOf/xMv9y&#10;y5kPwhRCk1E53yvP7yefP40bO1ID2pAulGMAMX7U2JxvQrCjLPNyo2rhL8gqA2NJrhYBoltnhRMN&#10;0GudDXq966whV1hHUnkP7UNn5JOEX5ZKhqey9CownXPkFtLp0rmKZzYZi9HaCbup5CEN8Q9Z1KIy&#10;CHqCehBBsK2r/oCqK+nIUxkuJNUZlWUlVaoB1fR7H6pZboRVqRaQ4+2JJv//YOXj7tmxqkDvQI8R&#10;NXr0otrAvlLLoAI/jfUjuC0tHEMLPXyPeg9lLLstXR3/URCDHVD7E7sRTcZH1zeXg8EVZxK2/m3v&#10;7uYq4Wdvz63z4ZuimsVLzh3al1gVu4UPSAWuR5cYzZOuinmldRL2fqYd2wl0GgNSUMOZFj5AmfN5&#10;+sWsAfHumTasyfn1JXKJKIYiXuenTdSoNEWH+JGLruZ4C+2q7bg78rGiYg+aHHWD5q2cVyhlgTye&#10;hcNkgRlsS3jCUWpCZDrcONuQ+/U3ffRHw2HlrMGk5tz/3AqnUN53g1G46w+HcbSTMLy6GUBw55bV&#10;ucVs6xmBoj720sp0jf5BH6+lo/oVSzWNUWESRiJ2zlfH6yx0+4OllGo6TU4YZivCwiytjNCRt9io&#10;l/ZVOHvoZsAgPNJxpsXoQ1M7364H022gskodjzx3rKJ3UcAipC4eljZu2rmcvN4+LZPfAAAA//8D&#10;AFBLAwQUAAYACAAAACEA87q/698AAAAKAQAADwAAAGRycy9kb3ducmV2LnhtbEyPQUvEMBCF74L/&#10;IYzgzU204ra16SILFUE8uIribdrEtm4zKU12W/+940mPw/t4871is7hBHO0Uek8aLlcKhKXGm55a&#10;Da8v1UUKIkQkg4Mnq+HbBtiUpycF5sbP9GyPu9gKLqGQo4YuxjGXMjSddRhWfrTE2aefHEY+p1aa&#10;CWcud4O8UupGOuyJP3Q42m1nm/3u4DTcr9OnjObH7T4lrN+q9+rr42HQ+vxsubsFEe0S/2D41Wd1&#10;KNmp9gcyQQwa1om6ZpSDlDcxkGVJBqLWkKhEgSwL+X9C+QMAAP//AwBQSwECLQAUAAYACAAAACEA&#10;toM4kv4AAADhAQAAEwAAAAAAAAAAAAAAAAAAAAAAW0NvbnRlbnRfVHlwZXNdLnhtbFBLAQItABQA&#10;BgAIAAAAIQA4/SH/1gAAAJQBAAALAAAAAAAAAAAAAAAAAC8BAABfcmVscy8ucmVsc1BLAQItABQA&#10;BgAIAAAAIQAEn2vFVAIAAKIEAAAOAAAAAAAAAAAAAAAAAC4CAABkcnMvZTJvRG9jLnhtbFBLAQIt&#10;ABQABgAIAAAAIQDzur/r3wAAAAoBAAAPAAAAAAAAAAAAAAAAAK4EAABkcnMvZG93bnJldi54bWxQ&#10;SwUGAAAAAAQABADzAAAAugUAAAAA&#10;" fillcolor="window" stroked="f" strokeweight=".5pt">
                <v:textbox>
                  <w:txbxContent>
                    <w:p w14:paraId="6C3060FA" w14:textId="0BE17BA5" w:rsidR="00E451D5" w:rsidRPr="00484D34" w:rsidRDefault="008E6673" w:rsidP="00E451D5">
                      <w:pPr>
                        <w:pStyle w:val="PullQuote0"/>
                      </w:pPr>
                      <w:r>
                        <w:t xml:space="preserve">TB disproportionately </w:t>
                      </w:r>
                      <w:r w:rsidR="00FE6A75">
                        <w:t xml:space="preserve">affects </w:t>
                      </w:r>
                      <w:r>
                        <w:t>minority groups in Tennessee</w:t>
                      </w:r>
                    </w:p>
                  </w:txbxContent>
                </v:textbox>
                <w10:wrap type="square"/>
              </v:shape>
            </w:pict>
          </mc:Fallback>
        </mc:AlternateContent>
      </w:r>
      <w:r w:rsidR="004B1840">
        <w:rPr>
          <w:i/>
          <w:iCs/>
          <w:sz w:val="24"/>
          <w:szCs w:val="24"/>
          <w:u w:val="single"/>
        </w:rPr>
        <w:t>Race</w:t>
      </w:r>
      <w:r w:rsidR="008122EB">
        <w:rPr>
          <w:i/>
          <w:iCs/>
          <w:sz w:val="24"/>
          <w:szCs w:val="24"/>
          <w:u w:val="single"/>
        </w:rPr>
        <w:t xml:space="preserve"> and Ethnicity</w:t>
      </w:r>
    </w:p>
    <w:p w14:paraId="43B38289" w14:textId="3D7F5AA6" w:rsidR="00DD44F5" w:rsidRDefault="00DD44F5" w:rsidP="004B1840">
      <w:pPr>
        <w:spacing w:after="120" w:line="240" w:lineRule="auto"/>
      </w:pPr>
      <w:r>
        <w:t xml:space="preserve">In Tennessee, TB disproportionately affects minority populations.  </w:t>
      </w:r>
      <w:r w:rsidR="00D37211">
        <w:rPr>
          <w:b/>
          <w:bCs w:val="0"/>
        </w:rPr>
        <w:t>Figure X</w:t>
      </w:r>
      <w:r>
        <w:t xml:space="preserve"> shows that the case rate per 100,000 population in non-Hispanic Black persons is three (3) to six (6) times higher compared to non-Hispanic white persons</w:t>
      </w:r>
      <w:r w:rsidR="00A861B4">
        <w:t>.  For non-Hispanic Asian persons, the case rate is 12-20 times higher when compared to non-Hispanic white persons.</w:t>
      </w:r>
    </w:p>
    <w:p w14:paraId="3C8897CA" w14:textId="71B092CB" w:rsidR="00DD44F5" w:rsidRDefault="00DD44F5" w:rsidP="004B1840">
      <w:pPr>
        <w:spacing w:after="120" w:line="240" w:lineRule="auto"/>
      </w:pPr>
    </w:p>
    <w:p w14:paraId="01B9E835" w14:textId="54CCDE1B" w:rsidR="00DD44F5" w:rsidRDefault="00DD44F5" w:rsidP="004B1840">
      <w:pPr>
        <w:spacing w:after="120" w:line="240" w:lineRule="auto"/>
      </w:pPr>
    </w:p>
    <w:p w14:paraId="5271922A" w14:textId="77777777" w:rsidR="00A861B4" w:rsidRDefault="00A861B4" w:rsidP="004B1840">
      <w:pPr>
        <w:spacing w:after="120" w:line="240" w:lineRule="auto"/>
      </w:pPr>
    </w:p>
    <w:p w14:paraId="3595CFBB" w14:textId="4F4EFA6C" w:rsidR="00DD44F5" w:rsidRDefault="00DD44F5" w:rsidP="004B1840">
      <w:pPr>
        <w:spacing w:after="120" w:line="240" w:lineRule="auto"/>
      </w:pPr>
    </w:p>
    <w:p w14:paraId="23E9D1A2" w14:textId="5C1C09DE" w:rsidR="00DD44F5" w:rsidRDefault="00DD44F5" w:rsidP="004B1840">
      <w:pPr>
        <w:spacing w:after="120" w:line="240" w:lineRule="auto"/>
      </w:pPr>
    </w:p>
    <w:p w14:paraId="3AB37792" w14:textId="11FEE16D" w:rsidR="00DD44F5" w:rsidRDefault="00DD44F5" w:rsidP="004B1840">
      <w:pPr>
        <w:spacing w:after="120" w:line="240" w:lineRule="auto"/>
      </w:pPr>
    </w:p>
    <w:p w14:paraId="7A1ACDB6" w14:textId="392DB2D0" w:rsidR="00DD44F5" w:rsidRPr="00DD44F5" w:rsidRDefault="00DD44F5" w:rsidP="004B1840">
      <w:pPr>
        <w:spacing w:after="120" w:line="240" w:lineRule="auto"/>
        <w:rPr>
          <w:b/>
          <w:bCs w:val="0"/>
        </w:rPr>
      </w:pPr>
      <w:r>
        <w:rPr>
          <w:b/>
          <w:bCs w:val="0"/>
        </w:rPr>
        <w:t xml:space="preserve">Figure </w:t>
      </w:r>
      <w:r w:rsidR="00D37211">
        <w:rPr>
          <w:b/>
          <w:bCs w:val="0"/>
        </w:rPr>
        <w:t>X</w:t>
      </w:r>
    </w:p>
    <w:p w14:paraId="7B122326" w14:textId="57DFB457" w:rsidR="008122EB" w:rsidRPr="008122EB" w:rsidRDefault="008122EB" w:rsidP="004B1840">
      <w:pPr>
        <w:spacing w:after="120" w:line="240" w:lineRule="auto"/>
        <w:rPr>
          <w:sz w:val="24"/>
          <w:szCs w:val="24"/>
        </w:rPr>
      </w:pPr>
      <w:r>
        <w:rPr>
          <w:noProof/>
          <w:sz w:val="24"/>
          <w:szCs w:val="24"/>
        </w:rPr>
        <w:lastRenderedPageBreak/>
        <w:drawing>
          <wp:inline distT="0" distB="0" distL="0" distR="0" wp14:anchorId="3C1649C5" wp14:editId="089FE386">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3348DD" w14:textId="203F7B3D" w:rsidR="00DD6D63" w:rsidRDefault="00DD6D63" w:rsidP="00B13133">
      <w:pPr>
        <w:pStyle w:val="Heading2"/>
      </w:pPr>
      <w:r>
        <w:t>Birth Status</w:t>
      </w:r>
    </w:p>
    <w:p w14:paraId="0F122460" w14:textId="73879EFE" w:rsidR="00C75B9B" w:rsidRDefault="00763F7F" w:rsidP="00B934BE">
      <w:r>
        <w:rPr>
          <w:noProof/>
        </w:rPr>
        <mc:AlternateContent>
          <mc:Choice Requires="wps">
            <w:drawing>
              <wp:anchor distT="0" distB="0" distL="274320" distR="114300" simplePos="0" relativeHeight="251725824" behindDoc="0" locked="0" layoutInCell="1" allowOverlap="1" wp14:anchorId="34EB6864" wp14:editId="35D88BC4">
                <wp:simplePos x="0" y="0"/>
                <wp:positionH relativeFrom="column">
                  <wp:posOffset>4933950</wp:posOffset>
                </wp:positionH>
                <wp:positionV relativeFrom="paragraph">
                  <wp:posOffset>966470</wp:posOffset>
                </wp:positionV>
                <wp:extent cx="1435100" cy="22479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435100" cy="2247900"/>
                        </a:xfrm>
                        <a:prstGeom prst="rect">
                          <a:avLst/>
                        </a:prstGeom>
                        <a:solidFill>
                          <a:sysClr val="window" lastClr="FFFFFF"/>
                        </a:solidFill>
                        <a:ln w="6350">
                          <a:noFill/>
                        </a:ln>
                        <a:effectLst/>
                      </wps:spPr>
                      <wps:txbx>
                        <w:txbxContent>
                          <w:p w14:paraId="69A8E868" w14:textId="045DEB6C" w:rsidR="00763F7F" w:rsidRPr="00484D34" w:rsidRDefault="00763F7F" w:rsidP="00763F7F">
                            <w:pPr>
                              <w:pStyle w:val="PullQuote0"/>
                            </w:pPr>
                            <w:r>
                              <w:t xml:space="preserve">The proportion of TB cases born outside of the U.S. has </w:t>
                            </w:r>
                            <w:r w:rsidR="005758FC">
                              <w:t xml:space="preserve">steadily </w:t>
                            </w:r>
                            <w:r>
                              <w:t xml:space="preserve">increased since 2013.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B6864" id="Text Box 11" o:spid="_x0000_s1028" type="#_x0000_t202" style="position:absolute;margin-left:388.5pt;margin-top:76.1pt;width:113pt;height:177pt;z-index:251725824;visibility:visible;mso-wrap-style:square;mso-width-percent:0;mso-height-percent:0;mso-wrap-distance-left:21.6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4DUgIAAKIEAAAOAAAAZHJzL2Uyb0RvYy54bWysVE1vGjEQvVfqf7B8LwsEkgaxRJSIqhJK&#10;IoUqZ+P1wkpej2sbdumv77MXSJr2VJWDmS/PeN682eldW2t2UM5XZHI+6PU5U0ZSUZltzr+vl58+&#10;c+aDMIXQZFTOj8rzu9nHD9PGTtSQdqQL5RiSGD9pbM53IdhJlnm5U7XwPbLKwFmSq0WA6rZZ4USD&#10;7LXOhv3+ddaQK6wjqbyH9b5z8lnKX5ZKhsey9CownXO8LaTTpXMTz2w2FZOtE3ZXydMzxD+8ohaV&#10;QdFLqnsRBNu76o9UdSUdeSpDT1KdUVlWUqUe0M2g/66b552wKvUCcLy9wOT/X1r5cHhyrCowuwFn&#10;RtSY0Vq1gX2hlsEEfBrrJwh7tggMLeyIPds9jLHttnR1/EdDDH4gfbygG7PJeGl0NR704ZLwDYej&#10;m1soyJ+9XrfOh6+KahaFnDuML6EqDisfutBzSKzmSVfFstI6KUe/0I4dBCYNghTUcKaFDzDmfJl+&#10;p2q/XdOGNTm/vhr3UyVDMV9XSpuYVyUWnepHLLqeoxTaTZuwG57x2FBxBEyOOqJ5K5cVWlnhHU/C&#10;gVloH9sSHnGUmlCZThJnO3I//2aP8Rg4vJw1YGrO/Y+9cArtfTOgwu1gNIrUTspofDOE4t56Nm89&#10;Zl8vCBBh2nhdEmN80GexdFS/YKnmsSpcwkjUzvnmLC5Ctz9YSqnm8xQEMlsRVubZypg64hYHtW5f&#10;hLOnaQYQ4YHOnBaTd0PtYuNNQ/N9oLJKE484d6iCKVHBIiTOnJY2btpbPUW9flpmvwAAAP//AwBQ&#10;SwMEFAAGAAgAAAAhAK+zlY7iAAAADAEAAA8AAABkcnMvZG93bnJldi54bWxMj8FOwzAQRO9I/IO1&#10;SNyoTVCbNMSpUKUgJMSBgqi4bWKThNrrKHab8Pe4JzjuzGj2TbGZrWEnPfrekYTbhQCmqXGqp1bC&#10;+1t1kwHzAUmhcaQl/GgPm/LyosBcuYle9WkXWhZLyOcooQthyDn3Tact+oUbNEXvy40WQzzHlqsR&#10;p1huDU+EWHGLPcUPHQ562+nmsDtaCY9p9rKm6Xl7yAjrj2pffX8+GSmvr+aHe2BBz+EvDGf8iA5l&#10;ZKrdkZRnRkKapnFLiMYySYCdE0LcRamWsBSrBHhZ8P8jyl8AAAD//wMAUEsBAi0AFAAGAAgAAAAh&#10;ALaDOJL+AAAA4QEAABMAAAAAAAAAAAAAAAAAAAAAAFtDb250ZW50X1R5cGVzXS54bWxQSwECLQAU&#10;AAYACAAAACEAOP0h/9YAAACUAQAACwAAAAAAAAAAAAAAAAAvAQAAX3JlbHMvLnJlbHNQSwECLQAU&#10;AAYACAAAACEADMzOA1ICAACiBAAADgAAAAAAAAAAAAAAAAAuAgAAZHJzL2Uyb0RvYy54bWxQSwEC&#10;LQAUAAYACAAAACEAr7OVjuIAAAAMAQAADwAAAAAAAAAAAAAAAACsBAAAZHJzL2Rvd25yZXYueG1s&#10;UEsFBgAAAAAEAAQA8wAAALsFAAAAAA==&#10;" fillcolor="window" stroked="f" strokeweight=".5pt">
                <v:textbox>
                  <w:txbxContent>
                    <w:p w14:paraId="69A8E868" w14:textId="045DEB6C" w:rsidR="00763F7F" w:rsidRPr="00484D34" w:rsidRDefault="00763F7F" w:rsidP="00763F7F">
                      <w:pPr>
                        <w:pStyle w:val="PullQuote0"/>
                      </w:pPr>
                      <w:r>
                        <w:t xml:space="preserve">The proportion of TB cases born outside of the U.S. has </w:t>
                      </w:r>
                      <w:r w:rsidR="005758FC">
                        <w:t xml:space="preserve">steadily </w:t>
                      </w:r>
                      <w:r>
                        <w:t xml:space="preserve">increased since 2013. </w:t>
                      </w:r>
                    </w:p>
                  </w:txbxContent>
                </v:textbox>
                <w10:wrap type="square"/>
              </v:shape>
            </w:pict>
          </mc:Fallback>
        </mc:AlternateContent>
      </w:r>
      <w:r w:rsidR="00C75B9B">
        <w:t>Historically, the percentage of persons with active TB in Tennessee that were born in the United States</w:t>
      </w:r>
      <w:r w:rsidR="000B183C">
        <w:t xml:space="preserve"> nearly doubled that of persons born outside of the United States.  More recently, the trend in Tennessee has mirrored the national trend with nearly as many non-U.S.-born persons diagnosed with TB as those born in the U.S.  </w:t>
      </w:r>
    </w:p>
    <w:p w14:paraId="1410526D" w14:textId="4A0C8BD8" w:rsidR="000B183C" w:rsidRDefault="00D37211" w:rsidP="00B934BE">
      <w:r>
        <w:rPr>
          <w:b/>
          <w:bCs w:val="0"/>
        </w:rPr>
        <w:t>Figure X</w:t>
      </w:r>
      <w:r w:rsidR="000B183C">
        <w:t xml:space="preserve"> shows the 10 most common countries of birth for persons in Tennessee diagnosed with active TB between 2011 and 2019.  </w:t>
      </w:r>
      <w:r w:rsidR="00BC696D">
        <w:t xml:space="preserve">Between 2011 and 2019, </w:t>
      </w:r>
      <w:r w:rsidR="00727FAD">
        <w:t>498 (</w:t>
      </w:r>
      <w:r w:rsidR="00BC696D">
        <w:t>40.2%</w:t>
      </w:r>
      <w:r w:rsidR="00727FAD">
        <w:t>)</w:t>
      </w:r>
      <w:r w:rsidR="00BC696D">
        <w:t xml:space="preserve"> of persons with active TB were born outside of the United States.  </w:t>
      </w:r>
      <w:r w:rsidR="00727FAD">
        <w:t>Of the 498, 40.8% were born in Asian countries; 33.7% in Central American countries; 21.3% in African countries; 1.4% in European countries; 1.2% in South American countries; and 0.8% in Middle Eastern countries and countries in the Caribbean, respectively.</w:t>
      </w:r>
    </w:p>
    <w:p w14:paraId="42E14852" w14:textId="25E53660" w:rsidR="000B183C" w:rsidRDefault="000B183C" w:rsidP="00B934BE"/>
    <w:p w14:paraId="6563D7A4" w14:textId="42549574" w:rsidR="00763F7F" w:rsidRDefault="00763F7F" w:rsidP="00B934BE"/>
    <w:p w14:paraId="41F66C0A" w14:textId="77777777" w:rsidR="00763F7F" w:rsidRDefault="00763F7F" w:rsidP="00B934BE"/>
    <w:p w14:paraId="6336FB19" w14:textId="1AF3F204" w:rsidR="000B183C" w:rsidRPr="000B183C" w:rsidRDefault="000B183C" w:rsidP="00B934BE">
      <w:pPr>
        <w:rPr>
          <w:b/>
          <w:bCs w:val="0"/>
        </w:rPr>
      </w:pPr>
      <w:r>
        <w:rPr>
          <w:b/>
          <w:bCs w:val="0"/>
        </w:rPr>
        <w:t xml:space="preserve">Figure </w:t>
      </w:r>
      <w:r w:rsidR="00D37211">
        <w:rPr>
          <w:b/>
          <w:bCs w:val="0"/>
        </w:rPr>
        <w:t>X</w:t>
      </w:r>
    </w:p>
    <w:p w14:paraId="53D90CFB" w14:textId="6D6B2133" w:rsidR="00C75B9B" w:rsidRPr="00C75B9B" w:rsidRDefault="00B934BE" w:rsidP="00C75B9B">
      <w:pPr>
        <w:rPr>
          <w:b/>
          <w:bCs w:val="0"/>
        </w:rPr>
      </w:pPr>
      <w:r>
        <w:rPr>
          <w:b/>
          <w:bCs w:val="0"/>
          <w:noProof/>
        </w:rPr>
        <w:lastRenderedPageBreak/>
        <w:drawing>
          <wp:inline distT="0" distB="0" distL="0" distR="0" wp14:anchorId="126C4235" wp14:editId="66A61FCD">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06102C" w14:textId="4BA1D83E" w:rsidR="00C75B9B" w:rsidRDefault="00C75B9B" w:rsidP="00C75B9B">
      <w:pPr>
        <w:rPr>
          <w:b/>
          <w:bCs w:val="0"/>
        </w:rPr>
      </w:pPr>
      <w:r>
        <w:rPr>
          <w:b/>
          <w:bCs w:val="0"/>
        </w:rPr>
        <w:t xml:space="preserve">Figure </w:t>
      </w:r>
      <w:r w:rsidR="00D37211">
        <w:rPr>
          <w:b/>
          <w:bCs w:val="0"/>
        </w:rPr>
        <w:t>X</w:t>
      </w:r>
    </w:p>
    <w:p w14:paraId="005F09D9" w14:textId="18505F61" w:rsidR="00C75B9B" w:rsidRDefault="00C75B9B" w:rsidP="00B13133">
      <w:pPr>
        <w:pStyle w:val="Heading2"/>
        <w:rPr>
          <w:b w:val="0"/>
          <w:bCs w:val="0"/>
          <w:i w:val="0"/>
          <w:iCs/>
        </w:rPr>
      </w:pPr>
      <w:r>
        <w:rPr>
          <w:b w:val="0"/>
          <w:bCs w:val="0"/>
          <w:i w:val="0"/>
          <w:iCs/>
          <w:noProof/>
        </w:rPr>
        <w:drawing>
          <wp:inline distT="0" distB="0" distL="0" distR="0" wp14:anchorId="5E67BF90" wp14:editId="66C7E2FD">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140A2B" w14:textId="77777777" w:rsidR="00C75B9B" w:rsidRPr="00C75B9B" w:rsidRDefault="00C75B9B" w:rsidP="00C75B9B"/>
    <w:p w14:paraId="38F3FBB5" w14:textId="77777777" w:rsidR="00571629" w:rsidRDefault="00571629" w:rsidP="00B13133">
      <w:pPr>
        <w:pStyle w:val="Heading2"/>
      </w:pPr>
    </w:p>
    <w:p w14:paraId="0272F86F" w14:textId="77777777" w:rsidR="00571629" w:rsidRDefault="00571629" w:rsidP="00B13133">
      <w:pPr>
        <w:pStyle w:val="Heading2"/>
      </w:pPr>
    </w:p>
    <w:p w14:paraId="760633A3" w14:textId="030C1AF6" w:rsidR="00B13133" w:rsidRDefault="00DD6D63" w:rsidP="00B13133">
      <w:pPr>
        <w:pStyle w:val="Heading2"/>
      </w:pPr>
      <w:r>
        <w:lastRenderedPageBreak/>
        <w:t>Risk Factors</w:t>
      </w:r>
    </w:p>
    <w:p w14:paraId="2895FEAB" w14:textId="77777777" w:rsidR="00664E7E" w:rsidRDefault="00664E7E" w:rsidP="00664E7E">
      <w:pPr>
        <w:tabs>
          <w:tab w:val="left" w:pos="0"/>
        </w:tabs>
        <w:spacing w:after="60"/>
        <w:ind w:left="720" w:hanging="720"/>
      </w:pPr>
      <w:r w:rsidRPr="00664E7E">
        <w:rPr>
          <w:b/>
          <w:bCs w:val="0"/>
        </w:rPr>
        <w:t>Figure X</w:t>
      </w:r>
      <w:r>
        <w:t xml:space="preserve"> shows the average percent of cases for 2010 – 2019 with the following risk factors</w:t>
      </w:r>
    </w:p>
    <w:p w14:paraId="56B4B629" w14:textId="268D4899" w:rsidR="00664E7E" w:rsidRPr="00664E7E" w:rsidRDefault="00664E7E" w:rsidP="00664E7E">
      <w:pPr>
        <w:tabs>
          <w:tab w:val="left" w:pos="0"/>
        </w:tabs>
        <w:spacing w:after="60"/>
      </w:pPr>
      <w:r>
        <w:t xml:space="preserve">identified: HIV co-infection, homeless (within the past year from diagnosis), resident of a correctional facility (at the time of diagnosis), substance abuse (within the past year from diagnosis date) that includes excessive alcohol use, non-injecting and injected drug use, and diabetes mellitus.  Substance abuse and diabetes mellitus were the most common risk factors identified among persons diagnosed with active TB in Tennessee between 2010 – 2019.  </w:t>
      </w:r>
    </w:p>
    <w:p w14:paraId="326766E1" w14:textId="4ECF6939" w:rsidR="00852D6C" w:rsidRDefault="00852D6C" w:rsidP="00852D6C">
      <w:pPr>
        <w:rPr>
          <w:b/>
          <w:bCs w:val="0"/>
        </w:rPr>
      </w:pPr>
      <w:r>
        <w:rPr>
          <w:b/>
          <w:bCs w:val="0"/>
        </w:rPr>
        <w:t xml:space="preserve">Figure </w:t>
      </w:r>
      <w:r w:rsidR="00D37211">
        <w:rPr>
          <w:b/>
          <w:bCs w:val="0"/>
        </w:rPr>
        <w:t>X</w:t>
      </w:r>
    </w:p>
    <w:p w14:paraId="45F9A742" w14:textId="2F165137" w:rsidR="00852D6C" w:rsidRPr="00852D6C" w:rsidRDefault="00852D6C" w:rsidP="00852D6C">
      <w:r>
        <w:rPr>
          <w:noProof/>
        </w:rPr>
        <w:drawing>
          <wp:inline distT="0" distB="0" distL="0" distR="0" wp14:anchorId="063687AC" wp14:editId="28B5E05B">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CB5FFF" w14:textId="77777777" w:rsidR="00724153" w:rsidRDefault="00CB6D04" w:rsidP="00CB6D04">
      <w:pPr>
        <w:pStyle w:val="Heading2"/>
      </w:pPr>
      <w:r w:rsidRPr="00CB6D04">
        <w:t>Refugee Data</w:t>
      </w:r>
      <w:r w:rsidR="00724153">
        <w:t xml:space="preserve"> </w:t>
      </w:r>
    </w:p>
    <w:p w14:paraId="338D1ECF" w14:textId="1C5B7F66" w:rsidR="00CB6D04" w:rsidRDefault="00642C78" w:rsidP="00CB6D04">
      <w:pPr>
        <w:pStyle w:val="Heading2"/>
      </w:pPr>
      <w:hyperlink r:id="rId17" w:history="1">
        <w:r w:rsidR="00724153" w:rsidRPr="001E0030">
          <w:rPr>
            <w:rStyle w:val="Hyperlink"/>
          </w:rPr>
          <w:t>http://www.tnrefugees.org/index.php/tor-reports-and-data/</w:t>
        </w:r>
      </w:hyperlink>
      <w:r w:rsidR="00724153">
        <w:t xml:space="preserve"> </w:t>
      </w:r>
    </w:p>
    <w:p w14:paraId="2D7F1A56" w14:textId="7988F595" w:rsidR="00AC7B4B" w:rsidRPr="004B74B3" w:rsidRDefault="007C7B3A" w:rsidP="00CB6D04">
      <w:pPr>
        <w:spacing w:after="60"/>
      </w:pPr>
      <w:r>
        <w:t>During fiscal years (FYs) 2010-2019, 13,614 refugees</w:t>
      </w:r>
      <w:r w:rsidR="00AC7B4B">
        <w:t xml:space="preserve"> (includes both refugees and special immigrant visa [SIV])</w:t>
      </w:r>
      <w:r>
        <w:t xml:space="preserve"> arrived in Tennessee from 49 countries.  </w:t>
      </w:r>
      <w:r w:rsidR="00AC7B4B">
        <w:rPr>
          <w:b/>
          <w:bCs w:val="0"/>
        </w:rPr>
        <w:t>Figure X</w:t>
      </w:r>
      <w:r w:rsidR="00AC7B4B">
        <w:t xml:space="preserve"> shows the number of refugee and SIV </w:t>
      </w:r>
      <w:r w:rsidR="00D55130">
        <w:t>arrivals to Tennessee.</w:t>
      </w:r>
      <w:r w:rsidR="004B74B3">
        <w:t xml:space="preserve">  </w:t>
      </w:r>
      <w:r w:rsidR="004B74B3">
        <w:rPr>
          <w:b/>
          <w:bCs w:val="0"/>
        </w:rPr>
        <w:t>Figure X</w:t>
      </w:r>
      <w:r w:rsidR="004B74B3">
        <w:t xml:space="preserve"> shows all countries that accounted for ≥1.00% of the total arrivals from 2010 – 2019.  There were 36 countries that accounted for &lt;1.00% of the total arrivals between 2010 – 2019.</w:t>
      </w:r>
    </w:p>
    <w:p w14:paraId="0646E84A" w14:textId="694A20F8" w:rsidR="00D55130" w:rsidRDefault="00D55130" w:rsidP="00CB6D04">
      <w:pPr>
        <w:spacing w:after="60"/>
      </w:pPr>
    </w:p>
    <w:p w14:paraId="5BDFABE0" w14:textId="2ED18BCA" w:rsidR="00D55130" w:rsidRDefault="00D55130" w:rsidP="00CB6D04">
      <w:pPr>
        <w:spacing w:after="60"/>
      </w:pPr>
    </w:p>
    <w:p w14:paraId="37EC8EF0" w14:textId="09345CC4" w:rsidR="00D55130" w:rsidRDefault="00D55130" w:rsidP="00CB6D04">
      <w:pPr>
        <w:spacing w:after="60"/>
      </w:pPr>
    </w:p>
    <w:p w14:paraId="7609394D" w14:textId="3BD4E480" w:rsidR="00D55130" w:rsidRPr="00D55130" w:rsidRDefault="00D55130" w:rsidP="00CB6D04">
      <w:pPr>
        <w:spacing w:after="60"/>
        <w:rPr>
          <w:b/>
          <w:bCs w:val="0"/>
        </w:rPr>
      </w:pPr>
      <w:r>
        <w:rPr>
          <w:b/>
          <w:bCs w:val="0"/>
        </w:rPr>
        <w:lastRenderedPageBreak/>
        <w:t>Figure X</w:t>
      </w:r>
    </w:p>
    <w:p w14:paraId="362AFBB4" w14:textId="77777777" w:rsidR="00AC7B4B" w:rsidRDefault="00AC7B4B" w:rsidP="00CB6D04">
      <w:pPr>
        <w:spacing w:after="60"/>
      </w:pPr>
    </w:p>
    <w:p w14:paraId="6A0FEFF0" w14:textId="455A18F8" w:rsidR="00AC7B4B" w:rsidRDefault="00AC7B4B" w:rsidP="00CB6D04">
      <w:pPr>
        <w:spacing w:after="60"/>
      </w:pPr>
      <w:r>
        <w:rPr>
          <w:noProof/>
        </w:rPr>
        <w:drawing>
          <wp:inline distT="0" distB="0" distL="0" distR="0" wp14:anchorId="2C7CB4BE" wp14:editId="31CB5EC0">
            <wp:extent cx="5486400" cy="32004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128C32" w14:textId="3A381479" w:rsidR="00AC7B4B" w:rsidRPr="004B74B3" w:rsidRDefault="004B74B3" w:rsidP="00CB6D04">
      <w:pPr>
        <w:spacing w:after="60"/>
        <w:rPr>
          <w:b/>
          <w:bCs w:val="0"/>
        </w:rPr>
      </w:pPr>
      <w:r>
        <w:rPr>
          <w:b/>
          <w:bCs w:val="0"/>
        </w:rPr>
        <w:t>Figure X.</w:t>
      </w:r>
    </w:p>
    <w:p w14:paraId="7C923C17" w14:textId="7A25761B" w:rsidR="00D55130" w:rsidRDefault="00D55130" w:rsidP="00CB6D04">
      <w:pPr>
        <w:spacing w:after="60"/>
      </w:pPr>
      <w:r>
        <w:rPr>
          <w:noProof/>
        </w:rPr>
        <w:drawing>
          <wp:inline distT="0" distB="0" distL="0" distR="0" wp14:anchorId="0A30D602" wp14:editId="61E4EF95">
            <wp:extent cx="5486400" cy="32004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CBA9A1" w14:textId="77777777" w:rsidR="00D55130" w:rsidRDefault="00D55130" w:rsidP="00CB6D04">
      <w:pPr>
        <w:spacing w:after="60"/>
      </w:pPr>
    </w:p>
    <w:p w14:paraId="7EBE735C" w14:textId="11183C3D" w:rsidR="007C7B3A" w:rsidRDefault="007C7B3A" w:rsidP="00CB6D04">
      <w:pPr>
        <w:spacing w:after="60"/>
      </w:pPr>
      <w:r>
        <w:t>Of those 49 countries, 27 countries (</w:t>
      </w:r>
      <w:r w:rsidR="003B4764">
        <w:t xml:space="preserve">55.1%) are designated as high-burden countries for TB, MDR-TB, TB/HIV or a combination of one or more of these categories by the World Health </w:t>
      </w:r>
      <w:r w:rsidR="003B4764">
        <w:lastRenderedPageBreak/>
        <w:t>Organization (WHO) for 2016-2020.  The following is the breakdown of these countries by WHO designation:</w:t>
      </w:r>
    </w:p>
    <w:p w14:paraId="5D406AFB" w14:textId="36C6BEF8" w:rsidR="003B4764" w:rsidRDefault="003B4764" w:rsidP="003B4764">
      <w:pPr>
        <w:pStyle w:val="ListParagraph"/>
        <w:numPr>
          <w:ilvl w:val="0"/>
          <w:numId w:val="19"/>
        </w:numPr>
        <w:spacing w:after="60"/>
      </w:pPr>
      <w:r>
        <w:t>High burden for TB only: 2.0%</w:t>
      </w:r>
    </w:p>
    <w:p w14:paraId="6DE438C1" w14:textId="00DF4C9D" w:rsidR="003B4764" w:rsidRDefault="003B4764" w:rsidP="003B4764">
      <w:pPr>
        <w:pStyle w:val="ListParagraph"/>
        <w:numPr>
          <w:ilvl w:val="0"/>
          <w:numId w:val="19"/>
        </w:numPr>
        <w:spacing w:after="60"/>
      </w:pPr>
      <w:r>
        <w:t>High burden for MDR-TB only: 12.2%</w:t>
      </w:r>
    </w:p>
    <w:p w14:paraId="118ACDD3" w14:textId="7E28B95D" w:rsidR="003B4764" w:rsidRDefault="003B4764" w:rsidP="003B4764">
      <w:pPr>
        <w:pStyle w:val="ListParagraph"/>
        <w:numPr>
          <w:ilvl w:val="0"/>
          <w:numId w:val="19"/>
        </w:numPr>
        <w:spacing w:after="60"/>
      </w:pPr>
      <w:r>
        <w:t>High burden for TB/HIV only: 4.1%</w:t>
      </w:r>
    </w:p>
    <w:p w14:paraId="7B5C2522" w14:textId="4A9E78B4" w:rsidR="003B4764" w:rsidRDefault="003B4764" w:rsidP="003B4764">
      <w:pPr>
        <w:pStyle w:val="ListParagraph"/>
        <w:numPr>
          <w:ilvl w:val="0"/>
          <w:numId w:val="19"/>
        </w:numPr>
        <w:spacing w:after="60"/>
      </w:pPr>
      <w:r>
        <w:t>High burden for TB and MDR-TB: 12.2%</w:t>
      </w:r>
    </w:p>
    <w:p w14:paraId="3C895DE5" w14:textId="585D2DA4" w:rsidR="003B4764" w:rsidRDefault="003B4764" w:rsidP="003B4764">
      <w:pPr>
        <w:pStyle w:val="ListParagraph"/>
        <w:numPr>
          <w:ilvl w:val="0"/>
          <w:numId w:val="19"/>
        </w:numPr>
        <w:spacing w:after="60"/>
      </w:pPr>
      <w:r>
        <w:t>High burden for TB and TB/HIV: 8.2%</w:t>
      </w:r>
    </w:p>
    <w:p w14:paraId="09ACC48C" w14:textId="3B861AAE" w:rsidR="003B4764" w:rsidRDefault="003B4764" w:rsidP="003B4764">
      <w:pPr>
        <w:pStyle w:val="ListParagraph"/>
        <w:numPr>
          <w:ilvl w:val="0"/>
          <w:numId w:val="19"/>
        </w:numPr>
        <w:spacing w:after="60"/>
      </w:pPr>
      <w:r>
        <w:t>High burden for TB, MDR-TB, and TB/HIV: 16.3%</w:t>
      </w:r>
    </w:p>
    <w:p w14:paraId="7097D4E1" w14:textId="065D5318" w:rsidR="00AC7B4B" w:rsidRDefault="00AC7B4B" w:rsidP="00AC7B4B">
      <w:pPr>
        <w:spacing w:after="60"/>
      </w:pPr>
      <w:r>
        <w:t xml:space="preserve">During </w:t>
      </w:r>
      <w:r w:rsidR="00D55130">
        <w:t>FY 2010 - 2019</w:t>
      </w:r>
      <w:r>
        <w:t>, 71.82% of refugees that arrived were resettled in Nashville; 11.39% in Knoxville; 11.14% in Memphis; 5.63% in Chattanooga, and 0.03% were resettled remotely.</w:t>
      </w:r>
    </w:p>
    <w:p w14:paraId="454974B1" w14:textId="2E0E9440" w:rsidR="00D37211" w:rsidRDefault="00D37211" w:rsidP="00AC7B4B">
      <w:pPr>
        <w:spacing w:after="60"/>
      </w:pPr>
    </w:p>
    <w:p w14:paraId="005A2EF3" w14:textId="6A4FA505" w:rsidR="00D37211" w:rsidRPr="00D37211" w:rsidRDefault="00D37211" w:rsidP="00AC7B4B">
      <w:pPr>
        <w:spacing w:after="60"/>
        <w:rPr>
          <w:b/>
          <w:bCs w:val="0"/>
        </w:rPr>
      </w:pPr>
      <w:r>
        <w:rPr>
          <w:b/>
          <w:bCs w:val="0"/>
        </w:rPr>
        <w:t>Figure X</w:t>
      </w:r>
    </w:p>
    <w:p w14:paraId="22BA6040" w14:textId="1055949E" w:rsidR="00AC7B4B" w:rsidRPr="003B4764" w:rsidRDefault="00AC7B4B" w:rsidP="00AC7B4B">
      <w:pPr>
        <w:spacing w:after="60"/>
      </w:pPr>
      <w:r>
        <w:rPr>
          <w:noProof/>
        </w:rPr>
        <w:drawing>
          <wp:inline distT="0" distB="0" distL="0" distR="0" wp14:anchorId="3E332FE4" wp14:editId="4A5E60FA">
            <wp:extent cx="5486400" cy="32004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p>
    <w:p w14:paraId="595BB97D" w14:textId="77777777" w:rsidR="007C7B3A" w:rsidRDefault="007C7B3A" w:rsidP="00CB6D04">
      <w:pPr>
        <w:spacing w:after="60"/>
        <w:rPr>
          <w:u w:val="single"/>
        </w:rPr>
      </w:pPr>
    </w:p>
    <w:p w14:paraId="2CA4B5D3" w14:textId="47E3BAB3" w:rsidR="008915DD" w:rsidRPr="00E43148" w:rsidRDefault="00E17D3A" w:rsidP="008915DD">
      <w:pPr>
        <w:pStyle w:val="Heading1"/>
        <w:rPr>
          <w:color w:val="666666" w:themeColor="accent5"/>
        </w:rPr>
      </w:pPr>
      <w:r>
        <w:rPr>
          <w:color w:val="666666" w:themeColor="accent5"/>
        </w:rPr>
        <w:t>Identification of and Completion of Treatment for Persons with Active TB Disease to Render Their Condition Noninfectious</w:t>
      </w:r>
    </w:p>
    <w:p w14:paraId="45E0384B" w14:textId="77777777" w:rsidR="00722A08" w:rsidRDefault="00722A08" w:rsidP="00722A08">
      <w:pPr>
        <w:pStyle w:val="Heading2"/>
      </w:pPr>
    </w:p>
    <w:p w14:paraId="545F40DC" w14:textId="1A3727FF" w:rsidR="009C719A" w:rsidRDefault="009C719A" w:rsidP="00DB256E">
      <w:pPr>
        <w:pStyle w:val="Heading2"/>
      </w:pPr>
      <w:bookmarkStart w:id="0" w:name="_Hlk53662848"/>
      <w:r>
        <w:t>Introduction</w:t>
      </w:r>
    </w:p>
    <w:p w14:paraId="00B10C3B" w14:textId="513F68C3" w:rsidR="00DB256E" w:rsidRDefault="00DB256E" w:rsidP="00DB256E">
      <w:pPr>
        <w:pStyle w:val="Heading2"/>
      </w:pPr>
      <w:bookmarkStart w:id="1" w:name="_Hlk54683886"/>
      <w:r w:rsidRPr="009D7816">
        <w:rPr>
          <w:u w:val="single"/>
        </w:rPr>
        <w:lastRenderedPageBreak/>
        <w:t>Goal 1</w:t>
      </w:r>
      <w:r>
        <w:t xml:space="preserve">: Use of therapeutic drug monitoring (TDM) </w:t>
      </w:r>
      <w:bookmarkEnd w:id="1"/>
    </w:p>
    <w:p w14:paraId="5FC13E61" w14:textId="77777777" w:rsidR="005C0460" w:rsidRDefault="005C0460" w:rsidP="005C0460">
      <w:pPr>
        <w:spacing w:after="60"/>
      </w:pPr>
      <w:r>
        <w:rPr>
          <w:b/>
          <w:bCs w:val="0"/>
          <w:u w:val="single"/>
        </w:rPr>
        <w:t>Activity 1</w:t>
      </w:r>
      <w:r>
        <w:t>: Utilize therapeutic drug monitoring for patients with suspected or confirmed TB disease</w:t>
      </w:r>
    </w:p>
    <w:p w14:paraId="3562ACAF" w14:textId="201AFB6F" w:rsidR="005C0460" w:rsidRPr="005C0460" w:rsidRDefault="005C0460" w:rsidP="005C0460">
      <w:pPr>
        <w:spacing w:after="60"/>
      </w:pPr>
      <w:r>
        <w:t xml:space="preserve"> </w:t>
      </w:r>
      <w:r>
        <w:rPr>
          <w:b/>
          <w:bCs w:val="0"/>
          <w:u w:val="single"/>
        </w:rPr>
        <w:t>Activity 2</w:t>
      </w:r>
      <w:r>
        <w:t>: Develop a therapeutic drug monitoring (TDM) database that includes: medication regimen and dosages, microbiologic lab results, and risk factors</w:t>
      </w:r>
    </w:p>
    <w:p w14:paraId="448D1FF0" w14:textId="6FC44D5E" w:rsidR="009D7816" w:rsidRDefault="009D7816" w:rsidP="009D7816">
      <w:pPr>
        <w:pStyle w:val="Heading2"/>
      </w:pPr>
      <w:r w:rsidRPr="009D7816">
        <w:rPr>
          <w:u w:val="single"/>
        </w:rPr>
        <w:t>Goal 2</w:t>
      </w:r>
      <w:r w:rsidRPr="009D7816">
        <w:t xml:space="preserve">: </w:t>
      </w:r>
      <w:r w:rsidR="005C0460">
        <w:t xml:space="preserve">Expand use of </w:t>
      </w:r>
      <w:r w:rsidRPr="009D7816">
        <w:t>GeneXpert</w:t>
      </w:r>
      <w:r w:rsidRPr="00F87B9E">
        <w:rPr>
          <w:vertAlign w:val="superscript"/>
        </w:rPr>
        <w:t>®</w:t>
      </w:r>
      <w:r w:rsidRPr="009D7816">
        <w:t xml:space="preserve"> </w:t>
      </w:r>
    </w:p>
    <w:p w14:paraId="58D8F5B9" w14:textId="5A0E5AA4" w:rsidR="005C0460" w:rsidRDefault="005C0460" w:rsidP="00F87B9E">
      <w:pPr>
        <w:spacing w:after="60"/>
      </w:pPr>
      <w:r>
        <w:rPr>
          <w:b/>
          <w:bCs w:val="0"/>
          <w:u w:val="single"/>
        </w:rPr>
        <w:t>Activity 1</w:t>
      </w:r>
      <w:r>
        <w:t xml:space="preserve">: </w:t>
      </w:r>
      <w:r w:rsidR="00F87B9E">
        <w:t>Perform GeneXpert</w:t>
      </w:r>
      <w:r w:rsidR="00F87B9E">
        <w:rPr>
          <w:vertAlign w:val="superscript"/>
        </w:rPr>
        <w:t>®</w:t>
      </w:r>
      <w:r w:rsidR="00F87B9E">
        <w:t xml:space="preserve"> testing for all initial samples (first sample received) on persons with suspected or confirmed TB disease</w:t>
      </w:r>
      <w:r w:rsidR="000122A2">
        <w:t>.</w:t>
      </w:r>
    </w:p>
    <w:p w14:paraId="0454BB8D" w14:textId="7DD00D0B" w:rsidR="00F87B9E" w:rsidRDefault="00F87B9E" w:rsidP="000122A2">
      <w:pPr>
        <w:spacing w:after="60"/>
      </w:pPr>
      <w:r>
        <w:rPr>
          <w:b/>
          <w:bCs w:val="0"/>
          <w:u w:val="single"/>
        </w:rPr>
        <w:t>Activity 2</w:t>
      </w:r>
      <w:r>
        <w:t>: For patients placed on respiratory isolation</w:t>
      </w:r>
      <w:r w:rsidR="000122A2">
        <w:t xml:space="preserve"> with an initial negative Xpert result, perform a second (2</w:t>
      </w:r>
      <w:r w:rsidR="000122A2" w:rsidRPr="000122A2">
        <w:rPr>
          <w:vertAlign w:val="superscript"/>
        </w:rPr>
        <w:t>nd</w:t>
      </w:r>
      <w:r w:rsidR="000122A2">
        <w:t xml:space="preserve">) Xpert test to assess possibility of discontinuing respiratory isolation.  </w:t>
      </w:r>
    </w:p>
    <w:p w14:paraId="319153F6" w14:textId="111E0327" w:rsidR="000122A2" w:rsidRPr="000122A2" w:rsidRDefault="000122A2" w:rsidP="000122A2">
      <w:pPr>
        <w:spacing w:after="60"/>
      </w:pPr>
      <w:r>
        <w:rPr>
          <w:b/>
          <w:bCs w:val="0"/>
          <w:u w:val="single"/>
        </w:rPr>
        <w:t>Activity 3</w:t>
      </w:r>
      <w:r>
        <w:t xml:space="preserve">: Validate </w:t>
      </w:r>
      <w:r w:rsidR="002713F0">
        <w:t>Infinity 48</w:t>
      </w:r>
      <w:r>
        <w:t xml:space="preserve"> machine for testing and reporting of non-sputum specimens.</w:t>
      </w:r>
    </w:p>
    <w:p w14:paraId="0BDD3AD0" w14:textId="77777777" w:rsidR="009C719A" w:rsidRPr="009C719A" w:rsidRDefault="009C719A" w:rsidP="009C719A">
      <w:pPr>
        <w:spacing w:after="60"/>
        <w:rPr>
          <w:u w:val="single"/>
        </w:rPr>
      </w:pPr>
    </w:p>
    <w:p w14:paraId="0F55B371" w14:textId="646DDED2" w:rsidR="009D7816" w:rsidRDefault="009D7816" w:rsidP="009D7816">
      <w:pPr>
        <w:pStyle w:val="Heading2"/>
      </w:pPr>
      <w:r w:rsidRPr="009D7816">
        <w:rPr>
          <w:u w:val="single"/>
        </w:rPr>
        <w:t>Goal 3</w:t>
      </w:r>
      <w:r w:rsidRPr="009D7816">
        <w:t xml:space="preserve">: </w:t>
      </w:r>
      <w:r>
        <w:t xml:space="preserve">Utilize CDC’s Molecular Detection of Drug Resistance (MDDR) lab services </w:t>
      </w:r>
    </w:p>
    <w:p w14:paraId="56D10AD5" w14:textId="3FB16DBC" w:rsidR="00986A9E" w:rsidRDefault="00986A9E" w:rsidP="00986A9E">
      <w:r>
        <w:rPr>
          <w:b/>
          <w:bCs w:val="0"/>
          <w:u w:val="single"/>
        </w:rPr>
        <w:t>Activity 1</w:t>
      </w:r>
      <w:r>
        <w:t>: Identify criteria that warrants sending specimens to CDC for molecular detection of drug resistance (MDDR)</w:t>
      </w:r>
    </w:p>
    <w:p w14:paraId="3E8591DA" w14:textId="77777777" w:rsidR="009D7816" w:rsidRDefault="009D7816" w:rsidP="009D7816">
      <w:pPr>
        <w:pStyle w:val="Heading2"/>
        <w:rPr>
          <w:u w:val="single"/>
        </w:rPr>
      </w:pPr>
      <w:r w:rsidRPr="009D7816">
        <w:rPr>
          <w:u w:val="single"/>
        </w:rPr>
        <w:t>Goal 4</w:t>
      </w:r>
      <w:r w:rsidRPr="009D7816">
        <w:t xml:space="preserve">: </w:t>
      </w:r>
      <w:r>
        <w:t>Utilize incentives and enablers early in a patient’s treatment course to facilitate compliance and completion of treatment</w:t>
      </w:r>
      <w:r w:rsidRPr="009D7816">
        <w:rPr>
          <w:u w:val="single"/>
        </w:rPr>
        <w:t xml:space="preserve"> </w:t>
      </w:r>
    </w:p>
    <w:p w14:paraId="5B0592A5" w14:textId="0ADB45D8" w:rsidR="009D7816" w:rsidRDefault="009D7816" w:rsidP="009D7816">
      <w:pPr>
        <w:pStyle w:val="Heading2"/>
      </w:pPr>
      <w:r w:rsidRPr="009D7816">
        <w:rPr>
          <w:u w:val="single"/>
        </w:rPr>
        <w:t xml:space="preserve">Goal </w:t>
      </w:r>
      <w:r>
        <w:rPr>
          <w:u w:val="single"/>
        </w:rPr>
        <w:t>5</w:t>
      </w:r>
      <w:r>
        <w:t xml:space="preserve">: </w:t>
      </w:r>
      <w:r w:rsidR="00C95F61">
        <w:t>Ensure treatment completion for those diagnosed with TB disease</w:t>
      </w:r>
    </w:p>
    <w:p w14:paraId="1913360E" w14:textId="39C3B4DA" w:rsidR="001B53D0" w:rsidRPr="001B53D0" w:rsidRDefault="001B53D0" w:rsidP="001B53D0">
      <w:pPr>
        <w:spacing w:after="60"/>
      </w:pPr>
      <w:r>
        <w:rPr>
          <w:b/>
          <w:bCs w:val="0"/>
          <w:u w:val="single"/>
        </w:rPr>
        <w:t>Activity 1</w:t>
      </w:r>
      <w:r>
        <w:t>: Ensure treatment completion for patient eligible to complete treatment within 12 months</w:t>
      </w:r>
    </w:p>
    <w:p w14:paraId="49FF7850" w14:textId="4368109C" w:rsidR="00796FD1" w:rsidRDefault="001B53D0" w:rsidP="001B53D0">
      <w:pPr>
        <w:spacing w:after="60"/>
      </w:pPr>
      <w:r>
        <w:rPr>
          <w:b/>
          <w:bCs w:val="0"/>
          <w:u w:val="single"/>
        </w:rPr>
        <w:t>Action Step</w:t>
      </w:r>
      <w:r w:rsidR="00796FD1">
        <w:t>: Exclude patients who are not eligible to complete treatment within 12 months.  This includes patients with any rifampin-resistance; patients with meningeal TB disease, patients with TB in the bone or skeletal system; patients with TB of the central nervous system; children aged ≤14 years with disseminated TB (i.e., evidence of military TB on a chest radiograph or a positive blood culture).  Patients also excluded include: those patients who died within 366 days of initiating treatment and patients who moved out of the U.S. within 366 days of initiating treatment.</w:t>
      </w:r>
    </w:p>
    <w:p w14:paraId="0A5203D9" w14:textId="31553DF1" w:rsidR="001B53D0" w:rsidRDefault="001B53D0" w:rsidP="001B53D0">
      <w:pPr>
        <w:spacing w:after="60"/>
      </w:pPr>
      <w:r>
        <w:rPr>
          <w:b/>
          <w:bCs w:val="0"/>
          <w:u w:val="single"/>
        </w:rPr>
        <w:t>Activity 2</w:t>
      </w:r>
      <w:r>
        <w:t>: Expand the use of alternative methods of directly observed therapy (DOT) and directly observed preventive therapy (DOPT.</w:t>
      </w:r>
    </w:p>
    <w:p w14:paraId="2E360724" w14:textId="328C6CEF" w:rsidR="001B53D0" w:rsidRDefault="001B53D0" w:rsidP="001B53D0">
      <w:pPr>
        <w:spacing w:after="60"/>
      </w:pPr>
      <w:r>
        <w:rPr>
          <w:b/>
          <w:bCs w:val="0"/>
          <w:u w:val="single"/>
        </w:rPr>
        <w:t>Action Step</w:t>
      </w:r>
      <w:r>
        <w:t>: Implement statewide use of synchronous and asynchronous DOT/DOTP</w:t>
      </w:r>
    </w:p>
    <w:p w14:paraId="503BC82B" w14:textId="030A5500" w:rsidR="001B53D0" w:rsidRDefault="001B53D0" w:rsidP="001B53D0">
      <w:pPr>
        <w:spacing w:after="60"/>
      </w:pPr>
      <w:r>
        <w:rPr>
          <w:b/>
          <w:bCs w:val="0"/>
          <w:u w:val="single"/>
        </w:rPr>
        <w:lastRenderedPageBreak/>
        <w:t>Activity 3</w:t>
      </w:r>
      <w:r>
        <w:t>: Utilize alternative treatment regimens that may shorten treatment course, when available.</w:t>
      </w:r>
    </w:p>
    <w:p w14:paraId="3E6B9C6B" w14:textId="59D8C911" w:rsidR="001B53D0" w:rsidRDefault="001B53D0" w:rsidP="001B53D0">
      <w:pPr>
        <w:spacing w:after="60"/>
      </w:pPr>
      <w:r>
        <w:rPr>
          <w:b/>
          <w:bCs w:val="0"/>
          <w:u w:val="single"/>
        </w:rPr>
        <w:t>Activity 4</w:t>
      </w:r>
      <w:r>
        <w:t>: Screen for diabetes mellitus for all persons with suspected or confirmed TB disease</w:t>
      </w:r>
    </w:p>
    <w:p w14:paraId="6CA68623" w14:textId="4C838C64" w:rsidR="001B53D0" w:rsidRDefault="001B53D0" w:rsidP="001B53D0">
      <w:pPr>
        <w:spacing w:after="60"/>
      </w:pPr>
      <w:r>
        <w:rPr>
          <w:b/>
          <w:bCs w:val="0"/>
          <w:u w:val="single"/>
        </w:rPr>
        <w:t>Activity 5</w:t>
      </w:r>
      <w:r>
        <w:t xml:space="preserve">: </w:t>
      </w:r>
      <w:r w:rsidR="00086796">
        <w:t>Ensure HIV testing is performed for all patients with suspected or confirmed TB disease</w:t>
      </w:r>
    </w:p>
    <w:p w14:paraId="6DADC545" w14:textId="64665E68" w:rsidR="00086796" w:rsidRPr="00086796" w:rsidRDefault="00086796" w:rsidP="001B53D0">
      <w:pPr>
        <w:spacing w:after="60"/>
      </w:pPr>
      <w:r>
        <w:rPr>
          <w:b/>
          <w:bCs w:val="0"/>
          <w:u w:val="single"/>
        </w:rPr>
        <w:t>Action Step</w:t>
      </w:r>
      <w:r>
        <w:t>: For patients with TB/HIV co-infection, ensure patient is linked to HIV care</w:t>
      </w:r>
    </w:p>
    <w:bookmarkEnd w:id="0"/>
    <w:p w14:paraId="1CF04CF2" w14:textId="77777777" w:rsidR="00C22490" w:rsidRDefault="00C22490" w:rsidP="008803B9">
      <w:pPr>
        <w:pStyle w:val="Heading1"/>
        <w:rPr>
          <w:color w:val="666666" w:themeColor="accent5"/>
        </w:rPr>
      </w:pPr>
    </w:p>
    <w:p w14:paraId="6E896A9B" w14:textId="5DFF0F06" w:rsidR="008803B9" w:rsidRPr="00E43148" w:rsidRDefault="002E0E38" w:rsidP="008803B9">
      <w:pPr>
        <w:pStyle w:val="Heading1"/>
        <w:rPr>
          <w:color w:val="666666" w:themeColor="accent5"/>
        </w:rPr>
      </w:pPr>
      <w:r>
        <w:rPr>
          <w:color w:val="666666" w:themeColor="accent5"/>
        </w:rPr>
        <w:t xml:space="preserve">Finding and Screening Persons Who Have Had Contact with Persons with Active TB Disease </w:t>
      </w:r>
      <w:r w:rsidR="008803B9">
        <w:rPr>
          <w:color w:val="666666" w:themeColor="accent5"/>
        </w:rPr>
        <w:t xml:space="preserve"> </w:t>
      </w:r>
    </w:p>
    <w:p w14:paraId="46342DC7" w14:textId="77777777" w:rsidR="00F84CEE" w:rsidRDefault="00F84CEE" w:rsidP="00F84CEE">
      <w:pPr>
        <w:pStyle w:val="Heading2"/>
      </w:pPr>
    </w:p>
    <w:p w14:paraId="3967C787" w14:textId="3EB55EB0" w:rsidR="00086796" w:rsidRDefault="00086796" w:rsidP="0089627D">
      <w:pPr>
        <w:pStyle w:val="Heading2"/>
      </w:pPr>
      <w:r>
        <w:rPr>
          <w:u w:val="single"/>
        </w:rPr>
        <w:t>Goal 1</w:t>
      </w:r>
      <w:r>
        <w:rPr>
          <w:b w:val="0"/>
          <w:bCs w:val="0"/>
        </w:rPr>
        <w:t>:</w:t>
      </w:r>
      <w:r>
        <w:t xml:space="preserve"> Continue statewide use of QuantiFERON</w:t>
      </w:r>
      <w:r w:rsidR="005B0A87">
        <w:rPr>
          <w:vertAlign w:val="superscript"/>
        </w:rPr>
        <w:t>®</w:t>
      </w:r>
      <w:r w:rsidR="005B0A87">
        <w:t>-TB Gold Plus (QFT</w:t>
      </w:r>
      <w:r w:rsidR="005B0A87">
        <w:rPr>
          <w:vertAlign w:val="superscript"/>
        </w:rPr>
        <w:t>®</w:t>
      </w:r>
      <w:r w:rsidR="005B0A87">
        <w:t>-Plus) for testing for TB infection</w:t>
      </w:r>
    </w:p>
    <w:p w14:paraId="4EFE6386" w14:textId="1D491537" w:rsidR="005B0A87" w:rsidRPr="005B0A87" w:rsidRDefault="005B0A87" w:rsidP="005B0A87">
      <w:r>
        <w:rPr>
          <w:b/>
          <w:bCs w:val="0"/>
          <w:u w:val="single"/>
        </w:rPr>
        <w:t>Activity 1</w:t>
      </w:r>
      <w:r>
        <w:t>: Ensure that HIV testing is performed as part of the QFT collection process</w:t>
      </w:r>
    </w:p>
    <w:p w14:paraId="53B251D3" w14:textId="2E962613" w:rsidR="00F84CEE" w:rsidRDefault="009D7816" w:rsidP="0089627D">
      <w:pPr>
        <w:pStyle w:val="Heading2"/>
      </w:pPr>
      <w:r w:rsidRPr="00664E7E">
        <w:rPr>
          <w:u w:val="single"/>
        </w:rPr>
        <w:t xml:space="preserve">Goal </w:t>
      </w:r>
      <w:r w:rsidR="005B0A87">
        <w:rPr>
          <w:u w:val="single"/>
        </w:rPr>
        <w:t>2</w:t>
      </w:r>
      <w:r>
        <w:t xml:space="preserve">: </w:t>
      </w:r>
      <w:r w:rsidR="0089627D">
        <w:t>Use genotype information to assess contact investigations</w:t>
      </w:r>
    </w:p>
    <w:p w14:paraId="089E9573" w14:textId="5C93CD1F" w:rsidR="00707000" w:rsidRPr="005C0460" w:rsidRDefault="005C0460" w:rsidP="00707000">
      <w:r>
        <w:rPr>
          <w:b/>
          <w:bCs w:val="0"/>
          <w:u w:val="single"/>
        </w:rPr>
        <w:t>Activity</w:t>
      </w:r>
      <w:r w:rsidR="00796FD1">
        <w:rPr>
          <w:b/>
          <w:bCs w:val="0"/>
          <w:u w:val="single"/>
        </w:rPr>
        <w:t xml:space="preserve"> 1</w:t>
      </w:r>
      <w:r>
        <w:t>: Utilize estimates of recent transmission and extensive recent transmission for genotype clusters identified statewide.</w:t>
      </w:r>
    </w:p>
    <w:p w14:paraId="69314D6E" w14:textId="15269BE8" w:rsidR="00707000" w:rsidRPr="00707000" w:rsidRDefault="00707000" w:rsidP="00707000">
      <w:r>
        <w:rPr>
          <w:noProof/>
        </w:rPr>
        <w:drawing>
          <wp:inline distT="0" distB="0" distL="0" distR="0" wp14:anchorId="1B07FEFE" wp14:editId="2AB14ED9">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1F86B6" w14:textId="3AE348CF" w:rsidR="00C95F61" w:rsidRDefault="00C95F61" w:rsidP="00664E7E">
      <w:pPr>
        <w:pStyle w:val="Heading2"/>
      </w:pPr>
      <w:r w:rsidRPr="00664E7E">
        <w:rPr>
          <w:u w:val="single"/>
        </w:rPr>
        <w:lastRenderedPageBreak/>
        <w:t xml:space="preserve">Goal </w:t>
      </w:r>
      <w:r w:rsidR="005B0A87">
        <w:rPr>
          <w:u w:val="single"/>
        </w:rPr>
        <w:t>3</w:t>
      </w:r>
      <w:r>
        <w:t>: Ensure treatment completion for patients diagnosed with TBI at regional and local public health departments</w:t>
      </w:r>
    </w:p>
    <w:p w14:paraId="4708B5E5" w14:textId="6463009A" w:rsidR="00ED7259" w:rsidRDefault="00ED7259" w:rsidP="00ED7259">
      <w:pPr>
        <w:spacing w:after="60"/>
      </w:pPr>
      <w:r>
        <w:rPr>
          <w:b/>
          <w:bCs w:val="0"/>
          <w:u w:val="single"/>
        </w:rPr>
        <w:t>Activity 1</w:t>
      </w:r>
      <w:r>
        <w:t>: Designate a case manager for each patient diagnosed with TBI by regional and local health departments.</w:t>
      </w:r>
    </w:p>
    <w:p w14:paraId="451AED7C" w14:textId="00281C98" w:rsidR="00ED7259" w:rsidRDefault="00582EBE" w:rsidP="00ED7259">
      <w:pPr>
        <w:spacing w:after="60"/>
      </w:pPr>
      <w:r>
        <w:rPr>
          <w:b/>
          <w:bCs w:val="0"/>
          <w:u w:val="single"/>
        </w:rPr>
        <w:t>Activity 2</w:t>
      </w:r>
      <w:r>
        <w:t>: Continue the use of the 12-week isoniazid/rifapentine “3HP” regimen</w:t>
      </w:r>
    </w:p>
    <w:p w14:paraId="1DDDAEDD" w14:textId="2D0EFE65" w:rsidR="00582EBE" w:rsidRDefault="00582EBE" w:rsidP="00ED7259">
      <w:pPr>
        <w:spacing w:after="60"/>
      </w:pPr>
      <w:r>
        <w:rPr>
          <w:b/>
          <w:bCs w:val="0"/>
          <w:u w:val="single"/>
        </w:rPr>
        <w:t>Activity 3</w:t>
      </w:r>
      <w:r>
        <w:t>: Expand the use of alternative methods of directly observed therapy (DOT) and directly observed preventive therapy (DOPT)</w:t>
      </w:r>
    </w:p>
    <w:p w14:paraId="33423724" w14:textId="5C0A45EB" w:rsidR="00582EBE" w:rsidRPr="00582EBE" w:rsidRDefault="00582EBE" w:rsidP="00ED7259">
      <w:pPr>
        <w:spacing w:after="60"/>
      </w:pPr>
      <w:r>
        <w:rPr>
          <w:b/>
          <w:bCs w:val="0"/>
          <w:u w:val="single"/>
        </w:rPr>
        <w:t>Action Step</w:t>
      </w:r>
      <w:r>
        <w:t>: Implement statewide use of synchronous and asynchronous DOT/DOPT</w:t>
      </w:r>
    </w:p>
    <w:p w14:paraId="287AD63A" w14:textId="3B5DF734" w:rsidR="00E07FCE" w:rsidRDefault="00C95F61" w:rsidP="00E07FCE">
      <w:pPr>
        <w:pStyle w:val="Heading2"/>
      </w:pPr>
      <w:r w:rsidRPr="00C22490">
        <w:rPr>
          <w:u w:val="single"/>
        </w:rPr>
        <w:t xml:space="preserve">Goal </w:t>
      </w:r>
      <w:r w:rsidR="005B0A87">
        <w:rPr>
          <w:u w:val="single"/>
        </w:rPr>
        <w:t>4</w:t>
      </w:r>
      <w:r>
        <w:t>: Enhance TBI surveillance</w:t>
      </w:r>
    </w:p>
    <w:p w14:paraId="1C37B01C" w14:textId="77777777" w:rsidR="001B53D0" w:rsidRDefault="001B53D0" w:rsidP="001B53D0">
      <w:pPr>
        <w:spacing w:after="60"/>
      </w:pPr>
      <w:r>
        <w:rPr>
          <w:b/>
          <w:bCs w:val="0"/>
          <w:u w:val="single"/>
        </w:rPr>
        <w:t>Activity 1</w:t>
      </w:r>
      <w:r>
        <w:t>: Modify TBI page in state surveillance system to include all CDC’s TB Latent Infection Surveillance System (TBLISS) data elements</w:t>
      </w:r>
    </w:p>
    <w:p w14:paraId="1F6BEFCD" w14:textId="77777777" w:rsidR="001B53D0" w:rsidRPr="00571309" w:rsidRDefault="001B53D0" w:rsidP="001B53D0">
      <w:r>
        <w:rPr>
          <w:b/>
          <w:bCs w:val="0"/>
          <w:u w:val="single"/>
        </w:rPr>
        <w:t>Activity 2</w:t>
      </w:r>
      <w:r>
        <w:t>: Submit cases of TB infection (TBI) to CDC via HL7 messaging.</w:t>
      </w:r>
    </w:p>
    <w:p w14:paraId="72BE5853" w14:textId="490B049F" w:rsidR="00E07FCE" w:rsidRDefault="00E07FCE" w:rsidP="00E07FCE">
      <w:pPr>
        <w:pStyle w:val="Heading2"/>
      </w:pPr>
      <w:r w:rsidRPr="00C22490">
        <w:rPr>
          <w:u w:val="single"/>
        </w:rPr>
        <w:t xml:space="preserve">Goal </w:t>
      </w:r>
      <w:r w:rsidR="005B0A87">
        <w:rPr>
          <w:u w:val="single"/>
        </w:rPr>
        <w:t>5</w:t>
      </w:r>
      <w:r>
        <w:t>: Ensure completeness of contact investigations</w:t>
      </w:r>
    </w:p>
    <w:p w14:paraId="7FF75412" w14:textId="52512380" w:rsidR="00E07FCE" w:rsidRDefault="00F12A78" w:rsidP="00F12A78">
      <w:pPr>
        <w:spacing w:after="60"/>
      </w:pPr>
      <w:r>
        <w:rPr>
          <w:b/>
          <w:bCs w:val="0"/>
          <w:u w:val="single"/>
        </w:rPr>
        <w:t>Activity 1</w:t>
      </w:r>
      <w:r>
        <w:t>: Utilize Aggregate Reports for Tuberculosis Evaluation (ARPE) to develop overall regional summary of contact investigation for years 2015-2019.</w:t>
      </w:r>
    </w:p>
    <w:p w14:paraId="0DCBC93C" w14:textId="776FB21D" w:rsidR="00F12A78" w:rsidRDefault="00F12A78" w:rsidP="00F12A78">
      <w:pPr>
        <w:spacing w:after="60"/>
      </w:pPr>
      <w:r>
        <w:rPr>
          <w:b/>
          <w:bCs w:val="0"/>
          <w:u w:val="single"/>
        </w:rPr>
        <w:t>Activity 2</w:t>
      </w:r>
      <w:r>
        <w:t xml:space="preserve">: Review regional programmatic assessments </w:t>
      </w:r>
      <w:r w:rsidR="00ED7259">
        <w:t xml:space="preserve">to identify issues with contact investigation.  </w:t>
      </w:r>
    </w:p>
    <w:p w14:paraId="1310EAD7" w14:textId="4BF916B1" w:rsidR="00ED7259" w:rsidRPr="00ED7259" w:rsidRDefault="00ED7259" w:rsidP="00F12A78">
      <w:pPr>
        <w:spacing w:after="60"/>
      </w:pPr>
    </w:p>
    <w:p w14:paraId="68307992" w14:textId="77777777" w:rsidR="00F12A78" w:rsidRPr="00F12A78" w:rsidRDefault="00F12A78" w:rsidP="00E07FCE"/>
    <w:p w14:paraId="35F9B6B6" w14:textId="270AE6E1" w:rsidR="005B05E4" w:rsidRPr="00E43148" w:rsidRDefault="00706059" w:rsidP="005B05E4">
      <w:pPr>
        <w:pStyle w:val="Heading1"/>
        <w:rPr>
          <w:color w:val="666666" w:themeColor="accent5"/>
        </w:rPr>
      </w:pPr>
      <w:r>
        <w:rPr>
          <w:color w:val="666666" w:themeColor="accent5"/>
        </w:rPr>
        <w:t>Screening, Testing, and Treatment of Other Selected Persons at High Risk for TB Infection and Subsequent Active TB Disease to Detect Persons Who Can Most Benefit from Treatment for TB Infection</w:t>
      </w:r>
    </w:p>
    <w:p w14:paraId="5BA43EB5" w14:textId="77777777" w:rsidR="00F84CEE" w:rsidRDefault="00F84CEE" w:rsidP="00F84CEE"/>
    <w:p w14:paraId="326D9A88" w14:textId="6939C64A" w:rsidR="00F84CEE" w:rsidRDefault="00F84CEE" w:rsidP="00F84CEE">
      <w:pPr>
        <w:pStyle w:val="Heading2"/>
      </w:pPr>
      <w:r>
        <w:t>Introduction</w:t>
      </w:r>
    </w:p>
    <w:p w14:paraId="31CE1E56" w14:textId="59A6C3A8" w:rsidR="00F84CEE" w:rsidRDefault="00B65464" w:rsidP="00F84CEE">
      <w:pPr>
        <w:rPr>
          <w:b/>
          <w:bCs w:val="0"/>
          <w:color w:val="497ECA" w:themeColor="text2" w:themeTint="99"/>
        </w:rPr>
      </w:pPr>
      <w:r>
        <w:rPr>
          <w:noProof/>
        </w:rPr>
        <w:lastRenderedPageBreak/>
        <mc:AlternateContent>
          <mc:Choice Requires="wps">
            <w:drawing>
              <wp:anchor distT="0" distB="0" distL="274320" distR="114300" simplePos="0" relativeHeight="251715584" behindDoc="0" locked="0" layoutInCell="1" allowOverlap="1" wp14:anchorId="4B6E954B" wp14:editId="46DA795E">
                <wp:simplePos x="0" y="0"/>
                <wp:positionH relativeFrom="column">
                  <wp:posOffset>4895850</wp:posOffset>
                </wp:positionH>
                <wp:positionV relativeFrom="paragraph">
                  <wp:posOffset>87630</wp:posOffset>
                </wp:positionV>
                <wp:extent cx="1435100" cy="72771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435100" cy="727710"/>
                        </a:xfrm>
                        <a:prstGeom prst="rect">
                          <a:avLst/>
                        </a:prstGeom>
                        <a:solidFill>
                          <a:sysClr val="window" lastClr="FFFFFF"/>
                        </a:solidFill>
                        <a:ln w="6350">
                          <a:noFill/>
                        </a:ln>
                        <a:effectLst/>
                      </wps:spPr>
                      <wps:txbx>
                        <w:txbxContent>
                          <w:p w14:paraId="47C38261" w14:textId="77777777" w:rsidR="00F84CEE" w:rsidRPr="00484D34" w:rsidRDefault="00F84CEE" w:rsidP="00F84CEE">
                            <w:pPr>
                              <w:pStyle w:val="PullQuote0"/>
                            </w:pPr>
                            <w:r>
                              <w:t xml:space="preserve">Placeholder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E954B" id="Text Box 17" o:spid="_x0000_s1029" type="#_x0000_t202" style="position:absolute;margin-left:385.5pt;margin-top:6.9pt;width:113pt;height:57.3pt;z-index:251715584;visibility:visible;mso-wrap-style:square;mso-width-percent:0;mso-height-percent:0;mso-wrap-distance-left:21.6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TYVQIAAKEEAAAOAAAAZHJzL2Uyb0RvYy54bWysVE1vGjEQvVfqf7B8LwsEQopYIkpEVSlK&#10;IoUqZ+P1wkpej2sbdumv77MXSJr2VJWD8cw8z8ebmZ3dtrVmB+V8RSbng16fM2UkFZXZ5vz7evXp&#10;hjMfhCmEJqNyflSe384/fpg1dqqGtCNdKMfgxPhpY3O+C8FOs8zLnaqF75FVBsaSXC0CRLfNCica&#10;eK91Nuz3r7OGXGEdSeU9tHedkc+T/7JUMjyWpVeB6Zwjt5BOl85NPLP5TEy3TthdJU9piH/IohaV&#10;QdCLqzsRBNu76g9XdSUdeSpDT1KdUVlWUqUaUM2g/66a552wKtUCcry90OT/n1v5cHhyrCrQuwln&#10;RtTo0Vq1gX2hlkEFfhrrp4A9WwBDCz2wZ72HMpbdlq6O/yiIwQ6mjxd2ozcZH42uxoM+TBK2yXAy&#10;GST6s9fX1vnwVVHN4iXnDt1LpIrDvQ/IBNAzJAbzpKtiVWmdhKNfascOAo3GfBTUcKaFD1DmfJV+&#10;MWm4+O2ZNqzJ+fXVuJ8iGYr+Opw20a9KQ3SKH6noSo630G7aRN34TMeGiiNYctTNmbdyVaGUe+Tx&#10;JBwGC9VjWcIjjlITItPpxtmO3M+/6SMe/YaVswaDmnP/Yy+cQnnfDCbh82A0ipOdhNF4MoTg3lo2&#10;by1mXy8JFA2wllama8QHfb6WjuoX7NQiRoVJGInYOd+cr8vQrQ92UqrFIoEwy1aEe/NsZXQdeYuN&#10;WrcvwtlTNwPm4IHOIy2m75raYeNLQ4t9oLJKHY88d6yid1HAHqQunnY2LtpbOaFevyzzXwAAAP//&#10;AwBQSwMEFAAGAAgAAAAhAIrf/WXgAAAACgEAAA8AAABkcnMvZG93bnJldi54bWxMj81OwzAQhO9I&#10;vIO1SNyo04LID3EqVCkICXFoQa24OfGShMbrKHab8PYsJzjuzGh2vnw9216ccfSdIwXLRQQCqXam&#10;o0bB+1t5k4DwQZPRvSNU8I0e1sXlRa4z4yba4nkXGsEl5DOtoA1hyKT0dYtW+4UbkNj7dKPVgc+x&#10;kWbUE5fbXq6i6F5a3RF/aPWAmxbr4+5kFTzFyWtK08vmmJCu9uWh/Pp47pW6vpofH0AEnMNfGH7n&#10;83QoeFPlTmS86BXE8ZJZAhu3jMCBNI1ZqFhYJXcgi1z+Ryh+AAAA//8DAFBLAQItABQABgAIAAAA&#10;IQC2gziS/gAAAOEBAAATAAAAAAAAAAAAAAAAAAAAAABbQ29udGVudF9UeXBlc10ueG1sUEsBAi0A&#10;FAAGAAgAAAAhADj9If/WAAAAlAEAAAsAAAAAAAAAAAAAAAAALwEAAF9yZWxzLy5yZWxzUEsBAi0A&#10;FAAGAAgAAAAhAM+qxNhVAgAAoQQAAA4AAAAAAAAAAAAAAAAALgIAAGRycy9lMm9Eb2MueG1sUEsB&#10;Ai0AFAAGAAgAAAAhAIrf/WXgAAAACgEAAA8AAAAAAAAAAAAAAAAArwQAAGRycy9kb3ducmV2Lnht&#10;bFBLBQYAAAAABAAEAPMAAAC8BQAAAAA=&#10;" fillcolor="window" stroked="f" strokeweight=".5pt">
                <v:textbox>
                  <w:txbxContent>
                    <w:p w14:paraId="47C38261" w14:textId="77777777" w:rsidR="00F84CEE" w:rsidRPr="00484D34" w:rsidRDefault="00F84CEE" w:rsidP="00F84CEE">
                      <w:pPr>
                        <w:pStyle w:val="PullQuote0"/>
                      </w:pPr>
                      <w:r>
                        <w:t xml:space="preserve">Placeholder </w:t>
                      </w:r>
                    </w:p>
                  </w:txbxContent>
                </v:textbox>
                <w10:wrap type="square"/>
              </v:shape>
            </w:pict>
          </mc:Fallback>
        </mc:AlternateContent>
      </w:r>
      <w:r w:rsidR="0089627D">
        <w:t>In 2016, the United States Preventive Services Task Force (USPSTF) issued a grade B recommendation for medical service providers to screen for latent TB infection among asymptomatic adults at risk for TB infection.  This recommendation includes risk assessment, screening, and treatment and interventions.</w:t>
      </w:r>
      <w:r w:rsidR="00D86458">
        <w:t xml:space="preserve">  The full recommendation can be accessed at </w:t>
      </w:r>
      <w:hyperlink r:id="rId22" w:anchor="fullrecommendationstart" w:history="1">
        <w:r w:rsidR="00D86458" w:rsidRPr="00D86458">
          <w:rPr>
            <w:rStyle w:val="Hyperlink"/>
            <w:b/>
            <w:bCs w:val="0"/>
            <w:color w:val="497ECA" w:themeColor="text2" w:themeTint="99"/>
          </w:rPr>
          <w:t>https://www.uspreventiveservicestaskforce.org/uspstf/recommendation/latent-tuberculosis-infection-screening#fullrecommendationstart</w:t>
        </w:r>
      </w:hyperlink>
      <w:r w:rsidR="00D86458" w:rsidRPr="00D86458">
        <w:rPr>
          <w:b/>
          <w:bCs w:val="0"/>
          <w:color w:val="497ECA" w:themeColor="text2" w:themeTint="99"/>
        </w:rPr>
        <w:t xml:space="preserve"> </w:t>
      </w:r>
    </w:p>
    <w:p w14:paraId="0C78683F" w14:textId="77777777" w:rsidR="00571629" w:rsidRDefault="00571629" w:rsidP="00571629">
      <w:r>
        <w:rPr>
          <w:b/>
          <w:bCs w:val="0"/>
        </w:rPr>
        <w:t xml:space="preserve">Tables X </w:t>
      </w:r>
      <w:r>
        <w:t xml:space="preserve">and </w:t>
      </w:r>
      <w:r>
        <w:rPr>
          <w:b/>
          <w:bCs w:val="0"/>
        </w:rPr>
        <w:t>X</w:t>
      </w:r>
      <w:r>
        <w:t xml:space="preserve"> identify risk factors for </w:t>
      </w:r>
      <w:r>
        <w:rPr>
          <w:i/>
          <w:iCs/>
        </w:rPr>
        <w:t>Mycobacterium tuberculosis</w:t>
      </w:r>
      <w:r>
        <w:t xml:space="preserve"> infection and risk factors for progression to active disease, if infected</w:t>
      </w:r>
      <w:r>
        <w:rPr>
          <w:rStyle w:val="FootnoteReference"/>
        </w:rPr>
        <w:footnoteReference w:id="5"/>
      </w:r>
      <w:r>
        <w:t>.</w:t>
      </w:r>
    </w:p>
    <w:p w14:paraId="024402D8" w14:textId="77777777" w:rsidR="00571629" w:rsidRPr="00057A1E" w:rsidRDefault="00571629" w:rsidP="00571629">
      <w:pPr>
        <w:rPr>
          <w:b/>
          <w:bCs w:val="0"/>
        </w:rPr>
      </w:pPr>
      <w:r>
        <w:rPr>
          <w:b/>
          <w:bCs w:val="0"/>
        </w:rPr>
        <w:t xml:space="preserve">Table X. Risk Factors for </w:t>
      </w:r>
      <w:r>
        <w:rPr>
          <w:b/>
          <w:bCs w:val="0"/>
          <w:i/>
          <w:iCs/>
        </w:rPr>
        <w:t xml:space="preserve">Mycobacterium tuberculosis </w:t>
      </w:r>
      <w:r>
        <w:rPr>
          <w:b/>
          <w:bCs w:val="0"/>
        </w:rPr>
        <w:t>Infection</w:t>
      </w:r>
    </w:p>
    <w:tbl>
      <w:tblPr>
        <w:tblStyle w:val="TableGrid"/>
        <w:tblW w:w="0" w:type="auto"/>
        <w:tblLook w:val="04A0" w:firstRow="1" w:lastRow="0" w:firstColumn="1" w:lastColumn="0" w:noHBand="0" w:noVBand="1"/>
      </w:tblPr>
      <w:tblGrid>
        <w:gridCol w:w="4675"/>
        <w:gridCol w:w="4675"/>
      </w:tblGrid>
      <w:tr w:rsidR="00571629" w14:paraId="7C3E953D" w14:textId="77777777" w:rsidTr="00D01992">
        <w:tc>
          <w:tcPr>
            <w:tcW w:w="4675" w:type="dxa"/>
          </w:tcPr>
          <w:p w14:paraId="062DD6AA" w14:textId="77777777" w:rsidR="00571629" w:rsidRDefault="00571629" w:rsidP="00D01992">
            <w:pPr>
              <w:pStyle w:val="ListParagraph"/>
              <w:numPr>
                <w:ilvl w:val="0"/>
                <w:numId w:val="20"/>
              </w:numPr>
              <w:spacing w:after="0" w:line="240" w:lineRule="auto"/>
            </w:pPr>
            <w:r>
              <w:t>Close contacts of persons known or suspected to have tuberculosis</w:t>
            </w:r>
          </w:p>
        </w:tc>
        <w:tc>
          <w:tcPr>
            <w:tcW w:w="4675" w:type="dxa"/>
          </w:tcPr>
          <w:p w14:paraId="2790E219" w14:textId="77777777" w:rsidR="00571629" w:rsidRDefault="00571629" w:rsidP="00D01992">
            <w:pPr>
              <w:pStyle w:val="ListParagraph"/>
              <w:numPr>
                <w:ilvl w:val="0"/>
                <w:numId w:val="20"/>
              </w:numPr>
              <w:spacing w:after="0" w:line="240" w:lineRule="auto"/>
            </w:pPr>
            <w:r>
              <w:t>Foreign-born persons from areas that have a high incident of active tuberculosis (e.g., Africa, Asia, Eastern Europe, and Russia)</w:t>
            </w:r>
          </w:p>
        </w:tc>
      </w:tr>
      <w:tr w:rsidR="00571629" w14:paraId="6B0A9CEE" w14:textId="77777777" w:rsidTr="00D01992">
        <w:tc>
          <w:tcPr>
            <w:tcW w:w="4675" w:type="dxa"/>
          </w:tcPr>
          <w:p w14:paraId="07F030A6" w14:textId="77777777" w:rsidR="00571629" w:rsidRDefault="00571629" w:rsidP="00D01992">
            <w:pPr>
              <w:pStyle w:val="ListParagraph"/>
              <w:numPr>
                <w:ilvl w:val="0"/>
                <w:numId w:val="20"/>
              </w:numPr>
              <w:spacing w:after="0" w:line="240" w:lineRule="auto"/>
            </w:pPr>
            <w:r>
              <w:t>Persons who visit areas with a high prevalence of active tuberculosis, especially if visits are frequent or prolonged</w:t>
            </w:r>
          </w:p>
        </w:tc>
        <w:tc>
          <w:tcPr>
            <w:tcW w:w="4675" w:type="dxa"/>
          </w:tcPr>
          <w:p w14:paraId="24870654" w14:textId="77777777" w:rsidR="00571629" w:rsidRDefault="00571629" w:rsidP="00D01992">
            <w:pPr>
              <w:pStyle w:val="ListParagraph"/>
              <w:numPr>
                <w:ilvl w:val="0"/>
                <w:numId w:val="20"/>
              </w:numPr>
              <w:spacing w:after="0" w:line="240" w:lineRule="auto"/>
            </w:pPr>
            <w:r>
              <w:t>Residents and employees of congregate settings whose clients are at increased risk for active tuberculosis (e.g., correctional facilities, long-term care facilities, and homeless shelters)</w:t>
            </w:r>
          </w:p>
        </w:tc>
      </w:tr>
      <w:tr w:rsidR="00571629" w14:paraId="43735765" w14:textId="77777777" w:rsidTr="00D01992">
        <w:tc>
          <w:tcPr>
            <w:tcW w:w="4675" w:type="dxa"/>
          </w:tcPr>
          <w:p w14:paraId="11333D31" w14:textId="77777777" w:rsidR="00571629" w:rsidRDefault="00571629" w:rsidP="00D01992">
            <w:pPr>
              <w:pStyle w:val="ListParagraph"/>
              <w:numPr>
                <w:ilvl w:val="0"/>
                <w:numId w:val="20"/>
              </w:numPr>
              <w:spacing w:after="0" w:line="240" w:lineRule="auto"/>
            </w:pPr>
            <w:r>
              <w:t>Health-care workers who serve clients who are at increased risk for active tuberculosis</w:t>
            </w:r>
          </w:p>
        </w:tc>
        <w:tc>
          <w:tcPr>
            <w:tcW w:w="4675" w:type="dxa"/>
          </w:tcPr>
          <w:p w14:paraId="75BF3579" w14:textId="77777777" w:rsidR="00571629" w:rsidRDefault="00571629" w:rsidP="00D01992">
            <w:pPr>
              <w:pStyle w:val="ListParagraph"/>
              <w:numPr>
                <w:ilvl w:val="0"/>
                <w:numId w:val="20"/>
              </w:numPr>
              <w:spacing w:after="0" w:line="240" w:lineRule="auto"/>
            </w:pPr>
            <w:r>
              <w:t xml:space="preserve">Populations defined locally has having an increased incidence of latent </w:t>
            </w:r>
            <w:r>
              <w:rPr>
                <w:i/>
                <w:iCs/>
              </w:rPr>
              <w:t>M. tuberculosis</w:t>
            </w:r>
            <w:r>
              <w:t xml:space="preserve"> infection or active tuberculosis, possibly including medically underserved, low-income populations, or persons who abuse drugs or alcohol</w:t>
            </w:r>
          </w:p>
        </w:tc>
      </w:tr>
      <w:tr w:rsidR="00571629" w14:paraId="4A70D759" w14:textId="77777777" w:rsidTr="00D01992">
        <w:tc>
          <w:tcPr>
            <w:tcW w:w="4675" w:type="dxa"/>
          </w:tcPr>
          <w:p w14:paraId="3AECA205" w14:textId="77777777" w:rsidR="00571629" w:rsidRDefault="00571629" w:rsidP="00D01992">
            <w:pPr>
              <w:pStyle w:val="ListParagraph"/>
              <w:numPr>
                <w:ilvl w:val="0"/>
                <w:numId w:val="20"/>
              </w:numPr>
              <w:spacing w:after="0" w:line="240" w:lineRule="auto"/>
            </w:pPr>
            <w:r>
              <w:t xml:space="preserve">Infants, children, and adolescents exposed to adults who are at increased risk for latent </w:t>
            </w:r>
            <w:r>
              <w:rPr>
                <w:i/>
                <w:iCs/>
              </w:rPr>
              <w:t>M. tuberculosis</w:t>
            </w:r>
            <w:r>
              <w:t xml:space="preserve"> infection or active tuberculosis</w:t>
            </w:r>
          </w:p>
        </w:tc>
        <w:tc>
          <w:tcPr>
            <w:tcW w:w="4675" w:type="dxa"/>
          </w:tcPr>
          <w:p w14:paraId="23107BF9" w14:textId="77777777" w:rsidR="00571629" w:rsidRDefault="00571629" w:rsidP="00D01992">
            <w:pPr>
              <w:spacing w:after="0" w:line="240" w:lineRule="auto"/>
            </w:pPr>
          </w:p>
        </w:tc>
      </w:tr>
    </w:tbl>
    <w:p w14:paraId="66024DA4" w14:textId="77777777" w:rsidR="00571629" w:rsidRDefault="00571629" w:rsidP="00571629"/>
    <w:p w14:paraId="01698465" w14:textId="77777777" w:rsidR="00571629" w:rsidRDefault="00571629" w:rsidP="00571629">
      <w:pPr>
        <w:ind w:left="720" w:hanging="720"/>
        <w:rPr>
          <w:b/>
          <w:bCs w:val="0"/>
        </w:rPr>
      </w:pPr>
      <w:r>
        <w:rPr>
          <w:b/>
          <w:bCs w:val="0"/>
        </w:rPr>
        <w:lastRenderedPageBreak/>
        <w:t xml:space="preserve">Table X. Risk Factors for Progression of Infection to Active Tuberculosis </w:t>
      </w:r>
    </w:p>
    <w:tbl>
      <w:tblPr>
        <w:tblStyle w:val="TableGrid"/>
        <w:tblW w:w="0" w:type="auto"/>
        <w:tblInd w:w="-5" w:type="dxa"/>
        <w:tblLook w:val="04A0" w:firstRow="1" w:lastRow="0" w:firstColumn="1" w:lastColumn="0" w:noHBand="0" w:noVBand="1"/>
      </w:tblPr>
      <w:tblGrid>
        <w:gridCol w:w="4680"/>
        <w:gridCol w:w="4675"/>
      </w:tblGrid>
      <w:tr w:rsidR="00571629" w14:paraId="4AAE3043" w14:textId="77777777" w:rsidTr="00D01992">
        <w:tc>
          <w:tcPr>
            <w:tcW w:w="4680" w:type="dxa"/>
          </w:tcPr>
          <w:p w14:paraId="4808B4D0" w14:textId="77777777" w:rsidR="00571629" w:rsidRDefault="00571629" w:rsidP="00D01992">
            <w:pPr>
              <w:pStyle w:val="ListParagraph"/>
              <w:numPr>
                <w:ilvl w:val="0"/>
                <w:numId w:val="21"/>
              </w:numPr>
              <w:spacing w:after="0" w:line="240" w:lineRule="auto"/>
            </w:pPr>
            <w:r>
              <w:t>Persons with human immunodeficiency virus (HIV) infection</w:t>
            </w:r>
          </w:p>
        </w:tc>
        <w:tc>
          <w:tcPr>
            <w:tcW w:w="4675" w:type="dxa"/>
          </w:tcPr>
          <w:p w14:paraId="110D6A28" w14:textId="77777777" w:rsidR="00571629" w:rsidRDefault="00571629" w:rsidP="00D01992">
            <w:pPr>
              <w:pStyle w:val="ListParagraph"/>
              <w:numPr>
                <w:ilvl w:val="0"/>
                <w:numId w:val="21"/>
              </w:numPr>
              <w:spacing w:after="0" w:line="240" w:lineRule="auto"/>
            </w:pPr>
            <w:r>
              <w:t>Infants and children aged &lt;5 years</w:t>
            </w:r>
          </w:p>
        </w:tc>
      </w:tr>
      <w:tr w:rsidR="00571629" w14:paraId="34F42580" w14:textId="77777777" w:rsidTr="00D01992">
        <w:tc>
          <w:tcPr>
            <w:tcW w:w="4680" w:type="dxa"/>
          </w:tcPr>
          <w:p w14:paraId="177E48DE" w14:textId="77777777" w:rsidR="00571629" w:rsidRDefault="00571629" w:rsidP="00D01992">
            <w:pPr>
              <w:pStyle w:val="ListParagraph"/>
              <w:numPr>
                <w:ilvl w:val="0"/>
                <w:numId w:val="21"/>
              </w:numPr>
              <w:spacing w:after="0" w:line="240" w:lineRule="auto"/>
            </w:pPr>
            <w:r>
              <w:t>Persons who are receiving immunosuppressive therapy such as tumor necrosis factor-alpha (TNF-α) antagonists, systemic corticosteroids equivalent to ≥15 mg of prednisone per day, or immunosuppressive drug therapy following organ transplantation</w:t>
            </w:r>
          </w:p>
        </w:tc>
        <w:tc>
          <w:tcPr>
            <w:tcW w:w="4675" w:type="dxa"/>
          </w:tcPr>
          <w:p w14:paraId="62BE2DE9" w14:textId="77777777" w:rsidR="00571629" w:rsidRDefault="00571629" w:rsidP="00D01992">
            <w:pPr>
              <w:pStyle w:val="ListParagraph"/>
              <w:numPr>
                <w:ilvl w:val="0"/>
                <w:numId w:val="21"/>
              </w:numPr>
              <w:spacing w:after="0" w:line="240" w:lineRule="auto"/>
            </w:pPr>
            <w:r>
              <w:t xml:space="preserve">Persons who were recently infected with </w:t>
            </w:r>
            <w:r>
              <w:rPr>
                <w:i/>
                <w:iCs/>
              </w:rPr>
              <w:t>M. tuberculosis</w:t>
            </w:r>
            <w:r>
              <w:t xml:space="preserve"> (within the past 2 years)</w:t>
            </w:r>
          </w:p>
        </w:tc>
      </w:tr>
      <w:tr w:rsidR="00571629" w14:paraId="141434B9" w14:textId="77777777" w:rsidTr="00D01992">
        <w:tc>
          <w:tcPr>
            <w:tcW w:w="4680" w:type="dxa"/>
          </w:tcPr>
          <w:p w14:paraId="154F81E2" w14:textId="77777777" w:rsidR="00571629" w:rsidRDefault="00571629" w:rsidP="00D01992">
            <w:pPr>
              <w:pStyle w:val="ListParagraph"/>
              <w:numPr>
                <w:ilvl w:val="0"/>
                <w:numId w:val="21"/>
              </w:numPr>
              <w:spacing w:after="0" w:line="240" w:lineRule="auto"/>
            </w:pPr>
            <w:r>
              <w:t>Persons with a history of untreated or inadequately treated active tuberculosis, including persons with fibrotic changes on chest radiographs consistent with prior active tuberculosis</w:t>
            </w:r>
          </w:p>
        </w:tc>
        <w:tc>
          <w:tcPr>
            <w:tcW w:w="4675" w:type="dxa"/>
          </w:tcPr>
          <w:p w14:paraId="26368189" w14:textId="77777777" w:rsidR="00571629" w:rsidRDefault="00571629" w:rsidP="00D01992">
            <w:pPr>
              <w:pStyle w:val="ListParagraph"/>
              <w:numPr>
                <w:ilvl w:val="0"/>
                <w:numId w:val="21"/>
              </w:numPr>
              <w:spacing w:after="0" w:line="240" w:lineRule="auto"/>
            </w:pPr>
            <w:r>
              <w:t>Persons with silicosis, diabetes mellitus, chronic renal failure, leukemia, lymphoma, or cancer of the head, neck, or lung</w:t>
            </w:r>
          </w:p>
        </w:tc>
      </w:tr>
      <w:tr w:rsidR="00571629" w14:paraId="42B6F9E2" w14:textId="77777777" w:rsidTr="00D01992">
        <w:tc>
          <w:tcPr>
            <w:tcW w:w="4680" w:type="dxa"/>
          </w:tcPr>
          <w:p w14:paraId="6637496A" w14:textId="77777777" w:rsidR="00571629" w:rsidRDefault="00571629" w:rsidP="00D01992">
            <w:pPr>
              <w:pStyle w:val="ListParagraph"/>
              <w:numPr>
                <w:ilvl w:val="0"/>
                <w:numId w:val="21"/>
              </w:numPr>
              <w:spacing w:after="0" w:line="240" w:lineRule="auto"/>
            </w:pPr>
            <w:r>
              <w:t>Persons who have had a gastrectomy or jejunoileal bypass</w:t>
            </w:r>
          </w:p>
        </w:tc>
        <w:tc>
          <w:tcPr>
            <w:tcW w:w="4675" w:type="dxa"/>
          </w:tcPr>
          <w:p w14:paraId="720847CA" w14:textId="77777777" w:rsidR="00571629" w:rsidRDefault="00571629" w:rsidP="00D01992">
            <w:pPr>
              <w:pStyle w:val="ListParagraph"/>
              <w:numPr>
                <w:ilvl w:val="0"/>
                <w:numId w:val="21"/>
              </w:numPr>
              <w:spacing w:after="0" w:line="240" w:lineRule="auto"/>
            </w:pPr>
            <w:r>
              <w:t>Persons who weigh &lt;90% of their ideal body weight</w:t>
            </w:r>
          </w:p>
        </w:tc>
      </w:tr>
      <w:tr w:rsidR="00571629" w14:paraId="7504D117" w14:textId="77777777" w:rsidTr="00D01992">
        <w:tc>
          <w:tcPr>
            <w:tcW w:w="4680" w:type="dxa"/>
          </w:tcPr>
          <w:p w14:paraId="009D235B" w14:textId="77777777" w:rsidR="00571629" w:rsidRDefault="00571629" w:rsidP="00D01992">
            <w:pPr>
              <w:pStyle w:val="ListParagraph"/>
              <w:numPr>
                <w:ilvl w:val="0"/>
                <w:numId w:val="21"/>
              </w:numPr>
              <w:spacing w:after="0" w:line="240" w:lineRule="auto"/>
            </w:pPr>
            <w:r>
              <w:t>Cigarette smokers and persons who abuse drugs or alcohol</w:t>
            </w:r>
          </w:p>
        </w:tc>
        <w:tc>
          <w:tcPr>
            <w:tcW w:w="4675" w:type="dxa"/>
          </w:tcPr>
          <w:p w14:paraId="2761FBC7" w14:textId="77777777" w:rsidR="00571629" w:rsidRDefault="00571629" w:rsidP="00D01992">
            <w:pPr>
              <w:pStyle w:val="ListParagraph"/>
              <w:numPr>
                <w:ilvl w:val="0"/>
                <w:numId w:val="21"/>
              </w:numPr>
              <w:spacing w:after="0" w:line="240" w:lineRule="auto"/>
            </w:pPr>
            <w:r>
              <w:t>Populations defined locally as having an increased incidence of active tuberculosis, possibly including medically underserved or low-income populations</w:t>
            </w:r>
          </w:p>
        </w:tc>
      </w:tr>
    </w:tbl>
    <w:p w14:paraId="5BF2FEE7" w14:textId="77777777" w:rsidR="00571629" w:rsidRDefault="00571629" w:rsidP="00F84CEE">
      <w:pPr>
        <w:rPr>
          <w:b/>
          <w:bCs w:val="0"/>
        </w:rPr>
      </w:pPr>
    </w:p>
    <w:p w14:paraId="21672162" w14:textId="77777777" w:rsidR="00571629" w:rsidRDefault="00571629" w:rsidP="00F84CEE">
      <w:pPr>
        <w:rPr>
          <w:b/>
          <w:bCs w:val="0"/>
        </w:rPr>
      </w:pPr>
    </w:p>
    <w:p w14:paraId="3C44DEF6" w14:textId="1429C494" w:rsidR="00743D45" w:rsidRPr="00743D45" w:rsidRDefault="00EF0EEA" w:rsidP="00F84CEE">
      <w:r>
        <w:rPr>
          <w:b/>
          <w:bCs w:val="0"/>
        </w:rPr>
        <w:t>Table X</w:t>
      </w:r>
      <w:r>
        <w:t xml:space="preserve"> outlines the risk factors </w:t>
      </w:r>
      <w:r w:rsidR="00743D45">
        <w:t xml:space="preserve">and estimated risk </w:t>
      </w:r>
      <w:r>
        <w:t xml:space="preserve">for the development of active tuberculosis among those persons infected with </w:t>
      </w:r>
      <w:r>
        <w:rPr>
          <w:i/>
          <w:iCs/>
        </w:rPr>
        <w:t>Mycobacterium tuberculosis</w:t>
      </w:r>
      <w:r w:rsidR="00743D45">
        <w:t xml:space="preserve"> compared to persons with no risk factors</w:t>
      </w:r>
      <w:r w:rsidR="00743D45">
        <w:rPr>
          <w:rStyle w:val="FootnoteReference"/>
        </w:rPr>
        <w:footnoteReference w:id="6"/>
      </w:r>
      <w:r w:rsidR="00743D45">
        <w:t>.</w:t>
      </w:r>
    </w:p>
    <w:p w14:paraId="6DACECA1" w14:textId="08A2F415" w:rsidR="00EF0EEA" w:rsidRDefault="00EF0EEA" w:rsidP="00F84CEE">
      <w:pPr>
        <w:rPr>
          <w:b/>
          <w:bCs w:val="0"/>
        </w:rPr>
      </w:pPr>
      <w:r>
        <w:rPr>
          <w:b/>
          <w:bCs w:val="0"/>
        </w:rPr>
        <w:t>Table X</w:t>
      </w:r>
    </w:p>
    <w:p w14:paraId="6E7A8B0A" w14:textId="77020AEA" w:rsidR="007857DA" w:rsidRDefault="007857DA" w:rsidP="00F84CEE">
      <w:pPr>
        <w:rPr>
          <w:b/>
          <w:bCs w:val="0"/>
        </w:rPr>
      </w:pPr>
    </w:p>
    <w:p w14:paraId="2469A952" w14:textId="77777777" w:rsidR="007857DA" w:rsidRPr="00EF0EEA" w:rsidRDefault="007857DA" w:rsidP="00F84CEE">
      <w:pPr>
        <w:rPr>
          <w:b/>
          <w:bCs w:val="0"/>
        </w:rPr>
      </w:pPr>
    </w:p>
    <w:tbl>
      <w:tblPr>
        <w:tblStyle w:val="TableGrid"/>
        <w:tblW w:w="0" w:type="auto"/>
        <w:tblLook w:val="04A0" w:firstRow="1" w:lastRow="0" w:firstColumn="1" w:lastColumn="0" w:noHBand="0" w:noVBand="1"/>
      </w:tblPr>
      <w:tblGrid>
        <w:gridCol w:w="5305"/>
        <w:gridCol w:w="4045"/>
      </w:tblGrid>
      <w:tr w:rsidR="00902CA8" w:rsidRPr="00902CA8" w14:paraId="4FB0E86D" w14:textId="77777777" w:rsidTr="00902CA8">
        <w:tc>
          <w:tcPr>
            <w:tcW w:w="5305" w:type="dxa"/>
            <w:shd w:val="clear" w:color="auto" w:fill="D9D9D9" w:themeFill="background1" w:themeFillShade="D9"/>
            <w:vAlign w:val="center"/>
          </w:tcPr>
          <w:p w14:paraId="3E97A4B3" w14:textId="2D00A019" w:rsidR="00902CA8" w:rsidRPr="00902CA8" w:rsidRDefault="00902CA8" w:rsidP="00902CA8">
            <w:pPr>
              <w:spacing w:after="60"/>
              <w:jc w:val="center"/>
              <w:rPr>
                <w:b/>
                <w:bCs w:val="0"/>
              </w:rPr>
            </w:pPr>
            <w:r>
              <w:rPr>
                <w:b/>
                <w:bCs w:val="0"/>
              </w:rPr>
              <w:lastRenderedPageBreak/>
              <w:t>Risk Factor</w:t>
            </w:r>
          </w:p>
        </w:tc>
        <w:tc>
          <w:tcPr>
            <w:tcW w:w="4045" w:type="dxa"/>
            <w:shd w:val="clear" w:color="auto" w:fill="D9D9D9" w:themeFill="background1" w:themeFillShade="D9"/>
            <w:vAlign w:val="center"/>
          </w:tcPr>
          <w:p w14:paraId="5A963660" w14:textId="561CC7ED" w:rsidR="00902CA8" w:rsidRPr="00902CA8" w:rsidRDefault="00902CA8" w:rsidP="00902CA8">
            <w:pPr>
              <w:spacing w:after="60"/>
              <w:jc w:val="center"/>
              <w:rPr>
                <w:b/>
                <w:bCs w:val="0"/>
              </w:rPr>
            </w:pPr>
            <w:r>
              <w:rPr>
                <w:b/>
                <w:bCs w:val="0"/>
              </w:rPr>
              <w:t>Estimated Risk for TB Relative to Persons with No Known Risk Factor</w:t>
            </w:r>
          </w:p>
        </w:tc>
      </w:tr>
      <w:tr w:rsidR="00902CA8" w:rsidRPr="00902CA8" w14:paraId="43E2CE48" w14:textId="77777777" w:rsidTr="003B3EE5">
        <w:tc>
          <w:tcPr>
            <w:tcW w:w="9350" w:type="dxa"/>
            <w:gridSpan w:val="2"/>
            <w:shd w:val="clear" w:color="auto" w:fill="F2F2F2" w:themeFill="background1" w:themeFillShade="F2"/>
          </w:tcPr>
          <w:p w14:paraId="0F08138D" w14:textId="28D67CA4" w:rsidR="00902CA8" w:rsidRPr="00902CA8" w:rsidRDefault="00902CA8" w:rsidP="00902CA8">
            <w:pPr>
              <w:spacing w:after="60"/>
              <w:rPr>
                <w:b/>
                <w:bCs w:val="0"/>
              </w:rPr>
            </w:pPr>
            <w:r>
              <w:rPr>
                <w:b/>
                <w:bCs w:val="0"/>
              </w:rPr>
              <w:t>High risk (testing and treatment for TBI recommended for all ages)</w:t>
            </w:r>
          </w:p>
        </w:tc>
      </w:tr>
      <w:tr w:rsidR="00902CA8" w:rsidRPr="00902CA8" w14:paraId="16B57076" w14:textId="77777777" w:rsidTr="00EF0EEA">
        <w:tc>
          <w:tcPr>
            <w:tcW w:w="5305" w:type="dxa"/>
          </w:tcPr>
          <w:p w14:paraId="6F1073A0" w14:textId="0C347F20" w:rsidR="00902CA8" w:rsidRPr="00EF0EEA" w:rsidRDefault="00EF0EEA" w:rsidP="00902CA8">
            <w:pPr>
              <w:spacing w:after="60"/>
            </w:pPr>
            <w:r>
              <w:t>AIDS (not on anti-HIV therapy)</w:t>
            </w:r>
          </w:p>
        </w:tc>
        <w:tc>
          <w:tcPr>
            <w:tcW w:w="4045" w:type="dxa"/>
            <w:vAlign w:val="center"/>
          </w:tcPr>
          <w:p w14:paraId="6530A84D" w14:textId="2350B5E0" w:rsidR="00902CA8" w:rsidRPr="00EF0EEA" w:rsidRDefault="00EF0EEA" w:rsidP="00EF0EEA">
            <w:pPr>
              <w:spacing w:after="60"/>
              <w:jc w:val="center"/>
            </w:pPr>
            <w:r>
              <w:t>110-170</w:t>
            </w:r>
          </w:p>
        </w:tc>
      </w:tr>
      <w:tr w:rsidR="00902CA8" w:rsidRPr="00902CA8" w14:paraId="6CDE433B" w14:textId="77777777" w:rsidTr="00EF0EEA">
        <w:tc>
          <w:tcPr>
            <w:tcW w:w="5305" w:type="dxa"/>
          </w:tcPr>
          <w:p w14:paraId="49A81437" w14:textId="0351DE4D" w:rsidR="00902CA8" w:rsidRPr="00EF0EEA" w:rsidRDefault="00EF0EEA" w:rsidP="00902CA8">
            <w:pPr>
              <w:spacing w:after="60"/>
            </w:pPr>
            <w:r>
              <w:t>HIV (not on anti-HIV therapy)</w:t>
            </w:r>
          </w:p>
        </w:tc>
        <w:tc>
          <w:tcPr>
            <w:tcW w:w="4045" w:type="dxa"/>
            <w:vAlign w:val="center"/>
          </w:tcPr>
          <w:p w14:paraId="501C6868" w14:textId="3C519068" w:rsidR="00902CA8" w:rsidRPr="00EF0EEA" w:rsidRDefault="00EF0EEA" w:rsidP="00EF0EEA">
            <w:pPr>
              <w:spacing w:after="60"/>
              <w:jc w:val="center"/>
            </w:pPr>
            <w:r>
              <w:t>50-110</w:t>
            </w:r>
          </w:p>
        </w:tc>
      </w:tr>
      <w:tr w:rsidR="00902CA8" w:rsidRPr="00902CA8" w14:paraId="5D3CF901" w14:textId="77777777" w:rsidTr="00EF0EEA">
        <w:tc>
          <w:tcPr>
            <w:tcW w:w="5305" w:type="dxa"/>
          </w:tcPr>
          <w:p w14:paraId="25C62C64" w14:textId="4B67774B" w:rsidR="00902CA8" w:rsidRPr="00EF0EEA" w:rsidRDefault="00EF0EEA" w:rsidP="00902CA8">
            <w:pPr>
              <w:spacing w:after="60"/>
            </w:pPr>
            <w:r>
              <w:t>Transplantation (related to immunosuppressive therapy)</w:t>
            </w:r>
          </w:p>
        </w:tc>
        <w:tc>
          <w:tcPr>
            <w:tcW w:w="4045" w:type="dxa"/>
            <w:vAlign w:val="center"/>
          </w:tcPr>
          <w:p w14:paraId="3EA1B8D7" w14:textId="2357D36C" w:rsidR="00902CA8" w:rsidRPr="00EF0EEA" w:rsidRDefault="00EF0EEA" w:rsidP="00EF0EEA">
            <w:pPr>
              <w:spacing w:after="60"/>
              <w:jc w:val="center"/>
            </w:pPr>
            <w:r w:rsidRPr="00EF0EEA">
              <w:t>20-74</w:t>
            </w:r>
          </w:p>
        </w:tc>
      </w:tr>
      <w:tr w:rsidR="00EF0EEA" w:rsidRPr="00902CA8" w14:paraId="676740EF" w14:textId="77777777" w:rsidTr="00EF0EEA">
        <w:tc>
          <w:tcPr>
            <w:tcW w:w="5305" w:type="dxa"/>
          </w:tcPr>
          <w:p w14:paraId="5E596906" w14:textId="7B961ADA" w:rsidR="00EF0EEA" w:rsidRDefault="00EF0EEA" w:rsidP="00902CA8">
            <w:pPr>
              <w:spacing w:after="60"/>
            </w:pPr>
            <w:r>
              <w:t>Silicosis</w:t>
            </w:r>
          </w:p>
        </w:tc>
        <w:tc>
          <w:tcPr>
            <w:tcW w:w="4045" w:type="dxa"/>
            <w:vAlign w:val="center"/>
          </w:tcPr>
          <w:p w14:paraId="271EE5EB" w14:textId="01C887BD" w:rsidR="00EF0EEA" w:rsidRPr="00EF0EEA" w:rsidRDefault="00EF0EEA" w:rsidP="00EF0EEA">
            <w:pPr>
              <w:spacing w:after="60"/>
              <w:jc w:val="center"/>
            </w:pPr>
            <w:r>
              <w:t>30</w:t>
            </w:r>
          </w:p>
        </w:tc>
      </w:tr>
      <w:tr w:rsidR="00EF0EEA" w:rsidRPr="00902CA8" w14:paraId="01039DAB" w14:textId="77777777" w:rsidTr="00EF0EEA">
        <w:tc>
          <w:tcPr>
            <w:tcW w:w="5305" w:type="dxa"/>
          </w:tcPr>
          <w:p w14:paraId="63E75B86" w14:textId="5ED417B1" w:rsidR="00EF0EEA" w:rsidRDefault="00EF0EEA" w:rsidP="00902CA8">
            <w:pPr>
              <w:spacing w:after="60"/>
            </w:pPr>
            <w:r>
              <w:t>Chronic renal failure requiring hemodialysis</w:t>
            </w:r>
          </w:p>
        </w:tc>
        <w:tc>
          <w:tcPr>
            <w:tcW w:w="4045" w:type="dxa"/>
            <w:vAlign w:val="center"/>
          </w:tcPr>
          <w:p w14:paraId="3DAF169F" w14:textId="41265286" w:rsidR="00EF0EEA" w:rsidRDefault="00EF0EEA" w:rsidP="00EF0EEA">
            <w:pPr>
              <w:spacing w:after="60"/>
              <w:jc w:val="center"/>
            </w:pPr>
            <w:r>
              <w:t>10-25</w:t>
            </w:r>
          </w:p>
        </w:tc>
      </w:tr>
      <w:tr w:rsidR="00EF0EEA" w:rsidRPr="00902CA8" w14:paraId="0C8BCFCD" w14:textId="77777777" w:rsidTr="00EF0EEA">
        <w:tc>
          <w:tcPr>
            <w:tcW w:w="5305" w:type="dxa"/>
          </w:tcPr>
          <w:p w14:paraId="5EAB5184" w14:textId="1C201586" w:rsidR="00EF0EEA" w:rsidRDefault="00EF0EEA" w:rsidP="00902CA8">
            <w:pPr>
              <w:spacing w:after="60"/>
            </w:pPr>
            <w:r>
              <w:t>Carcinoma of head and neck</w:t>
            </w:r>
          </w:p>
        </w:tc>
        <w:tc>
          <w:tcPr>
            <w:tcW w:w="4045" w:type="dxa"/>
            <w:vAlign w:val="center"/>
          </w:tcPr>
          <w:p w14:paraId="6D6310E3" w14:textId="45933BBA" w:rsidR="00EF0EEA" w:rsidRDefault="00EF0EEA" w:rsidP="00EF0EEA">
            <w:pPr>
              <w:spacing w:after="60"/>
              <w:jc w:val="center"/>
            </w:pPr>
            <w:r>
              <w:t>16</w:t>
            </w:r>
          </w:p>
        </w:tc>
      </w:tr>
      <w:tr w:rsidR="00EF0EEA" w:rsidRPr="00902CA8" w14:paraId="3D83AB95" w14:textId="77777777" w:rsidTr="00EF0EEA">
        <w:tc>
          <w:tcPr>
            <w:tcW w:w="5305" w:type="dxa"/>
          </w:tcPr>
          <w:p w14:paraId="4884FC0C" w14:textId="012C3487" w:rsidR="00EF0EEA" w:rsidRDefault="00EF0EEA" w:rsidP="00902CA8">
            <w:pPr>
              <w:spacing w:after="60"/>
            </w:pPr>
            <w:r>
              <w:t>Recent TB infection (&lt;2 years)</w:t>
            </w:r>
          </w:p>
        </w:tc>
        <w:tc>
          <w:tcPr>
            <w:tcW w:w="4045" w:type="dxa"/>
            <w:vAlign w:val="center"/>
          </w:tcPr>
          <w:p w14:paraId="30C62B9B" w14:textId="32E0315D" w:rsidR="00EF0EEA" w:rsidRDefault="00EF0EEA" w:rsidP="00EF0EEA">
            <w:pPr>
              <w:spacing w:after="60"/>
              <w:jc w:val="center"/>
            </w:pPr>
            <w:r>
              <w:t>15</w:t>
            </w:r>
          </w:p>
        </w:tc>
      </w:tr>
      <w:tr w:rsidR="00EF0EEA" w:rsidRPr="00902CA8" w14:paraId="00913685" w14:textId="77777777" w:rsidTr="00EF0EEA">
        <w:tc>
          <w:tcPr>
            <w:tcW w:w="5305" w:type="dxa"/>
          </w:tcPr>
          <w:p w14:paraId="1AD33A81" w14:textId="19891327" w:rsidR="00EF0EEA" w:rsidRDefault="00EF0EEA" w:rsidP="00902CA8">
            <w:pPr>
              <w:spacing w:after="60"/>
            </w:pPr>
            <w:r>
              <w:t>Abnormal chest X-ray with upper lobe fibronodular disease typical of healed TB infection</w:t>
            </w:r>
          </w:p>
        </w:tc>
        <w:tc>
          <w:tcPr>
            <w:tcW w:w="4045" w:type="dxa"/>
            <w:vAlign w:val="center"/>
          </w:tcPr>
          <w:p w14:paraId="34782787" w14:textId="52DB13F0" w:rsidR="00EF0EEA" w:rsidRDefault="00EF0EEA" w:rsidP="00EF0EEA">
            <w:pPr>
              <w:spacing w:after="60"/>
              <w:jc w:val="center"/>
            </w:pPr>
            <w:r>
              <w:t>6-19</w:t>
            </w:r>
          </w:p>
        </w:tc>
      </w:tr>
      <w:tr w:rsidR="00EF0EEA" w:rsidRPr="00902CA8" w14:paraId="0E38355A" w14:textId="77777777" w:rsidTr="00EF0EEA">
        <w:tc>
          <w:tcPr>
            <w:tcW w:w="5305" w:type="dxa"/>
          </w:tcPr>
          <w:p w14:paraId="73C1BD7B" w14:textId="27B6C57B" w:rsidR="00EF0EEA" w:rsidRDefault="00EF0EEA" w:rsidP="00902CA8">
            <w:pPr>
              <w:spacing w:after="60"/>
            </w:pPr>
            <w:r>
              <w:t>TNF-α inhibitors</w:t>
            </w:r>
          </w:p>
        </w:tc>
        <w:tc>
          <w:tcPr>
            <w:tcW w:w="4045" w:type="dxa"/>
            <w:vAlign w:val="center"/>
          </w:tcPr>
          <w:p w14:paraId="6A8F157C" w14:textId="3C9EC52B" w:rsidR="00EF0EEA" w:rsidRDefault="00EF0EEA" w:rsidP="00EF0EEA">
            <w:pPr>
              <w:spacing w:after="60"/>
              <w:jc w:val="center"/>
            </w:pPr>
            <w:r>
              <w:t>2-9</w:t>
            </w:r>
          </w:p>
        </w:tc>
      </w:tr>
      <w:tr w:rsidR="00EF0EEA" w:rsidRPr="00902CA8" w14:paraId="5ED776C6" w14:textId="77777777" w:rsidTr="00EF0EEA">
        <w:tc>
          <w:tcPr>
            <w:tcW w:w="9350" w:type="dxa"/>
            <w:gridSpan w:val="2"/>
            <w:shd w:val="clear" w:color="auto" w:fill="F2F2F2" w:themeFill="background1" w:themeFillShade="F2"/>
          </w:tcPr>
          <w:p w14:paraId="3275735D" w14:textId="08933446" w:rsidR="00EF0EEA" w:rsidRPr="00EF0EEA" w:rsidRDefault="00EF0EEA" w:rsidP="00EF0EEA">
            <w:pPr>
              <w:spacing w:after="60"/>
              <w:rPr>
                <w:b/>
                <w:bCs w:val="0"/>
              </w:rPr>
            </w:pPr>
            <w:r>
              <w:rPr>
                <w:b/>
                <w:bCs w:val="0"/>
              </w:rPr>
              <w:t>Moderate risk (testing and treatment for TBI recommended if age &lt;65 years)</w:t>
            </w:r>
          </w:p>
        </w:tc>
      </w:tr>
      <w:tr w:rsidR="00EF0EEA" w:rsidRPr="00902CA8" w14:paraId="54122E68" w14:textId="77777777" w:rsidTr="00EF0EEA">
        <w:tc>
          <w:tcPr>
            <w:tcW w:w="5305" w:type="dxa"/>
          </w:tcPr>
          <w:p w14:paraId="5B67F8C5" w14:textId="26CCD108" w:rsidR="00EF0EEA" w:rsidRDefault="00EF0EEA" w:rsidP="00902CA8">
            <w:pPr>
              <w:spacing w:after="60"/>
            </w:pPr>
            <w:r>
              <w:t>Treatment with glucocorticoids</w:t>
            </w:r>
          </w:p>
        </w:tc>
        <w:tc>
          <w:tcPr>
            <w:tcW w:w="4045" w:type="dxa"/>
            <w:vAlign w:val="center"/>
          </w:tcPr>
          <w:p w14:paraId="3EBF8305" w14:textId="1A7BF8D9" w:rsidR="00EF0EEA" w:rsidRDefault="00EF0EEA" w:rsidP="00EF0EEA">
            <w:pPr>
              <w:spacing w:after="60"/>
              <w:jc w:val="center"/>
            </w:pPr>
            <w:r>
              <w:t>5</w:t>
            </w:r>
          </w:p>
        </w:tc>
      </w:tr>
      <w:tr w:rsidR="00EF0EEA" w:rsidRPr="00902CA8" w14:paraId="47914BF4" w14:textId="77777777" w:rsidTr="00EF0EEA">
        <w:tc>
          <w:tcPr>
            <w:tcW w:w="5305" w:type="dxa"/>
          </w:tcPr>
          <w:p w14:paraId="5A8F91E5" w14:textId="5628C95B" w:rsidR="00EF0EEA" w:rsidRDefault="00EF0EEA" w:rsidP="00902CA8">
            <w:pPr>
              <w:spacing w:after="60"/>
            </w:pPr>
            <w:r>
              <w:t>Diabetes mellitus (all types)</w:t>
            </w:r>
          </w:p>
        </w:tc>
        <w:tc>
          <w:tcPr>
            <w:tcW w:w="4045" w:type="dxa"/>
            <w:vAlign w:val="center"/>
          </w:tcPr>
          <w:p w14:paraId="50DCF434" w14:textId="07D10406" w:rsidR="00EF0EEA" w:rsidRDefault="00EF0EEA" w:rsidP="00EF0EEA">
            <w:pPr>
              <w:spacing w:after="60"/>
              <w:jc w:val="center"/>
            </w:pPr>
            <w:r>
              <w:t>2-4</w:t>
            </w:r>
          </w:p>
        </w:tc>
      </w:tr>
      <w:tr w:rsidR="00EF0EEA" w:rsidRPr="00902CA8" w14:paraId="3A26A41B" w14:textId="77777777" w:rsidTr="00EF0EEA">
        <w:tc>
          <w:tcPr>
            <w:tcW w:w="5305" w:type="dxa"/>
          </w:tcPr>
          <w:p w14:paraId="14FC3561" w14:textId="0D59B9D7" w:rsidR="00EF0EEA" w:rsidRDefault="00EF0EEA" w:rsidP="00902CA8">
            <w:pPr>
              <w:spacing w:after="60"/>
            </w:pPr>
            <w:r>
              <w:t>Young age when infection (0-4 years)</w:t>
            </w:r>
          </w:p>
        </w:tc>
        <w:tc>
          <w:tcPr>
            <w:tcW w:w="4045" w:type="dxa"/>
            <w:vAlign w:val="center"/>
          </w:tcPr>
          <w:p w14:paraId="2A989205" w14:textId="3B7D689F" w:rsidR="00EF0EEA" w:rsidRDefault="00EF0EEA" w:rsidP="00EF0EEA">
            <w:pPr>
              <w:spacing w:after="60"/>
              <w:jc w:val="center"/>
            </w:pPr>
            <w:r>
              <w:t>2-5</w:t>
            </w:r>
          </w:p>
        </w:tc>
      </w:tr>
      <w:tr w:rsidR="00EF0EEA" w:rsidRPr="00902CA8" w14:paraId="6209F22C" w14:textId="77777777" w:rsidTr="00EF0EEA">
        <w:tc>
          <w:tcPr>
            <w:tcW w:w="9350" w:type="dxa"/>
            <w:gridSpan w:val="2"/>
            <w:shd w:val="clear" w:color="auto" w:fill="F2F2F2" w:themeFill="background1" w:themeFillShade="F2"/>
          </w:tcPr>
          <w:p w14:paraId="1EEF6BDE" w14:textId="39CB73AD" w:rsidR="00EF0EEA" w:rsidRPr="00EF0EEA" w:rsidRDefault="00EF0EEA" w:rsidP="00EF0EEA">
            <w:pPr>
              <w:spacing w:after="60"/>
              <w:rPr>
                <w:b/>
                <w:bCs w:val="0"/>
              </w:rPr>
            </w:pPr>
            <w:r>
              <w:rPr>
                <w:b/>
                <w:bCs w:val="0"/>
              </w:rPr>
              <w:t>Slightly increased risk (testing and treatment for TBI recommended if age &lt;50 years)</w:t>
            </w:r>
          </w:p>
        </w:tc>
      </w:tr>
      <w:tr w:rsidR="00EF0EEA" w:rsidRPr="00902CA8" w14:paraId="4A67F6DB" w14:textId="77777777" w:rsidTr="00EF0EEA">
        <w:tc>
          <w:tcPr>
            <w:tcW w:w="5305" w:type="dxa"/>
          </w:tcPr>
          <w:p w14:paraId="666C886C" w14:textId="685203E6" w:rsidR="00EF0EEA" w:rsidRDefault="00EF0EEA" w:rsidP="00902CA8">
            <w:pPr>
              <w:spacing w:after="60"/>
            </w:pPr>
            <w:r>
              <w:t>Underweight (&lt;90% ideal body weight; for most persons, this is a BMI of 20)</w:t>
            </w:r>
          </w:p>
        </w:tc>
        <w:tc>
          <w:tcPr>
            <w:tcW w:w="4045" w:type="dxa"/>
            <w:vAlign w:val="center"/>
          </w:tcPr>
          <w:p w14:paraId="6CBA8407" w14:textId="5F2EF48E" w:rsidR="00EF0EEA" w:rsidRDefault="00EF0EEA" w:rsidP="00EF0EEA">
            <w:pPr>
              <w:spacing w:after="60"/>
              <w:jc w:val="center"/>
            </w:pPr>
            <w:r>
              <w:t>2-3</w:t>
            </w:r>
          </w:p>
        </w:tc>
      </w:tr>
      <w:tr w:rsidR="00EF0EEA" w:rsidRPr="00902CA8" w14:paraId="78E054BE" w14:textId="77777777" w:rsidTr="00EF0EEA">
        <w:tc>
          <w:tcPr>
            <w:tcW w:w="5305" w:type="dxa"/>
          </w:tcPr>
          <w:p w14:paraId="1DC0804A" w14:textId="319DA781" w:rsidR="00EF0EEA" w:rsidRDefault="00EF0EEA" w:rsidP="00902CA8">
            <w:pPr>
              <w:spacing w:after="60"/>
            </w:pPr>
            <w:r>
              <w:t>Cigarette smoker (1 pack/day)</w:t>
            </w:r>
          </w:p>
        </w:tc>
        <w:tc>
          <w:tcPr>
            <w:tcW w:w="4045" w:type="dxa"/>
            <w:vAlign w:val="center"/>
          </w:tcPr>
          <w:p w14:paraId="7D0661BC" w14:textId="14522C04" w:rsidR="00EF0EEA" w:rsidRDefault="00EF0EEA" w:rsidP="00EF0EEA">
            <w:pPr>
              <w:spacing w:after="60"/>
              <w:jc w:val="center"/>
            </w:pPr>
            <w:r>
              <w:t>2-3</w:t>
            </w:r>
          </w:p>
        </w:tc>
      </w:tr>
      <w:tr w:rsidR="00EF0EEA" w:rsidRPr="00902CA8" w14:paraId="1159DC8F" w14:textId="77777777" w:rsidTr="00EF0EEA">
        <w:tc>
          <w:tcPr>
            <w:tcW w:w="5305" w:type="dxa"/>
          </w:tcPr>
          <w:p w14:paraId="504D30C3" w14:textId="3627B5FC" w:rsidR="00EF0EEA" w:rsidRDefault="00EF0EEA" w:rsidP="00902CA8">
            <w:pPr>
              <w:spacing w:after="60"/>
            </w:pPr>
            <w:r>
              <w:t>Abnormal chest X-ray—granuloma</w:t>
            </w:r>
          </w:p>
        </w:tc>
        <w:tc>
          <w:tcPr>
            <w:tcW w:w="4045" w:type="dxa"/>
            <w:vAlign w:val="center"/>
          </w:tcPr>
          <w:p w14:paraId="3C548407" w14:textId="2C7D643B" w:rsidR="00EF0EEA" w:rsidRDefault="00EF0EEA" w:rsidP="00EF0EEA">
            <w:pPr>
              <w:spacing w:after="60"/>
              <w:jc w:val="center"/>
            </w:pPr>
            <w:r>
              <w:t>2</w:t>
            </w:r>
          </w:p>
        </w:tc>
      </w:tr>
      <w:tr w:rsidR="00EF0EEA" w:rsidRPr="00902CA8" w14:paraId="782F6D5B" w14:textId="77777777" w:rsidTr="00EF0EEA">
        <w:tc>
          <w:tcPr>
            <w:tcW w:w="9350" w:type="dxa"/>
            <w:gridSpan w:val="2"/>
            <w:shd w:val="clear" w:color="auto" w:fill="F2F2F2" w:themeFill="background1" w:themeFillShade="F2"/>
          </w:tcPr>
          <w:p w14:paraId="2E89D14E" w14:textId="78E7C1CE" w:rsidR="00EF0EEA" w:rsidRPr="00EF0EEA" w:rsidRDefault="00EF0EEA" w:rsidP="00EF0EEA">
            <w:pPr>
              <w:spacing w:after="60"/>
              <w:rPr>
                <w:b/>
                <w:bCs w:val="0"/>
              </w:rPr>
            </w:pPr>
            <w:r>
              <w:rPr>
                <w:b/>
                <w:bCs w:val="0"/>
              </w:rPr>
              <w:t>Low risk (testing and treatment for TBI recommended if age &lt;35 years)</w:t>
            </w:r>
          </w:p>
        </w:tc>
      </w:tr>
      <w:tr w:rsidR="00EF0EEA" w:rsidRPr="00902CA8" w14:paraId="6160691F" w14:textId="77777777" w:rsidTr="00EF0EEA">
        <w:tc>
          <w:tcPr>
            <w:tcW w:w="5305" w:type="dxa"/>
          </w:tcPr>
          <w:p w14:paraId="6A428CC9" w14:textId="6FF77F66" w:rsidR="00EF0EEA" w:rsidRDefault="00EF0EEA" w:rsidP="00902CA8">
            <w:pPr>
              <w:spacing w:after="60"/>
            </w:pPr>
            <w:r>
              <w:t>Infected person, no known risk factor, normal chest X-ray (“low-risk reactor”</w:t>
            </w:r>
          </w:p>
        </w:tc>
        <w:tc>
          <w:tcPr>
            <w:tcW w:w="4045" w:type="dxa"/>
            <w:vAlign w:val="center"/>
          </w:tcPr>
          <w:p w14:paraId="161FE9FE" w14:textId="04DF5C3A" w:rsidR="00EF0EEA" w:rsidRDefault="00EF0EEA" w:rsidP="00EF0EEA">
            <w:pPr>
              <w:spacing w:after="60"/>
              <w:jc w:val="center"/>
            </w:pPr>
            <w:r>
              <w:t>1</w:t>
            </w:r>
          </w:p>
        </w:tc>
      </w:tr>
      <w:tr w:rsidR="00EF0EEA" w:rsidRPr="00902CA8" w14:paraId="4BB76F71" w14:textId="77777777" w:rsidTr="00EF0EEA">
        <w:tc>
          <w:tcPr>
            <w:tcW w:w="9350" w:type="dxa"/>
            <w:gridSpan w:val="2"/>
            <w:shd w:val="clear" w:color="auto" w:fill="F2F2F2" w:themeFill="background1" w:themeFillShade="F2"/>
          </w:tcPr>
          <w:p w14:paraId="516285E4" w14:textId="3C5ECD5E" w:rsidR="00EF0EEA" w:rsidRPr="00EF0EEA" w:rsidRDefault="00EF0EEA" w:rsidP="00EF0EEA">
            <w:pPr>
              <w:spacing w:after="60"/>
              <w:rPr>
                <w:b/>
                <w:bCs w:val="0"/>
              </w:rPr>
            </w:pPr>
            <w:r>
              <w:rPr>
                <w:b/>
                <w:bCs w:val="0"/>
              </w:rPr>
              <w:t>Very low risk (treatment of TBI not usually recommended)</w:t>
            </w:r>
          </w:p>
        </w:tc>
      </w:tr>
      <w:tr w:rsidR="00EF0EEA" w:rsidRPr="00902CA8" w14:paraId="07A3C022" w14:textId="77777777" w:rsidTr="00EF0EEA">
        <w:tc>
          <w:tcPr>
            <w:tcW w:w="5305" w:type="dxa"/>
          </w:tcPr>
          <w:p w14:paraId="1A2C45B2" w14:textId="4B6A6178" w:rsidR="00EF0EEA" w:rsidRDefault="00EF0EEA" w:rsidP="00902CA8">
            <w:pPr>
              <w:spacing w:after="60"/>
            </w:pPr>
            <w:r>
              <w:t>Person with positive two-step (“boosting”, no other known risk factor, and normal chest X-ray</w:t>
            </w:r>
          </w:p>
        </w:tc>
        <w:tc>
          <w:tcPr>
            <w:tcW w:w="4045" w:type="dxa"/>
            <w:vAlign w:val="center"/>
          </w:tcPr>
          <w:p w14:paraId="2F7A733D" w14:textId="13F92FAD" w:rsidR="00EF0EEA" w:rsidRDefault="00EF0EEA" w:rsidP="00EF0EEA">
            <w:pPr>
              <w:spacing w:after="60"/>
              <w:jc w:val="center"/>
            </w:pPr>
            <w:r>
              <w:t>0.5</w:t>
            </w:r>
          </w:p>
        </w:tc>
      </w:tr>
    </w:tbl>
    <w:p w14:paraId="7BE7160B" w14:textId="77777777" w:rsidR="00902CA8" w:rsidRPr="00902CA8" w:rsidRDefault="00902CA8" w:rsidP="00F84CEE">
      <w:pPr>
        <w:rPr>
          <w:b/>
          <w:bCs w:val="0"/>
        </w:rPr>
      </w:pPr>
    </w:p>
    <w:p w14:paraId="29D357D8" w14:textId="149D2A70" w:rsidR="0066402B" w:rsidRDefault="0066402B" w:rsidP="00FC2FEB">
      <w:pPr>
        <w:pStyle w:val="Heading2"/>
      </w:pPr>
      <w:bookmarkStart w:id="2" w:name="_Hlk54692831"/>
      <w:r w:rsidRPr="009D7816">
        <w:rPr>
          <w:u w:val="single"/>
        </w:rPr>
        <w:lastRenderedPageBreak/>
        <w:t>Goal 1</w:t>
      </w:r>
      <w:r>
        <w:t xml:space="preserve">: </w:t>
      </w:r>
      <w:bookmarkEnd w:id="2"/>
      <w:r w:rsidR="00FC2FEB">
        <w:t>Identify populations within each public health region who are at high risk for TB infection</w:t>
      </w:r>
    </w:p>
    <w:p w14:paraId="6C71B9E4" w14:textId="44BCEEFD" w:rsidR="00892ECC" w:rsidRDefault="00892ECC" w:rsidP="00892ECC">
      <w:pPr>
        <w:spacing w:after="60"/>
      </w:pPr>
      <w:r>
        <w:rPr>
          <w:b/>
          <w:bCs w:val="0"/>
          <w:u w:val="single"/>
        </w:rPr>
        <w:t>Activity 1</w:t>
      </w:r>
      <w:r>
        <w:t>: Create a regional TB and TBI profile and provide to regional TB program managers.</w:t>
      </w:r>
    </w:p>
    <w:p w14:paraId="276CCA0B" w14:textId="66C5939D" w:rsidR="00892ECC" w:rsidRPr="00544448" w:rsidRDefault="00892ECC" w:rsidP="00544448">
      <w:pPr>
        <w:spacing w:after="60"/>
        <w:rPr>
          <w:b/>
          <w:bCs w:val="0"/>
          <w:u w:val="single"/>
        </w:rPr>
      </w:pPr>
      <w:r>
        <w:rPr>
          <w:b/>
          <w:bCs w:val="0"/>
          <w:u w:val="single"/>
        </w:rPr>
        <w:t>Activity 2</w:t>
      </w:r>
      <w:r w:rsidRPr="00544448">
        <w:rPr>
          <w:b/>
          <w:bCs w:val="0"/>
          <w:u w:val="single"/>
        </w:rPr>
        <w:t>: Review reported positive test for TB infection received, create a summary report and provide report to regional TB program managers.</w:t>
      </w:r>
    </w:p>
    <w:p w14:paraId="31992D1E" w14:textId="6C0C4A95" w:rsidR="0066402B" w:rsidRPr="00544448" w:rsidRDefault="0066402B" w:rsidP="00544448">
      <w:pPr>
        <w:spacing w:after="60"/>
        <w:rPr>
          <w:b/>
          <w:i/>
          <w:color w:val="1B365D"/>
          <w:sz w:val="28"/>
        </w:rPr>
      </w:pPr>
      <w:r w:rsidRPr="00544448">
        <w:rPr>
          <w:b/>
          <w:i/>
          <w:color w:val="1B365D"/>
          <w:sz w:val="28"/>
          <w:u w:val="single"/>
        </w:rPr>
        <w:t xml:space="preserve">Goal </w:t>
      </w:r>
      <w:r w:rsidR="005B0A87" w:rsidRPr="00544448">
        <w:rPr>
          <w:b/>
          <w:i/>
          <w:color w:val="1B365D"/>
          <w:sz w:val="28"/>
          <w:u w:val="single"/>
        </w:rPr>
        <w:t>2</w:t>
      </w:r>
      <w:r w:rsidRPr="00544448">
        <w:rPr>
          <w:b/>
          <w:i/>
          <w:color w:val="1B365D"/>
          <w:sz w:val="28"/>
        </w:rPr>
        <w:t xml:space="preserve">: Ensure evaluation of new arrivals </w:t>
      </w:r>
      <w:r w:rsidR="005B0A87" w:rsidRPr="00544448">
        <w:rPr>
          <w:b/>
          <w:i/>
          <w:color w:val="1B365D"/>
          <w:sz w:val="28"/>
        </w:rPr>
        <w:t>that would benefit from</w:t>
      </w:r>
      <w:r w:rsidR="005B0A87" w:rsidRPr="00544448">
        <w:t xml:space="preserve"> </w:t>
      </w:r>
      <w:r w:rsidR="005B0A87" w:rsidRPr="00544448">
        <w:rPr>
          <w:b/>
          <w:i/>
          <w:color w:val="1B365D"/>
          <w:sz w:val="28"/>
        </w:rPr>
        <w:t>screening and testing for TB infection</w:t>
      </w:r>
    </w:p>
    <w:p w14:paraId="1D028BAA" w14:textId="38D6A663" w:rsidR="005B0A87" w:rsidRDefault="005B0A87" w:rsidP="005B0A87">
      <w:pPr>
        <w:spacing w:after="60"/>
      </w:pPr>
      <w:r>
        <w:rPr>
          <w:b/>
          <w:bCs w:val="0"/>
          <w:u w:val="single"/>
        </w:rPr>
        <w:t>Activity 1</w:t>
      </w:r>
      <w:r>
        <w:t>: Ensure evaluation of new arrivals with a TB classification</w:t>
      </w:r>
    </w:p>
    <w:p w14:paraId="1DB9EEBF" w14:textId="43E30FF4" w:rsidR="005B0A87" w:rsidRDefault="005B0A87" w:rsidP="005B0A87">
      <w:pPr>
        <w:spacing w:after="60"/>
      </w:pPr>
      <w:r>
        <w:rPr>
          <w:b/>
          <w:bCs w:val="0"/>
          <w:u w:val="single"/>
        </w:rPr>
        <w:t>Action Step</w:t>
      </w:r>
      <w:r>
        <w:t>: For those arrivals with a TB classification, ensure that evaluation is initiated within 30 days of receiving the notification of arrival to Tennessee</w:t>
      </w:r>
    </w:p>
    <w:p w14:paraId="2EEB8CAA" w14:textId="666B89CD" w:rsidR="005B0A87" w:rsidRDefault="005B0A87" w:rsidP="005B0A87">
      <w:pPr>
        <w:spacing w:after="60"/>
      </w:pPr>
      <w:r>
        <w:rPr>
          <w:b/>
          <w:bCs w:val="0"/>
          <w:u w:val="single"/>
        </w:rPr>
        <w:t>Action Step</w:t>
      </w:r>
      <w:r>
        <w:t>: For those arrivals with a TB classification, ensure that evaluation is completed within 90 days of receiving the notification of arrival to Tennessee</w:t>
      </w:r>
    </w:p>
    <w:p w14:paraId="46926BD8" w14:textId="4851BCBD" w:rsidR="005B0A87" w:rsidRPr="005B0A87" w:rsidRDefault="005B0A87" w:rsidP="005B0A87">
      <w:pPr>
        <w:spacing w:after="60"/>
      </w:pPr>
      <w:r>
        <w:rPr>
          <w:b/>
          <w:bCs w:val="0"/>
          <w:u w:val="single"/>
        </w:rPr>
        <w:t>Activity 2</w:t>
      </w:r>
      <w:r>
        <w:t>: Ensure evaluation of new arrivals without a TB classification but from countries with a high burden of TB disease</w:t>
      </w:r>
    </w:p>
    <w:p w14:paraId="2E569B33" w14:textId="26ABBE2D" w:rsidR="0066402B" w:rsidRDefault="0066402B" w:rsidP="00FC2FEB">
      <w:pPr>
        <w:pStyle w:val="Heading2"/>
        <w:rPr>
          <w:u w:val="single"/>
        </w:rPr>
      </w:pPr>
      <w:r w:rsidRPr="009D7816">
        <w:rPr>
          <w:u w:val="single"/>
        </w:rPr>
        <w:t xml:space="preserve">Goal </w:t>
      </w:r>
      <w:r w:rsidR="005B0A87">
        <w:rPr>
          <w:u w:val="single"/>
        </w:rPr>
        <w:t>3</w:t>
      </w:r>
      <w:r w:rsidRPr="00C95F61">
        <w:t>: Address cascade of care</w:t>
      </w:r>
      <w:r>
        <w:rPr>
          <w:u w:val="single"/>
        </w:rPr>
        <w:t xml:space="preserve"> </w:t>
      </w:r>
    </w:p>
    <w:p w14:paraId="7456885A" w14:textId="77777777" w:rsidR="0047640B" w:rsidRPr="0047640B" w:rsidRDefault="0047640B" w:rsidP="0047640B">
      <w:pPr>
        <w:spacing w:after="60"/>
        <w:rPr>
          <w:b/>
          <w:bCs w:val="0"/>
        </w:rPr>
      </w:pPr>
      <w:hyperlink r:id="rId23" w:history="1">
        <w:r w:rsidRPr="0047640B">
          <w:rPr>
            <w:rStyle w:val="Hyperlink"/>
            <w:b/>
            <w:bCs w:val="0"/>
            <w:color w:val="auto"/>
          </w:rPr>
          <w:t>https://bmcinfect</w:t>
        </w:r>
        <w:r w:rsidRPr="0047640B">
          <w:rPr>
            <w:rStyle w:val="Hyperlink"/>
            <w:b/>
            <w:bCs w:val="0"/>
            <w:color w:val="auto"/>
          </w:rPr>
          <w:t>d</w:t>
        </w:r>
        <w:r w:rsidRPr="0047640B">
          <w:rPr>
            <w:rStyle w:val="Hyperlink"/>
            <w:b/>
            <w:bCs w:val="0"/>
            <w:color w:val="auto"/>
          </w:rPr>
          <w:t>is.biomedcentral.com/articles/10.1186/s12879-020-05311-0</w:t>
        </w:r>
      </w:hyperlink>
    </w:p>
    <w:p w14:paraId="31420A3C" w14:textId="415C8614" w:rsidR="00C95F61" w:rsidRDefault="00C95F61" w:rsidP="00FC2FEB">
      <w:pPr>
        <w:pStyle w:val="Heading2"/>
      </w:pPr>
      <w:r w:rsidRPr="00C95F61">
        <w:rPr>
          <w:u w:val="single"/>
        </w:rPr>
        <w:t xml:space="preserve">Goal </w:t>
      </w:r>
      <w:r w:rsidR="005B0A87">
        <w:rPr>
          <w:u w:val="single"/>
        </w:rPr>
        <w:t>4</w:t>
      </w:r>
      <w:r w:rsidRPr="00C95F61">
        <w:t>: Enhance TBI surveillance</w:t>
      </w:r>
    </w:p>
    <w:p w14:paraId="050F6548" w14:textId="0BC527B5" w:rsidR="00571309" w:rsidRDefault="00571309" w:rsidP="00571309">
      <w:pPr>
        <w:spacing w:after="60"/>
      </w:pPr>
      <w:r>
        <w:rPr>
          <w:b/>
          <w:bCs w:val="0"/>
          <w:u w:val="single"/>
        </w:rPr>
        <w:t>Activity 1</w:t>
      </w:r>
      <w:r>
        <w:t>: Modify TBI page in state surveillance system to include all CDC’s TB Latent Infection Surveillance System (TBLISS) data elements</w:t>
      </w:r>
    </w:p>
    <w:p w14:paraId="259101E7" w14:textId="04988380" w:rsidR="00571309" w:rsidRPr="00571309" w:rsidRDefault="00571309" w:rsidP="00544448">
      <w:pPr>
        <w:spacing w:afterLines="60" w:after="144"/>
      </w:pPr>
      <w:r>
        <w:rPr>
          <w:b/>
          <w:bCs w:val="0"/>
          <w:u w:val="single"/>
        </w:rPr>
        <w:t>Activity 2</w:t>
      </w:r>
      <w:r>
        <w:t>: Submit cases of TB infection (TBI) to CDC via HL7 messaging.</w:t>
      </w:r>
    </w:p>
    <w:p w14:paraId="1255AAF0" w14:textId="64E6A51E" w:rsidR="00C95F61" w:rsidRDefault="00C95F61" w:rsidP="00544448">
      <w:pPr>
        <w:pStyle w:val="Heading2"/>
        <w:spacing w:afterLines="60" w:after="144"/>
      </w:pPr>
      <w:r w:rsidRPr="00C95F61">
        <w:rPr>
          <w:u w:val="single"/>
        </w:rPr>
        <w:t xml:space="preserve">Goal </w:t>
      </w:r>
      <w:r w:rsidR="005B0A87">
        <w:rPr>
          <w:u w:val="single"/>
        </w:rPr>
        <w:t>5</w:t>
      </w:r>
      <w:r w:rsidRPr="00C95F61">
        <w:t xml:space="preserve">: </w:t>
      </w:r>
      <w:r>
        <w:t>Develop communication strategy to populations at high risk for TB infection</w:t>
      </w:r>
    </w:p>
    <w:p w14:paraId="0973EE59" w14:textId="42D0CF9E" w:rsidR="001E712C" w:rsidRPr="001E712C" w:rsidRDefault="001E712C" w:rsidP="001E712C">
      <w:pPr>
        <w:pStyle w:val="Heading2"/>
        <w:rPr>
          <w:u w:val="single"/>
        </w:rPr>
      </w:pPr>
      <w:r w:rsidRPr="00C95F61">
        <w:rPr>
          <w:u w:val="single"/>
        </w:rPr>
        <w:t xml:space="preserve">Goal </w:t>
      </w:r>
      <w:r w:rsidR="005B0A87">
        <w:rPr>
          <w:u w:val="single"/>
        </w:rPr>
        <w:t>6</w:t>
      </w:r>
      <w:r w:rsidRPr="00571309">
        <w:t xml:space="preserve">: </w:t>
      </w:r>
      <w:r w:rsidRPr="00571309">
        <w:t xml:space="preserve">Identify </w:t>
      </w:r>
      <w:r w:rsidR="0047640B" w:rsidRPr="00571309">
        <w:t xml:space="preserve">external </w:t>
      </w:r>
      <w:r w:rsidR="00544448">
        <w:t>individuals/agencies</w:t>
      </w:r>
      <w:r w:rsidR="0047640B" w:rsidRPr="00571309">
        <w:t xml:space="preserve"> who provide healthcare services to populations at high risk</w:t>
      </w:r>
    </w:p>
    <w:p w14:paraId="269126B9" w14:textId="77777777" w:rsidR="00C95F61" w:rsidRPr="00C95F61" w:rsidRDefault="00C95F61" w:rsidP="00C95F61"/>
    <w:p w14:paraId="1BBDFC80" w14:textId="7A705288" w:rsidR="00DD6D63" w:rsidRPr="00E43148" w:rsidRDefault="00DD6D63" w:rsidP="00DD6D63">
      <w:pPr>
        <w:pStyle w:val="Heading1"/>
        <w:rPr>
          <w:color w:val="666666" w:themeColor="accent5"/>
        </w:rPr>
      </w:pPr>
      <w:r>
        <w:rPr>
          <w:color w:val="666666" w:themeColor="accent5"/>
        </w:rPr>
        <w:t>Collaborations</w:t>
      </w:r>
    </w:p>
    <w:p w14:paraId="5A28EDFE" w14:textId="7FA6929A" w:rsidR="006F4BDE" w:rsidRDefault="00FC2FEB" w:rsidP="006F4BDE">
      <w:pPr>
        <w:pStyle w:val="Heading2"/>
      </w:pPr>
      <w:r w:rsidRPr="009D7816">
        <w:rPr>
          <w:u w:val="single"/>
        </w:rPr>
        <w:t>Goal 1</w:t>
      </w:r>
      <w:r>
        <w:t>: Identify internal and external stakehol</w:t>
      </w:r>
      <w:r w:rsidR="006F4BDE">
        <w:t>ders</w:t>
      </w:r>
    </w:p>
    <w:p w14:paraId="50F560B9" w14:textId="1E5BFEEC" w:rsidR="001E712C" w:rsidRDefault="001E712C" w:rsidP="001E712C">
      <w:pPr>
        <w:spacing w:after="60"/>
      </w:pPr>
      <w:r>
        <w:rPr>
          <w:b/>
          <w:bCs w:val="0"/>
          <w:u w:val="single"/>
        </w:rPr>
        <w:t>Activity 1</w:t>
      </w:r>
      <w:r>
        <w:t xml:space="preserve">: Develop database of internal stakeholders </w:t>
      </w:r>
    </w:p>
    <w:p w14:paraId="4A4F593C" w14:textId="46DF6C3D" w:rsidR="001E712C" w:rsidRDefault="001E712C" w:rsidP="001E712C">
      <w:pPr>
        <w:spacing w:after="60"/>
      </w:pPr>
      <w:r>
        <w:rPr>
          <w:b/>
          <w:bCs w:val="0"/>
          <w:u w:val="single"/>
        </w:rPr>
        <w:t>Activity 2</w:t>
      </w:r>
      <w:r>
        <w:t>: Develop database of external stakeholders</w:t>
      </w:r>
    </w:p>
    <w:p w14:paraId="04482C84" w14:textId="0D28B904" w:rsidR="001E712C" w:rsidRDefault="001E712C" w:rsidP="001E712C">
      <w:pPr>
        <w:spacing w:after="60"/>
      </w:pPr>
      <w:r>
        <w:lastRenderedPageBreak/>
        <w:t>List to include:</w:t>
      </w:r>
    </w:p>
    <w:p w14:paraId="6E4E7DF5" w14:textId="1D39D8EC" w:rsidR="001E712C" w:rsidRDefault="001E712C" w:rsidP="001E712C">
      <w:pPr>
        <w:pStyle w:val="ListParagraph"/>
        <w:numPr>
          <w:ilvl w:val="0"/>
          <w:numId w:val="24"/>
        </w:numPr>
        <w:spacing w:after="60"/>
      </w:pPr>
      <w:r>
        <w:t xml:space="preserve">Federally Qualified Health Centers (FQHCs) </w:t>
      </w:r>
    </w:p>
    <w:p w14:paraId="4F43A72E" w14:textId="04544626" w:rsidR="001E712C" w:rsidRDefault="001E712C" w:rsidP="001E712C">
      <w:pPr>
        <w:pStyle w:val="ListParagraph"/>
        <w:numPr>
          <w:ilvl w:val="0"/>
          <w:numId w:val="24"/>
        </w:numPr>
        <w:spacing w:after="60"/>
      </w:pPr>
      <w:r>
        <w:t>Community Health Centers (CH</w:t>
      </w:r>
      <w:r w:rsidR="008D0578">
        <w:t>C</w:t>
      </w:r>
      <w:r w:rsidR="00A45963">
        <w:t>s</w:t>
      </w:r>
      <w:r>
        <w:t>)</w:t>
      </w:r>
    </w:p>
    <w:p w14:paraId="2F46DEE9" w14:textId="1F0B3662" w:rsidR="001E712C" w:rsidRDefault="001E712C" w:rsidP="001E712C">
      <w:pPr>
        <w:pStyle w:val="ListParagraph"/>
        <w:numPr>
          <w:ilvl w:val="0"/>
          <w:numId w:val="24"/>
        </w:numPr>
        <w:spacing w:after="60"/>
      </w:pPr>
      <w:r>
        <w:t>Civil surgeons</w:t>
      </w:r>
    </w:p>
    <w:p w14:paraId="0C32190F" w14:textId="16AEFD17" w:rsidR="001E712C" w:rsidRDefault="001E712C" w:rsidP="001E712C">
      <w:pPr>
        <w:pStyle w:val="ListParagraph"/>
        <w:numPr>
          <w:ilvl w:val="0"/>
          <w:numId w:val="24"/>
        </w:numPr>
        <w:spacing w:after="60"/>
      </w:pPr>
      <w:r>
        <w:t>Refugee resettle agencies</w:t>
      </w:r>
    </w:p>
    <w:p w14:paraId="523028FB" w14:textId="14E39504" w:rsidR="001E712C" w:rsidRDefault="001E712C" w:rsidP="001E712C">
      <w:pPr>
        <w:pStyle w:val="ListParagraph"/>
        <w:numPr>
          <w:ilvl w:val="1"/>
          <w:numId w:val="24"/>
        </w:numPr>
        <w:spacing w:after="60"/>
      </w:pPr>
      <w:r>
        <w:t>Catholic Charities of Tennessee, Inc. (Tennessee)</w:t>
      </w:r>
    </w:p>
    <w:p w14:paraId="79D8695B" w14:textId="0F7F8A23" w:rsidR="001E712C" w:rsidRDefault="001E712C" w:rsidP="001E712C">
      <w:pPr>
        <w:pStyle w:val="ListParagraph"/>
        <w:numPr>
          <w:ilvl w:val="1"/>
          <w:numId w:val="24"/>
        </w:numPr>
        <w:spacing w:after="60"/>
      </w:pPr>
      <w:r>
        <w:t>Nashville International Center for Empowerment (NICE) (Nashville)</w:t>
      </w:r>
    </w:p>
    <w:p w14:paraId="2AE32906" w14:textId="0125AFF6" w:rsidR="001E712C" w:rsidRDefault="001E712C" w:rsidP="001E712C">
      <w:pPr>
        <w:pStyle w:val="ListParagraph"/>
        <w:numPr>
          <w:ilvl w:val="1"/>
          <w:numId w:val="24"/>
        </w:numPr>
        <w:spacing w:after="60"/>
      </w:pPr>
      <w:r>
        <w:t>World Relief (Memphis)</w:t>
      </w:r>
    </w:p>
    <w:p w14:paraId="1DDC1084" w14:textId="20FE2A1C" w:rsidR="001E712C" w:rsidRDefault="001E712C" w:rsidP="001E712C">
      <w:pPr>
        <w:pStyle w:val="ListParagraph"/>
        <w:numPr>
          <w:ilvl w:val="1"/>
          <w:numId w:val="24"/>
        </w:numPr>
        <w:spacing w:after="60"/>
      </w:pPr>
      <w:r>
        <w:t>Bridge Refugee Services (Chattanooga)</w:t>
      </w:r>
    </w:p>
    <w:p w14:paraId="51A22FF7" w14:textId="438B6E45" w:rsidR="001E712C" w:rsidRDefault="001E712C" w:rsidP="001E712C">
      <w:pPr>
        <w:pStyle w:val="ListParagraph"/>
        <w:numPr>
          <w:ilvl w:val="1"/>
          <w:numId w:val="24"/>
        </w:numPr>
        <w:spacing w:after="60"/>
      </w:pPr>
      <w:r>
        <w:t>Bridge Refugee Services (Knoxville)</w:t>
      </w:r>
    </w:p>
    <w:p w14:paraId="57121F09" w14:textId="1FC39BF6" w:rsidR="001E712C" w:rsidRDefault="001E712C" w:rsidP="001E712C">
      <w:pPr>
        <w:pStyle w:val="ListParagraph"/>
        <w:numPr>
          <w:ilvl w:val="0"/>
          <w:numId w:val="24"/>
        </w:numPr>
        <w:spacing w:after="60"/>
      </w:pPr>
      <w:r>
        <w:t>Healthcare facilities/providers that service high-risk populations</w:t>
      </w:r>
    </w:p>
    <w:p w14:paraId="2E42E47D" w14:textId="6597F28E" w:rsidR="001E712C" w:rsidRPr="001E712C" w:rsidRDefault="001E712C" w:rsidP="001E712C">
      <w:pPr>
        <w:pStyle w:val="ListParagraph"/>
        <w:numPr>
          <w:ilvl w:val="1"/>
          <w:numId w:val="24"/>
        </w:numPr>
        <w:spacing w:after="60"/>
      </w:pPr>
      <w:r>
        <w:t>Siloam Family Health Center (refugees)</w:t>
      </w:r>
    </w:p>
    <w:p w14:paraId="7485E8F6" w14:textId="16942C81" w:rsidR="005B0A87" w:rsidRDefault="005B0A87" w:rsidP="00FC2FEB">
      <w:pPr>
        <w:pStyle w:val="Heading2"/>
      </w:pPr>
      <w:r>
        <w:rPr>
          <w:u w:val="single"/>
        </w:rPr>
        <w:t>Goal 2</w:t>
      </w:r>
      <w:r>
        <w:t>: Partner with individuals</w:t>
      </w:r>
      <w:r w:rsidR="00544448">
        <w:t>/</w:t>
      </w:r>
      <w:r>
        <w:t>agencies serve populations at high risk for TB infection</w:t>
      </w:r>
    </w:p>
    <w:p w14:paraId="72A4FFAE" w14:textId="63B94195" w:rsidR="005B0A87" w:rsidRDefault="005B0A87" w:rsidP="005B0A87">
      <w:pPr>
        <w:spacing w:after="60"/>
      </w:pPr>
      <w:r>
        <w:rPr>
          <w:b/>
          <w:bCs w:val="0"/>
          <w:u w:val="single"/>
        </w:rPr>
        <w:t>Activity 1</w:t>
      </w:r>
      <w:r>
        <w:t>: Develop and implement outreach/education campaign targeted toward providers that report positive tests for TB infection</w:t>
      </w:r>
    </w:p>
    <w:p w14:paraId="5515DF59" w14:textId="0D5A815F" w:rsidR="005B0A87" w:rsidRDefault="005B0A87" w:rsidP="005B0A87">
      <w:pPr>
        <w:spacing w:after="60"/>
      </w:pPr>
      <w:r>
        <w:rPr>
          <w:b/>
          <w:bCs w:val="0"/>
          <w:u w:val="single"/>
        </w:rPr>
        <w:t>Action Step</w:t>
      </w:r>
      <w:r>
        <w:t>: Utilize database of reported positives tests for TB infection to develop summary of providers by region that are reporting positive tests for TB infection.</w:t>
      </w:r>
    </w:p>
    <w:p w14:paraId="6421D53A" w14:textId="584D51F9" w:rsidR="008D0578" w:rsidRPr="008D0578" w:rsidRDefault="008D0578" w:rsidP="005B0A87">
      <w:pPr>
        <w:spacing w:after="60"/>
      </w:pPr>
      <w:r>
        <w:rPr>
          <w:b/>
          <w:bCs w:val="0"/>
          <w:u w:val="single"/>
        </w:rPr>
        <w:t>Activity 2</w:t>
      </w:r>
      <w:r>
        <w:t xml:space="preserve">: Identify </w:t>
      </w:r>
      <w:r w:rsidR="00544448">
        <w:t xml:space="preserve">external </w:t>
      </w:r>
      <w:r>
        <w:t>agencies that serve populations at high risk for TB infections.</w:t>
      </w:r>
    </w:p>
    <w:p w14:paraId="35926521" w14:textId="04918170" w:rsidR="00FC2FEB" w:rsidRDefault="00FC2FEB" w:rsidP="00FC2FEB">
      <w:pPr>
        <w:pStyle w:val="Heading2"/>
      </w:pPr>
      <w:r w:rsidRPr="009D7816">
        <w:rPr>
          <w:u w:val="single"/>
        </w:rPr>
        <w:t xml:space="preserve">Goal </w:t>
      </w:r>
      <w:r w:rsidR="0047640B">
        <w:rPr>
          <w:u w:val="single"/>
        </w:rPr>
        <w:t>3</w:t>
      </w:r>
      <w:r>
        <w:t>: Create a Tennessee TB Elimination Task Force</w:t>
      </w:r>
    </w:p>
    <w:p w14:paraId="5D1F6693" w14:textId="22E6E1A8" w:rsidR="007857DA" w:rsidRPr="007857DA" w:rsidRDefault="007857DA" w:rsidP="007857DA">
      <w:r>
        <w:rPr>
          <w:b/>
          <w:bCs w:val="0"/>
          <w:u w:val="single"/>
        </w:rPr>
        <w:t>Activity 1</w:t>
      </w:r>
      <w:r>
        <w:t xml:space="preserve">: Identify individuals (internal and external) to </w:t>
      </w:r>
      <w:r w:rsidR="00642C78">
        <w:t>public health to serve on a Tennessee TB Elimination Task Force</w:t>
      </w:r>
      <w:bookmarkStart w:id="3" w:name="_GoBack"/>
      <w:bookmarkEnd w:id="3"/>
    </w:p>
    <w:p w14:paraId="711E469D" w14:textId="77777777" w:rsidR="00C10603" w:rsidRDefault="00C10603" w:rsidP="00DD6D63">
      <w:pPr>
        <w:pStyle w:val="Heading2"/>
      </w:pPr>
    </w:p>
    <w:p w14:paraId="47FA755B" w14:textId="63C7328B" w:rsidR="00C10603" w:rsidRPr="00C10603" w:rsidRDefault="00C10603" w:rsidP="00DD6D63">
      <w:pPr>
        <w:pStyle w:val="Heading2"/>
        <w:rPr>
          <w:rFonts w:ascii="PermianSlabSerifTypeface" w:hAnsi="PermianSlabSerifTypeface"/>
          <w:i w:val="0"/>
          <w:color w:val="666666" w:themeColor="accent5"/>
          <w:spacing w:val="-20"/>
          <w:sz w:val="44"/>
          <w:szCs w:val="26"/>
        </w:rPr>
      </w:pPr>
      <w:r>
        <w:rPr>
          <w:rFonts w:ascii="PermianSlabSerifTypeface" w:hAnsi="PermianSlabSerifTypeface"/>
          <w:i w:val="0"/>
          <w:color w:val="666666" w:themeColor="accent5"/>
          <w:spacing w:val="-20"/>
          <w:sz w:val="44"/>
          <w:szCs w:val="26"/>
        </w:rPr>
        <w:t>Public Health Workforce</w:t>
      </w:r>
    </w:p>
    <w:p w14:paraId="555FF1E2" w14:textId="4918E606" w:rsidR="00CB6D04" w:rsidRDefault="00CB6D04" w:rsidP="00CB6D04">
      <w:pPr>
        <w:pStyle w:val="Heading2"/>
      </w:pPr>
      <w:r w:rsidRPr="009D7816">
        <w:rPr>
          <w:u w:val="single"/>
        </w:rPr>
        <w:t>Goal 1</w:t>
      </w:r>
      <w:r>
        <w:t xml:space="preserve">: Support </w:t>
      </w:r>
      <w:r w:rsidR="007857DA">
        <w:t xml:space="preserve">and strengthen </w:t>
      </w:r>
      <w:r>
        <w:t>existing TB public health workforce</w:t>
      </w:r>
    </w:p>
    <w:p w14:paraId="5768F813" w14:textId="0A71C17F" w:rsidR="007857DA" w:rsidRPr="007857DA" w:rsidRDefault="007857DA" w:rsidP="007857DA">
      <w:r>
        <w:rPr>
          <w:b/>
          <w:bCs w:val="0"/>
          <w:u w:val="single"/>
        </w:rPr>
        <w:t>Activity 1</w:t>
      </w:r>
      <w:r>
        <w:t>: Ensure access to education opportunities for regional and local public health department staff</w:t>
      </w:r>
    </w:p>
    <w:p w14:paraId="1D0656D6" w14:textId="77777777" w:rsidR="00CB6D04" w:rsidRPr="00CB6D04" w:rsidRDefault="00CB6D04" w:rsidP="00CB6D04"/>
    <w:p w14:paraId="188DDA1E" w14:textId="77777777" w:rsidR="00C10603" w:rsidRDefault="00C10603" w:rsidP="00DD6D63">
      <w:pPr>
        <w:pStyle w:val="Heading2"/>
      </w:pPr>
    </w:p>
    <w:p w14:paraId="47E339C3" w14:textId="77777777" w:rsidR="005B05E4" w:rsidRDefault="005B05E4" w:rsidP="005B05E4"/>
    <w:p w14:paraId="4369883A" w14:textId="77777777" w:rsidR="008915DD" w:rsidRDefault="008915DD" w:rsidP="008915DD"/>
    <w:p w14:paraId="429BE2F3" w14:textId="77777777" w:rsidR="008915DD" w:rsidRDefault="008915DD" w:rsidP="008915DD"/>
    <w:p w14:paraId="715E61DC" w14:textId="77777777" w:rsidR="009A7A7E" w:rsidRPr="008867C1" w:rsidRDefault="009A7A7E" w:rsidP="008915DD"/>
    <w:p w14:paraId="4CDD301B" w14:textId="77777777" w:rsidR="00B27BC2" w:rsidRDefault="00B27BC2" w:rsidP="008915DD"/>
    <w:p w14:paraId="5C8B46F6" w14:textId="77777777" w:rsidR="00B27BC2" w:rsidRDefault="00B27BC2" w:rsidP="008915DD"/>
    <w:p w14:paraId="662E2C53" w14:textId="77777777" w:rsidR="00A90A8F" w:rsidRDefault="00A90A8F" w:rsidP="008915DD"/>
    <w:sectPr w:rsidR="00A90A8F" w:rsidSect="0072691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DD1C4" w14:textId="77777777" w:rsidR="003B3EE5" w:rsidRDefault="003B3EE5" w:rsidP="008915DD">
      <w:r>
        <w:separator/>
      </w:r>
    </w:p>
  </w:endnote>
  <w:endnote w:type="continuationSeparator" w:id="0">
    <w:p w14:paraId="2C821D52" w14:textId="77777777" w:rsidR="003B3EE5" w:rsidRDefault="003B3EE5"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B69C" w14:textId="77777777" w:rsidR="0076206A" w:rsidRDefault="00762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169B" w14:textId="77777777" w:rsidR="003B3EE5" w:rsidRPr="00A82423" w:rsidRDefault="003B3EE5" w:rsidP="00C511FD">
      <w:pPr>
        <w:pStyle w:val="separator"/>
      </w:pPr>
      <w:r w:rsidRPr="00A82423">
        <w:separator/>
      </w:r>
    </w:p>
  </w:footnote>
  <w:footnote w:type="continuationSeparator" w:id="0">
    <w:p w14:paraId="771BB12B" w14:textId="77777777" w:rsidR="003B3EE5" w:rsidRPr="00A82423" w:rsidRDefault="003B3EE5" w:rsidP="00C511FD">
      <w:pPr>
        <w:pStyle w:val="separator"/>
      </w:pPr>
      <w:r w:rsidRPr="00A82423">
        <w:continuationSeparator/>
      </w:r>
    </w:p>
  </w:footnote>
  <w:footnote w:type="continuationNotice" w:id="1">
    <w:p w14:paraId="5756CE74" w14:textId="77777777" w:rsidR="003B3EE5" w:rsidRDefault="003B3EE5">
      <w:pPr>
        <w:spacing w:after="0" w:line="240" w:lineRule="auto"/>
      </w:pPr>
    </w:p>
  </w:footnote>
  <w:footnote w:id="2">
    <w:p w14:paraId="543450AC" w14:textId="11925CCE" w:rsidR="00350CD7" w:rsidRDefault="00350CD7" w:rsidP="00350CD7">
      <w:pPr>
        <w:pStyle w:val="FootnoteText"/>
        <w:spacing w:after="0"/>
      </w:pPr>
      <w:r>
        <w:rPr>
          <w:rStyle w:val="FootnoteReference"/>
        </w:rPr>
        <w:footnoteRef/>
      </w:r>
      <w:r>
        <w:t xml:space="preserve"> Global tuberculosis report 2020.  Geneva: World Health Organization; 2020.  License: CC BY-NC-SA 3.0 IGO.</w:t>
      </w:r>
    </w:p>
  </w:footnote>
  <w:footnote w:id="3">
    <w:p w14:paraId="718D0E29" w14:textId="534CCA78" w:rsidR="00350CD7" w:rsidRDefault="00350CD7" w:rsidP="00350CD7">
      <w:pPr>
        <w:pStyle w:val="FootnoteText"/>
        <w:spacing w:after="0"/>
      </w:pPr>
      <w:r>
        <w:rPr>
          <w:rStyle w:val="FootnoteReference"/>
        </w:rPr>
        <w:footnoteRef/>
      </w:r>
      <w:r>
        <w:t xml:space="preserve"> Sterling TR, Njie G, Zenner D, et al.  Guidelines for the Treatment of Latent Tuberculosis Infection: Recommendations from the National Tuberculosis Controllers Association and CDC, 2020.  MMWR Recomm Rep 2020;69(No. RR-1):1-11.  DOI: http://dx.doi.org/10.15585/mmwr.rr6901a1</w:t>
      </w:r>
    </w:p>
  </w:footnote>
  <w:footnote w:id="4">
    <w:p w14:paraId="613483F0" w14:textId="2502B8AF" w:rsidR="00350CD7" w:rsidRDefault="00350CD7">
      <w:pPr>
        <w:pStyle w:val="FootnoteText"/>
      </w:pPr>
      <w:r>
        <w:rPr>
          <w:rStyle w:val="FootnoteReference"/>
        </w:rPr>
        <w:footnoteRef/>
      </w:r>
      <w:r>
        <w:t xml:space="preserve"> Coe B, Nilsen DM, Will L, Etkind SC, Burgos M, Chorba T.  Essential Components of a Public Health Prevention, Control, and Elimination Program: Recommendations of the Advisory Council for the Elimination of Tuberculosis and the National Tuberculosis Controllers Association.  MMWR Recomm Rep 2020;69(No. RR-7):1-27.  DOI: </w:t>
      </w:r>
      <w:hyperlink r:id="rId1" w:history="1">
        <w:r w:rsidRPr="00C6587D">
          <w:rPr>
            <w:rStyle w:val="Hyperlink"/>
          </w:rPr>
          <w:t>http://dx.doi.org/10.15585/mmwr.rr6907a1</w:t>
        </w:r>
      </w:hyperlink>
      <w:r>
        <w:t xml:space="preserve"> </w:t>
      </w:r>
    </w:p>
  </w:footnote>
  <w:footnote w:id="5">
    <w:p w14:paraId="54D655DB" w14:textId="77777777" w:rsidR="00571629" w:rsidRPr="00601862" w:rsidRDefault="00571629" w:rsidP="00571629">
      <w:pPr>
        <w:pStyle w:val="FootnoteText"/>
      </w:pPr>
      <w:r>
        <w:rPr>
          <w:rStyle w:val="FootnoteReference"/>
        </w:rPr>
        <w:footnoteRef/>
      </w:r>
      <w:r>
        <w:t xml:space="preserve"> Centers for Disease Control and Prevention.  Updated Guidelines for Using Interferon Gamma Release Assays to Detect </w:t>
      </w:r>
      <w:r>
        <w:rPr>
          <w:i/>
          <w:iCs/>
        </w:rPr>
        <w:t>Mycobacterium tuberculosis</w:t>
      </w:r>
      <w:r>
        <w:t xml:space="preserve"> Infection – United States, 2010.  MMWR 2010:59(RR-5):[3].</w:t>
      </w:r>
    </w:p>
  </w:footnote>
  <w:footnote w:id="6">
    <w:p w14:paraId="39B0FDFF" w14:textId="57DBD441" w:rsidR="00743D45" w:rsidRDefault="00743D45">
      <w:pPr>
        <w:pStyle w:val="FootnoteText"/>
      </w:pPr>
      <w:r>
        <w:rPr>
          <w:rStyle w:val="FootnoteReference"/>
        </w:rPr>
        <w:footnoteRef/>
      </w:r>
      <w:r>
        <w:t xml:space="preserve"> LoBue P, Menzies D.  Treatment of latent tuberculosis infection: An update.  Respirology 15:603-622.  DOI: </w:t>
      </w:r>
      <w:hyperlink r:id="rId2" w:history="1">
        <w:r w:rsidRPr="008D7771">
          <w:rPr>
            <w:rStyle w:val="Hyperlink"/>
          </w:rPr>
          <w:t>https://doi.org/10.1111/j.1440-1843.2010.01751.x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C79"/>
    <w:multiLevelType w:val="hybridMultilevel"/>
    <w:tmpl w:val="3800B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373E4"/>
    <w:multiLevelType w:val="hybridMultilevel"/>
    <w:tmpl w:val="CE2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A74C2"/>
    <w:multiLevelType w:val="hybridMultilevel"/>
    <w:tmpl w:val="EC18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57D8"/>
    <w:multiLevelType w:val="hybridMultilevel"/>
    <w:tmpl w:val="8602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7603B"/>
    <w:multiLevelType w:val="hybridMultilevel"/>
    <w:tmpl w:val="4CBC1A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27E25"/>
    <w:multiLevelType w:val="hybridMultilevel"/>
    <w:tmpl w:val="4702A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B40E6"/>
    <w:multiLevelType w:val="hybridMultilevel"/>
    <w:tmpl w:val="97980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42FD4"/>
    <w:multiLevelType w:val="hybridMultilevel"/>
    <w:tmpl w:val="0D6E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D14EF"/>
    <w:multiLevelType w:val="hybridMultilevel"/>
    <w:tmpl w:val="925C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10918"/>
    <w:multiLevelType w:val="hybridMultilevel"/>
    <w:tmpl w:val="19FA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C4883"/>
    <w:multiLevelType w:val="hybridMultilevel"/>
    <w:tmpl w:val="1134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5030A"/>
    <w:multiLevelType w:val="hybridMultilevel"/>
    <w:tmpl w:val="86F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B7688"/>
    <w:multiLevelType w:val="hybridMultilevel"/>
    <w:tmpl w:val="0C1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A65E5"/>
    <w:multiLevelType w:val="hybridMultilevel"/>
    <w:tmpl w:val="7EB6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A1040"/>
    <w:multiLevelType w:val="hybridMultilevel"/>
    <w:tmpl w:val="3F8078D0"/>
    <w:lvl w:ilvl="0" w:tplc="0CDA7D76">
      <w:start w:val="1"/>
      <w:numFmt w:val="bullet"/>
      <w:lvlText w:val=""/>
      <w:lvlJc w:val="left"/>
      <w:pPr>
        <w:ind w:left="720" w:hanging="360"/>
      </w:pPr>
      <w:rPr>
        <w:rFonts w:ascii="Symbol" w:hAnsi="Symbol" w:hint="default"/>
        <w:color w:val="7578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648B1"/>
    <w:multiLevelType w:val="hybridMultilevel"/>
    <w:tmpl w:val="08F8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C4928"/>
    <w:multiLevelType w:val="hybridMultilevel"/>
    <w:tmpl w:val="74D0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64EE0"/>
    <w:multiLevelType w:val="hybridMultilevel"/>
    <w:tmpl w:val="90A0D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01362"/>
    <w:multiLevelType w:val="hybridMultilevel"/>
    <w:tmpl w:val="979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22963"/>
    <w:multiLevelType w:val="hybridMultilevel"/>
    <w:tmpl w:val="C72E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A2832"/>
    <w:multiLevelType w:val="hybridMultilevel"/>
    <w:tmpl w:val="F584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B017AD"/>
    <w:multiLevelType w:val="hybridMultilevel"/>
    <w:tmpl w:val="E1DC5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605DD"/>
    <w:multiLevelType w:val="hybridMultilevel"/>
    <w:tmpl w:val="36C8E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AB3FB0"/>
    <w:multiLevelType w:val="hybridMultilevel"/>
    <w:tmpl w:val="FD9CD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23"/>
  </w:num>
  <w:num w:numId="5">
    <w:abstractNumId w:val="8"/>
  </w:num>
  <w:num w:numId="6">
    <w:abstractNumId w:val="12"/>
  </w:num>
  <w:num w:numId="7">
    <w:abstractNumId w:val="18"/>
  </w:num>
  <w:num w:numId="8">
    <w:abstractNumId w:val="6"/>
  </w:num>
  <w:num w:numId="9">
    <w:abstractNumId w:val="22"/>
  </w:num>
  <w:num w:numId="10">
    <w:abstractNumId w:val="17"/>
  </w:num>
  <w:num w:numId="11">
    <w:abstractNumId w:val="16"/>
  </w:num>
  <w:num w:numId="12">
    <w:abstractNumId w:val="7"/>
  </w:num>
  <w:num w:numId="13">
    <w:abstractNumId w:val="5"/>
  </w:num>
  <w:num w:numId="14">
    <w:abstractNumId w:val="10"/>
  </w:num>
  <w:num w:numId="15">
    <w:abstractNumId w:val="0"/>
  </w:num>
  <w:num w:numId="16">
    <w:abstractNumId w:val="15"/>
  </w:num>
  <w:num w:numId="17">
    <w:abstractNumId w:val="9"/>
  </w:num>
  <w:num w:numId="18">
    <w:abstractNumId w:val="13"/>
  </w:num>
  <w:num w:numId="19">
    <w:abstractNumId w:val="3"/>
  </w:num>
  <w:num w:numId="20">
    <w:abstractNumId w:val="21"/>
  </w:num>
  <w:num w:numId="21">
    <w:abstractNumId w:val="20"/>
  </w:num>
  <w:num w:numId="22">
    <w:abstractNumId w:val="2"/>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7E"/>
    <w:rsid w:val="000122A2"/>
    <w:rsid w:val="00017297"/>
    <w:rsid w:val="0004545F"/>
    <w:rsid w:val="0004755A"/>
    <w:rsid w:val="00055D54"/>
    <w:rsid w:val="00057A1E"/>
    <w:rsid w:val="00077431"/>
    <w:rsid w:val="00080476"/>
    <w:rsid w:val="00086518"/>
    <w:rsid w:val="00086796"/>
    <w:rsid w:val="000A1F70"/>
    <w:rsid w:val="000B183C"/>
    <w:rsid w:val="000C343C"/>
    <w:rsid w:val="000C542D"/>
    <w:rsid w:val="000D0FDD"/>
    <w:rsid w:val="000D1834"/>
    <w:rsid w:val="000E60EA"/>
    <w:rsid w:val="00103FA0"/>
    <w:rsid w:val="001164CE"/>
    <w:rsid w:val="0011731D"/>
    <w:rsid w:val="00142810"/>
    <w:rsid w:val="00147CFB"/>
    <w:rsid w:val="001873D9"/>
    <w:rsid w:val="001A1F5A"/>
    <w:rsid w:val="001B1458"/>
    <w:rsid w:val="001B53D0"/>
    <w:rsid w:val="001E712C"/>
    <w:rsid w:val="001F4FDC"/>
    <w:rsid w:val="00206EBF"/>
    <w:rsid w:val="00220C1C"/>
    <w:rsid w:val="002247EB"/>
    <w:rsid w:val="00227736"/>
    <w:rsid w:val="002713F0"/>
    <w:rsid w:val="00271907"/>
    <w:rsid w:val="00283B8F"/>
    <w:rsid w:val="002861AE"/>
    <w:rsid w:val="002B4A56"/>
    <w:rsid w:val="002D296B"/>
    <w:rsid w:val="002E0E38"/>
    <w:rsid w:val="002F3E17"/>
    <w:rsid w:val="00302F54"/>
    <w:rsid w:val="003313BF"/>
    <w:rsid w:val="00337F68"/>
    <w:rsid w:val="003507FB"/>
    <w:rsid w:val="00350CD7"/>
    <w:rsid w:val="003520F8"/>
    <w:rsid w:val="00354C4A"/>
    <w:rsid w:val="003726D6"/>
    <w:rsid w:val="00385458"/>
    <w:rsid w:val="003B3EE5"/>
    <w:rsid w:val="003B4764"/>
    <w:rsid w:val="003D62DD"/>
    <w:rsid w:val="003D65AE"/>
    <w:rsid w:val="003F731C"/>
    <w:rsid w:val="0044090D"/>
    <w:rsid w:val="00442A7C"/>
    <w:rsid w:val="0047640B"/>
    <w:rsid w:val="00484D34"/>
    <w:rsid w:val="004A2BFC"/>
    <w:rsid w:val="004A3838"/>
    <w:rsid w:val="004B1840"/>
    <w:rsid w:val="004B2EC8"/>
    <w:rsid w:val="004B74B3"/>
    <w:rsid w:val="004F5CD2"/>
    <w:rsid w:val="0052543D"/>
    <w:rsid w:val="00544448"/>
    <w:rsid w:val="00571309"/>
    <w:rsid w:val="00571629"/>
    <w:rsid w:val="005758FC"/>
    <w:rsid w:val="00582EBE"/>
    <w:rsid w:val="005A5697"/>
    <w:rsid w:val="005B05E4"/>
    <w:rsid w:val="005B0A87"/>
    <w:rsid w:val="005C0460"/>
    <w:rsid w:val="005C1382"/>
    <w:rsid w:val="00601862"/>
    <w:rsid w:val="006203B3"/>
    <w:rsid w:val="0062412A"/>
    <w:rsid w:val="006335BC"/>
    <w:rsid w:val="00642C78"/>
    <w:rsid w:val="0066197A"/>
    <w:rsid w:val="0066402B"/>
    <w:rsid w:val="00664E7E"/>
    <w:rsid w:val="00671953"/>
    <w:rsid w:val="00686660"/>
    <w:rsid w:val="006A646C"/>
    <w:rsid w:val="006F3F84"/>
    <w:rsid w:val="006F4BDE"/>
    <w:rsid w:val="00700DA0"/>
    <w:rsid w:val="00706059"/>
    <w:rsid w:val="00707000"/>
    <w:rsid w:val="00713A5A"/>
    <w:rsid w:val="007141C2"/>
    <w:rsid w:val="00714C32"/>
    <w:rsid w:val="0071782D"/>
    <w:rsid w:val="00722A08"/>
    <w:rsid w:val="00724153"/>
    <w:rsid w:val="00726914"/>
    <w:rsid w:val="00727FAD"/>
    <w:rsid w:val="00731E1C"/>
    <w:rsid w:val="007437F5"/>
    <w:rsid w:val="00743D45"/>
    <w:rsid w:val="0076206A"/>
    <w:rsid w:val="00763F7F"/>
    <w:rsid w:val="00772F90"/>
    <w:rsid w:val="007857DA"/>
    <w:rsid w:val="00796FD1"/>
    <w:rsid w:val="007C7B3A"/>
    <w:rsid w:val="007E4F73"/>
    <w:rsid w:val="008122EB"/>
    <w:rsid w:val="00852D6C"/>
    <w:rsid w:val="008803B9"/>
    <w:rsid w:val="008912F2"/>
    <w:rsid w:val="008915DD"/>
    <w:rsid w:val="00892ECC"/>
    <w:rsid w:val="0089627D"/>
    <w:rsid w:val="008A37CA"/>
    <w:rsid w:val="008A7CE4"/>
    <w:rsid w:val="008B0DF6"/>
    <w:rsid w:val="008D0578"/>
    <w:rsid w:val="008E31F0"/>
    <w:rsid w:val="008E6673"/>
    <w:rsid w:val="008E7C7B"/>
    <w:rsid w:val="00902CA8"/>
    <w:rsid w:val="00903318"/>
    <w:rsid w:val="009346A8"/>
    <w:rsid w:val="00935C9E"/>
    <w:rsid w:val="00952BA7"/>
    <w:rsid w:val="00952CF0"/>
    <w:rsid w:val="0097608E"/>
    <w:rsid w:val="00986A9E"/>
    <w:rsid w:val="009A4968"/>
    <w:rsid w:val="009A5E9C"/>
    <w:rsid w:val="009A7A7E"/>
    <w:rsid w:val="009C0074"/>
    <w:rsid w:val="009C1E5E"/>
    <w:rsid w:val="009C3BC7"/>
    <w:rsid w:val="009C719A"/>
    <w:rsid w:val="009C7D70"/>
    <w:rsid w:val="009D0860"/>
    <w:rsid w:val="009D7816"/>
    <w:rsid w:val="009F14C7"/>
    <w:rsid w:val="009F2A3D"/>
    <w:rsid w:val="009F5E5C"/>
    <w:rsid w:val="00A0768E"/>
    <w:rsid w:val="00A13190"/>
    <w:rsid w:val="00A20CF8"/>
    <w:rsid w:val="00A323F0"/>
    <w:rsid w:val="00A41DFB"/>
    <w:rsid w:val="00A45963"/>
    <w:rsid w:val="00A47133"/>
    <w:rsid w:val="00A613C3"/>
    <w:rsid w:val="00A82423"/>
    <w:rsid w:val="00A82CFB"/>
    <w:rsid w:val="00A861B4"/>
    <w:rsid w:val="00A90A8F"/>
    <w:rsid w:val="00AC5C51"/>
    <w:rsid w:val="00AC7B4B"/>
    <w:rsid w:val="00AD5171"/>
    <w:rsid w:val="00B13133"/>
    <w:rsid w:val="00B17CBD"/>
    <w:rsid w:val="00B27BC2"/>
    <w:rsid w:val="00B4124F"/>
    <w:rsid w:val="00B65464"/>
    <w:rsid w:val="00B66236"/>
    <w:rsid w:val="00B77DF1"/>
    <w:rsid w:val="00B812A9"/>
    <w:rsid w:val="00B84721"/>
    <w:rsid w:val="00B8515E"/>
    <w:rsid w:val="00B934BE"/>
    <w:rsid w:val="00BB24EE"/>
    <w:rsid w:val="00BB4700"/>
    <w:rsid w:val="00BC696D"/>
    <w:rsid w:val="00C10603"/>
    <w:rsid w:val="00C22490"/>
    <w:rsid w:val="00C22984"/>
    <w:rsid w:val="00C301DE"/>
    <w:rsid w:val="00C511FD"/>
    <w:rsid w:val="00C57416"/>
    <w:rsid w:val="00C72BBF"/>
    <w:rsid w:val="00C75B9B"/>
    <w:rsid w:val="00C95F61"/>
    <w:rsid w:val="00CA60E1"/>
    <w:rsid w:val="00CB6D04"/>
    <w:rsid w:val="00CC1E7A"/>
    <w:rsid w:val="00CE4EBD"/>
    <w:rsid w:val="00D31E56"/>
    <w:rsid w:val="00D37211"/>
    <w:rsid w:val="00D508B3"/>
    <w:rsid w:val="00D55130"/>
    <w:rsid w:val="00D6080F"/>
    <w:rsid w:val="00D803F8"/>
    <w:rsid w:val="00D85AE0"/>
    <w:rsid w:val="00D86458"/>
    <w:rsid w:val="00DA20F3"/>
    <w:rsid w:val="00DB256E"/>
    <w:rsid w:val="00DC2709"/>
    <w:rsid w:val="00DD44F5"/>
    <w:rsid w:val="00DD6D63"/>
    <w:rsid w:val="00E07FCE"/>
    <w:rsid w:val="00E17D3A"/>
    <w:rsid w:val="00E23534"/>
    <w:rsid w:val="00E43148"/>
    <w:rsid w:val="00E451D5"/>
    <w:rsid w:val="00E5233D"/>
    <w:rsid w:val="00E57A8D"/>
    <w:rsid w:val="00E7035F"/>
    <w:rsid w:val="00E75602"/>
    <w:rsid w:val="00EA5F82"/>
    <w:rsid w:val="00ED7259"/>
    <w:rsid w:val="00EE7D00"/>
    <w:rsid w:val="00EF0EEA"/>
    <w:rsid w:val="00F05DF2"/>
    <w:rsid w:val="00F12A78"/>
    <w:rsid w:val="00F15488"/>
    <w:rsid w:val="00F31706"/>
    <w:rsid w:val="00F84CEE"/>
    <w:rsid w:val="00F87B9E"/>
    <w:rsid w:val="00F92D33"/>
    <w:rsid w:val="00F94988"/>
    <w:rsid w:val="00FA4518"/>
    <w:rsid w:val="00FC2FEB"/>
    <w:rsid w:val="00FC55E0"/>
    <w:rsid w:val="00FE6A75"/>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B84917F"/>
  <w15:docId w15:val="{B47EA61F-39E9-4F72-AC38-0E710210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5DD"/>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9"/>
    <w:unhideWhenUsed/>
    <w:qFormat/>
    <w:rsid w:val="00722A08"/>
    <w:pPr>
      <w:spacing w:after="60" w:line="240" w:lineRule="auto"/>
      <w:outlineLvl w:val="1"/>
    </w:pPr>
    <w:rPr>
      <w:b/>
      <w:i/>
      <w:color w:val="1B365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uiPriority w:val="99"/>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935C9E"/>
    <w:pPr>
      <w:spacing w:after="120" w:line="680" w:lineRule="exact"/>
      <w:jc w:val="both"/>
    </w:pPr>
    <w:rPr>
      <w:rFonts w:ascii="PermianSlabSerifTypeface" w:hAnsi="PermianSlabSerifTypeface"/>
      <w:color w:val="75787B"/>
      <w:spacing w:val="-20"/>
      <w:kern w:val="52"/>
      <w:sz w:val="72"/>
      <w:szCs w:val="26"/>
    </w:rPr>
  </w:style>
  <w:style w:type="character" w:customStyle="1" w:styleId="TitleChar">
    <w:name w:val="Title Char"/>
    <w:basedOn w:val="DefaultParagraphFont"/>
    <w:link w:val="Title"/>
    <w:uiPriority w:val="10"/>
    <w:rsid w:val="00935C9E"/>
    <w:rPr>
      <w:rFonts w:ascii="PermianSlabSerifTypeface" w:hAnsi="PermianSlabSerifTypeface"/>
      <w:color w:val="75787B"/>
      <w:spacing w:val="-20"/>
      <w:kern w:val="52"/>
      <w:sz w:val="72"/>
      <w:szCs w:val="26"/>
    </w:rPr>
  </w:style>
  <w:style w:type="paragraph" w:styleId="Subtitle">
    <w:name w:val="Subtitle"/>
    <w:basedOn w:val="Normal"/>
    <w:next w:val="Normal"/>
    <w:link w:val="SubtitleChar"/>
    <w:uiPriority w:val="11"/>
    <w:qFormat/>
    <w:rsid w:val="008A37CA"/>
    <w:pPr>
      <w:spacing w:after="240"/>
      <w:jc w:val="both"/>
    </w:pPr>
    <w:rPr>
      <w:color w:val="75787B"/>
      <w:sz w:val="36"/>
      <w:szCs w:val="26"/>
    </w:rPr>
  </w:style>
  <w:style w:type="character" w:customStyle="1" w:styleId="SubtitleChar">
    <w:name w:val="Subtitle Char"/>
    <w:basedOn w:val="DefaultParagraphFont"/>
    <w:link w:val="Subtitle"/>
    <w:uiPriority w:val="11"/>
    <w:rsid w:val="008A37CA"/>
    <w:rPr>
      <w:rFonts w:ascii="Open Sans" w:hAnsi="Open Sans" w:cs="Open Sans"/>
      <w:color w:val="75787B"/>
      <w:sz w:val="36"/>
      <w:szCs w:val="26"/>
    </w:rPr>
  </w:style>
  <w:style w:type="paragraph" w:customStyle="1" w:styleId="coverbyline">
    <w:name w:val="cover byline"/>
    <w:basedOn w:val="Normal"/>
    <w:link w:val="coverbylineChar"/>
    <w:qFormat/>
    <w:rsid w:val="00935C9E"/>
    <w:pPr>
      <w:jc w:val="both"/>
    </w:pPr>
    <w:rPr>
      <w:color w:val="75787B"/>
      <w:sz w:val="18"/>
      <w:szCs w:val="26"/>
    </w:rPr>
  </w:style>
  <w:style w:type="character" w:customStyle="1" w:styleId="Heading1Char">
    <w:name w:val="Heading 1 Char"/>
    <w:basedOn w:val="DefaultParagraphFont"/>
    <w:link w:val="Heading1"/>
    <w:uiPriority w:val="9"/>
    <w:rsid w:val="008A37CA"/>
    <w:rPr>
      <w:rFonts w:ascii="PermianSlabSerifTypeface" w:hAnsi="PermianSlabSerifTypeface" w:cs="Open Sans"/>
      <w:b/>
      <w:color w:val="75787B"/>
      <w:spacing w:val="-20"/>
      <w:sz w:val="44"/>
      <w:szCs w:val="26"/>
    </w:rPr>
  </w:style>
  <w:style w:type="character" w:customStyle="1" w:styleId="coverbylineChar">
    <w:name w:val="cover byline Char"/>
    <w:basedOn w:val="DefaultParagraphFont"/>
    <w:link w:val="coverbyline"/>
    <w:rsid w:val="00935C9E"/>
    <w:rPr>
      <w:rFonts w:ascii="Open Sans" w:hAnsi="Open Sans" w:cs="Open Sans"/>
      <w:color w:val="75787B"/>
      <w:sz w:val="18"/>
      <w:szCs w:val="26"/>
    </w:rPr>
  </w:style>
  <w:style w:type="character" w:customStyle="1" w:styleId="Heading2Char">
    <w:name w:val="Heading 2 Char"/>
    <w:basedOn w:val="DefaultParagraphFont"/>
    <w:link w:val="Heading2"/>
    <w:uiPriority w:val="9"/>
    <w:rsid w:val="00722A08"/>
    <w:rPr>
      <w:rFonts w:ascii="Open Sans" w:hAnsi="Open Sans" w:cs="Open Sans"/>
      <w:b/>
      <w:bCs/>
      <w:i/>
      <w:color w:val="1B365D"/>
      <w:sz w:val="28"/>
      <w:szCs w:val="21"/>
    </w:rPr>
  </w:style>
  <w:style w:type="paragraph" w:styleId="Caption">
    <w:name w:val="caption"/>
    <w:basedOn w:val="Normal"/>
    <w:next w:val="Normal"/>
    <w:uiPriority w:val="35"/>
    <w:unhideWhenUsed/>
    <w:qFormat/>
    <w:rsid w:val="00A90A8F"/>
    <w:pPr>
      <w:spacing w:after="200"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Pullquote">
    <w:name w:val="Pull quote"/>
    <w:basedOn w:val="Normal"/>
    <w:link w:val="PullquoteChar"/>
    <w:qFormat/>
    <w:rsid w:val="00E23534"/>
    <w:pPr>
      <w:spacing w:after="0"/>
      <w:jc w:val="center"/>
    </w:pPr>
    <w:rPr>
      <w:i/>
      <w:iCs/>
      <w:color w:val="7F7F7F" w:themeColor="text1" w:themeTint="80"/>
      <w:sz w:val="24"/>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0">
    <w:name w:val="Pull Quote"/>
    <w:basedOn w:val="Normal"/>
    <w:link w:val="PullQuoteChar0"/>
    <w:qFormat/>
    <w:rsid w:val="00484D34"/>
    <w:pPr>
      <w:pBdr>
        <w:left w:val="single" w:sz="24" w:space="10" w:color="D22630"/>
      </w:pBdr>
    </w:pPr>
    <w:rPr>
      <w:rFonts w:ascii="PermianSlabSerifTypeface" w:hAnsi="PermianSlabSerifTypeface"/>
      <w:i/>
      <w:color w:val="75787B"/>
      <w:sz w:val="28"/>
    </w:rPr>
  </w:style>
  <w:style w:type="character" w:customStyle="1" w:styleId="PullquoteChar">
    <w:name w:val="Pull quote Char"/>
    <w:basedOn w:val="DefaultParagraphFont"/>
    <w:link w:val="Pullquote"/>
    <w:rsid w:val="00E23534"/>
    <w:rPr>
      <w:rFonts w:ascii="Open Sans" w:hAnsi="Open Sans" w:cs="Open Sans"/>
      <w:bCs/>
      <w:i/>
      <w:iCs/>
      <w:color w:val="7F7F7F" w:themeColor="text1" w:themeTint="80"/>
      <w:sz w:val="24"/>
      <w:szCs w:val="21"/>
    </w:rPr>
  </w:style>
  <w:style w:type="character" w:customStyle="1" w:styleId="PullQuoteChar0">
    <w:name w:val="Pull Quote Char"/>
    <w:basedOn w:val="DefaultParagraphFont"/>
    <w:link w:val="PullQuote0"/>
    <w:rsid w:val="00484D34"/>
    <w:rPr>
      <w:rFonts w:ascii="PermianSlabSerifTypeface" w:hAnsi="PermianSlabSerifTypeface" w:cs="Open Sans"/>
      <w:bCs/>
      <w:i/>
      <w:color w:val="75787B"/>
      <w:sz w:val="28"/>
      <w:szCs w:val="21"/>
    </w:rPr>
  </w:style>
  <w:style w:type="paragraph" w:styleId="Header">
    <w:name w:val="header"/>
    <w:basedOn w:val="Normal"/>
    <w:link w:val="HeaderChar"/>
    <w:uiPriority w:val="99"/>
    <w:unhideWhenUsed/>
    <w:rsid w:val="0076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6A"/>
    <w:rPr>
      <w:rFonts w:ascii="Open Sans" w:hAnsi="Open Sans" w:cs="Open Sans"/>
      <w:bCs/>
      <w:sz w:val="21"/>
      <w:szCs w:val="21"/>
    </w:rPr>
  </w:style>
  <w:style w:type="paragraph" w:styleId="Footer">
    <w:name w:val="footer"/>
    <w:basedOn w:val="Normal"/>
    <w:link w:val="FooterChar"/>
    <w:uiPriority w:val="99"/>
    <w:unhideWhenUsed/>
    <w:rsid w:val="0076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6A"/>
    <w:rPr>
      <w:rFonts w:ascii="Open Sans" w:hAnsi="Open Sans" w:cs="Open Sans"/>
      <w:bCs/>
      <w:sz w:val="21"/>
      <w:szCs w:val="21"/>
    </w:rPr>
  </w:style>
  <w:style w:type="character" w:styleId="Hyperlink">
    <w:name w:val="Hyperlink"/>
    <w:basedOn w:val="DefaultParagraphFont"/>
    <w:uiPriority w:val="99"/>
    <w:unhideWhenUsed/>
    <w:rsid w:val="00350CD7"/>
    <w:rPr>
      <w:color w:val="131E29" w:themeColor="hyperlink"/>
      <w:u w:val="single"/>
    </w:rPr>
  </w:style>
  <w:style w:type="character" w:styleId="UnresolvedMention">
    <w:name w:val="Unresolved Mention"/>
    <w:basedOn w:val="DefaultParagraphFont"/>
    <w:uiPriority w:val="99"/>
    <w:semiHidden/>
    <w:unhideWhenUsed/>
    <w:rsid w:val="00350CD7"/>
    <w:rPr>
      <w:color w:val="605E5C"/>
      <w:shd w:val="clear" w:color="auto" w:fill="E1DFDD"/>
    </w:rPr>
  </w:style>
  <w:style w:type="table" w:styleId="TableGrid">
    <w:name w:val="Table Grid"/>
    <w:basedOn w:val="TableNormal"/>
    <w:uiPriority w:val="59"/>
    <w:rsid w:val="0060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3318"/>
    <w:rPr>
      <w:color w:val="CBC4BC" w:themeColor="followedHyperlink"/>
      <w:u w:val="single"/>
    </w:rPr>
  </w:style>
  <w:style w:type="paragraph" w:styleId="EndnoteText">
    <w:name w:val="endnote text"/>
    <w:basedOn w:val="Normal"/>
    <w:link w:val="EndnoteTextChar"/>
    <w:uiPriority w:val="99"/>
    <w:semiHidden/>
    <w:unhideWhenUsed/>
    <w:rsid w:val="00743D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3D45"/>
    <w:rPr>
      <w:rFonts w:ascii="Open Sans" w:hAnsi="Open Sans" w:cs="Open Sans"/>
      <w:bCs/>
      <w:sz w:val="20"/>
      <w:szCs w:val="20"/>
    </w:rPr>
  </w:style>
  <w:style w:type="character" w:styleId="EndnoteReference">
    <w:name w:val="endnote reference"/>
    <w:basedOn w:val="DefaultParagraphFont"/>
    <w:uiPriority w:val="99"/>
    <w:semiHidden/>
    <w:unhideWhenUsed/>
    <w:rsid w:val="00743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4271">
      <w:bodyDiv w:val="1"/>
      <w:marLeft w:val="0"/>
      <w:marRight w:val="0"/>
      <w:marTop w:val="0"/>
      <w:marBottom w:val="0"/>
      <w:divBdr>
        <w:top w:val="none" w:sz="0" w:space="0" w:color="auto"/>
        <w:left w:val="none" w:sz="0" w:space="0" w:color="auto"/>
        <w:bottom w:val="none" w:sz="0" w:space="0" w:color="auto"/>
        <w:right w:val="none" w:sz="0" w:space="0" w:color="auto"/>
      </w:divBdr>
    </w:div>
    <w:div w:id="860819751">
      <w:bodyDiv w:val="1"/>
      <w:marLeft w:val="0"/>
      <w:marRight w:val="0"/>
      <w:marTop w:val="0"/>
      <w:marBottom w:val="0"/>
      <w:divBdr>
        <w:top w:val="none" w:sz="0" w:space="0" w:color="auto"/>
        <w:left w:val="none" w:sz="0" w:space="0" w:color="auto"/>
        <w:bottom w:val="none" w:sz="0" w:space="0" w:color="auto"/>
        <w:right w:val="none" w:sz="0" w:space="0" w:color="auto"/>
      </w:divBdr>
    </w:div>
    <w:div w:id="862405683">
      <w:bodyDiv w:val="1"/>
      <w:marLeft w:val="0"/>
      <w:marRight w:val="0"/>
      <w:marTop w:val="0"/>
      <w:marBottom w:val="0"/>
      <w:divBdr>
        <w:top w:val="none" w:sz="0" w:space="0" w:color="auto"/>
        <w:left w:val="none" w:sz="0" w:space="0" w:color="auto"/>
        <w:bottom w:val="none" w:sz="0" w:space="0" w:color="auto"/>
        <w:right w:val="none" w:sz="0" w:space="0" w:color="auto"/>
      </w:divBdr>
    </w:div>
    <w:div w:id="1023286669">
      <w:bodyDiv w:val="1"/>
      <w:marLeft w:val="0"/>
      <w:marRight w:val="0"/>
      <w:marTop w:val="0"/>
      <w:marBottom w:val="0"/>
      <w:divBdr>
        <w:top w:val="none" w:sz="0" w:space="0" w:color="auto"/>
        <w:left w:val="none" w:sz="0" w:space="0" w:color="auto"/>
        <w:bottom w:val="none" w:sz="0" w:space="0" w:color="auto"/>
        <w:right w:val="none" w:sz="0" w:space="0" w:color="auto"/>
      </w:divBdr>
    </w:div>
    <w:div w:id="1216350226">
      <w:bodyDiv w:val="1"/>
      <w:marLeft w:val="0"/>
      <w:marRight w:val="0"/>
      <w:marTop w:val="0"/>
      <w:marBottom w:val="0"/>
      <w:divBdr>
        <w:top w:val="none" w:sz="0" w:space="0" w:color="auto"/>
        <w:left w:val="none" w:sz="0" w:space="0" w:color="auto"/>
        <w:bottom w:val="none" w:sz="0" w:space="0" w:color="auto"/>
        <w:right w:val="none" w:sz="0" w:space="0" w:color="auto"/>
      </w:divBdr>
    </w:div>
    <w:div w:id="1556309901">
      <w:bodyDiv w:val="1"/>
      <w:marLeft w:val="0"/>
      <w:marRight w:val="0"/>
      <w:marTop w:val="0"/>
      <w:marBottom w:val="0"/>
      <w:divBdr>
        <w:top w:val="none" w:sz="0" w:space="0" w:color="auto"/>
        <w:left w:val="none" w:sz="0" w:space="0" w:color="auto"/>
        <w:bottom w:val="none" w:sz="0" w:space="0" w:color="auto"/>
        <w:right w:val="none" w:sz="0" w:space="0" w:color="auto"/>
      </w:divBdr>
    </w:div>
    <w:div w:id="15889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tnrefugees.org/index.php/tor-reports-and-da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bmcinfectdis.biomedcentral.com/articles/10.1186/s12879-020-05311-0" TargetMode="External"/><Relationship Id="rId10" Type="http://schemas.openxmlformats.org/officeDocument/2006/relationships/image" Target="media/image3.emf"/><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hyperlink" Target="https://www.uspreventiveservicestaskforce.org/uspstf/recommendation/latent-tuberculosis-infection-screenin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1111/j.1440-1843.2010.01751.x" TargetMode="External"/><Relationship Id="rId1" Type="http://schemas.openxmlformats.org/officeDocument/2006/relationships/hyperlink" Target="http://dx.doi.org/10.15585/mmwr.rr6907a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Rate</c:v>
                </c:pt>
              </c:strCache>
            </c:strRef>
          </c:tx>
          <c:spPr>
            <a:ln w="28575" cap="rnd">
              <a:solidFill>
                <a:schemeClr val="accent1"/>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30.4</c:v>
                </c:pt>
                <c:pt idx="1">
                  <c:v>24.4</c:v>
                </c:pt>
                <c:pt idx="2">
                  <c:v>25.3</c:v>
                </c:pt>
                <c:pt idx="3">
                  <c:v>22</c:v>
                </c:pt>
                <c:pt idx="4">
                  <c:v>23.1</c:v>
                </c:pt>
                <c:pt idx="5">
                  <c:v>19.899999999999999</c:v>
                </c:pt>
                <c:pt idx="6">
                  <c:v>15.5</c:v>
                </c:pt>
                <c:pt idx="7">
                  <c:v>18.5</c:v>
                </c:pt>
                <c:pt idx="8">
                  <c:v>20.5</c:v>
                </c:pt>
                <c:pt idx="9">
                  <c:v>19.100000000000001</c:v>
                </c:pt>
              </c:numCache>
            </c:numRef>
          </c:val>
          <c:smooth val="0"/>
          <c:extLst>
            <c:ext xmlns:c16="http://schemas.microsoft.com/office/drawing/2014/chart" uri="{C3380CC4-5D6E-409C-BE32-E72D297353CC}">
              <c16:uniqueId val="{00000000-87CA-4634-BDEA-E53A2860E949}"/>
            </c:ext>
          </c:extLst>
        </c:ser>
        <c:ser>
          <c:idx val="1"/>
          <c:order val="1"/>
          <c:tx>
            <c:strRef>
              <c:f>Sheet1!$C$1</c:f>
              <c:strCache>
                <c:ptCount val="1"/>
                <c:pt idx="0">
                  <c:v>Avg. Rate</c:v>
                </c:pt>
              </c:strCache>
            </c:strRef>
          </c:tx>
          <c:spPr>
            <a:ln w="28575" cap="rnd">
              <a:solidFill>
                <a:schemeClr val="accent2"/>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21.8</c:v>
                </c:pt>
                <c:pt idx="1">
                  <c:v>21.8</c:v>
                </c:pt>
                <c:pt idx="2">
                  <c:v>21.8</c:v>
                </c:pt>
                <c:pt idx="3">
                  <c:v>21.8</c:v>
                </c:pt>
                <c:pt idx="4">
                  <c:v>21.8</c:v>
                </c:pt>
                <c:pt idx="5">
                  <c:v>21.8</c:v>
                </c:pt>
                <c:pt idx="6">
                  <c:v>21.8</c:v>
                </c:pt>
                <c:pt idx="7">
                  <c:v>21.8</c:v>
                </c:pt>
                <c:pt idx="8">
                  <c:v>21.8</c:v>
                </c:pt>
                <c:pt idx="9">
                  <c:v>21.8</c:v>
                </c:pt>
              </c:numCache>
            </c:numRef>
          </c:val>
          <c:smooth val="0"/>
          <c:extLst>
            <c:ext xmlns:c16="http://schemas.microsoft.com/office/drawing/2014/chart" uri="{C3380CC4-5D6E-409C-BE32-E72D297353CC}">
              <c16:uniqueId val="{00000003-87CA-4634-BDEA-E53A2860E949}"/>
            </c:ext>
          </c:extLst>
        </c:ser>
        <c:ser>
          <c:idx val="2"/>
          <c:order val="2"/>
          <c:tx>
            <c:strRef>
              <c:f>Sheet1!$D$1</c:f>
              <c:strCache>
                <c:ptCount val="1"/>
                <c:pt idx="0">
                  <c:v>TB Elimination</c:v>
                </c:pt>
              </c:strCache>
            </c:strRef>
          </c:tx>
          <c:spPr>
            <a:ln w="28575" cap="rnd">
              <a:solidFill>
                <a:srgbClr val="C00000"/>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1</c:v>
                </c:pt>
                <c:pt idx="1">
                  <c:v>1</c:v>
                </c:pt>
                <c:pt idx="2">
                  <c:v>1</c:v>
                </c:pt>
                <c:pt idx="3">
                  <c:v>1</c:v>
                </c:pt>
                <c:pt idx="4">
                  <c:v>1</c:v>
                </c:pt>
                <c:pt idx="5">
                  <c:v>1</c:v>
                </c:pt>
                <c:pt idx="6">
                  <c:v>1</c:v>
                </c:pt>
                <c:pt idx="7">
                  <c:v>1</c:v>
                </c:pt>
                <c:pt idx="8">
                  <c:v>1</c:v>
                </c:pt>
                <c:pt idx="9">
                  <c:v>1</c:v>
                </c:pt>
              </c:numCache>
            </c:numRef>
          </c:val>
          <c:smooth val="0"/>
          <c:extLst>
            <c:ext xmlns:c16="http://schemas.microsoft.com/office/drawing/2014/chart" uri="{C3380CC4-5D6E-409C-BE32-E72D297353CC}">
              <c16:uniqueId val="{00000004-87CA-4634-BDEA-E53A2860E949}"/>
            </c:ext>
          </c:extLst>
        </c:ser>
        <c:dLbls>
          <c:showLegendKey val="0"/>
          <c:showVal val="0"/>
          <c:showCatName val="0"/>
          <c:showSerName val="0"/>
          <c:showPercent val="0"/>
          <c:showBubbleSize val="0"/>
        </c:dLbls>
        <c:smooth val="0"/>
        <c:axId val="482464568"/>
        <c:axId val="482461944"/>
      </c:lineChart>
      <c:catAx>
        <c:axId val="482464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51163094196558767"/>
              <c:y val="0.9198212723409573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461944"/>
        <c:crosses val="autoZero"/>
        <c:auto val="1"/>
        <c:lblAlgn val="ctr"/>
        <c:lblOffset val="100"/>
        <c:noMultiLvlLbl val="0"/>
      </c:catAx>
      <c:valAx>
        <c:axId val="4824619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 Rate per 1,000,000</a:t>
                </a:r>
                <a:r>
                  <a:rPr lang="en-US" baseline="0"/>
                  <a:t> Population</a:t>
                </a:r>
                <a:endParaRPr lang="en-US"/>
              </a:p>
            </c:rich>
          </c:tx>
          <c:layout>
            <c:manualLayout>
              <c:xMode val="edge"/>
              <c:yMode val="edge"/>
              <c:x val="1.1574074074074073E-2"/>
              <c:y val="0.179517247844019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4645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Attributed to Recent Transmission</c:v>
                </c:pt>
              </c:strCache>
            </c:strRef>
          </c:tx>
          <c:spPr>
            <a:solidFill>
              <a:schemeClr val="accent1"/>
            </a:solidFill>
            <a:ln>
              <a:noFill/>
            </a:ln>
            <a:effectLst/>
          </c:spPr>
          <c:invertIfNegative val="0"/>
          <c:cat>
            <c:strRef>
              <c:f>Sheet1!$A$2:$A$5</c:f>
              <c:strCache>
                <c:ptCount val="4"/>
                <c:pt idx="0">
                  <c:v>2015-2016</c:v>
                </c:pt>
                <c:pt idx="1">
                  <c:v>2016-2017</c:v>
                </c:pt>
                <c:pt idx="2">
                  <c:v>2017-2018</c:v>
                </c:pt>
                <c:pt idx="3">
                  <c:v>2018-2019</c:v>
                </c:pt>
              </c:strCache>
            </c:strRef>
          </c:cat>
          <c:val>
            <c:numRef>
              <c:f>Sheet1!$B$2:$B$5</c:f>
              <c:numCache>
                <c:formatCode>General</c:formatCode>
                <c:ptCount val="4"/>
                <c:pt idx="0">
                  <c:v>21.3</c:v>
                </c:pt>
                <c:pt idx="1">
                  <c:v>17.5</c:v>
                </c:pt>
                <c:pt idx="2">
                  <c:v>17</c:v>
                </c:pt>
                <c:pt idx="3">
                  <c:v>14</c:v>
                </c:pt>
              </c:numCache>
            </c:numRef>
          </c:val>
          <c:extLst>
            <c:ext xmlns:c16="http://schemas.microsoft.com/office/drawing/2014/chart" uri="{C3380CC4-5D6E-409C-BE32-E72D297353CC}">
              <c16:uniqueId val="{00000000-52FD-4F6C-AFC7-2C565CEFA9F5}"/>
            </c:ext>
          </c:extLst>
        </c:ser>
        <c:ser>
          <c:idx val="1"/>
          <c:order val="1"/>
          <c:tx>
            <c:strRef>
              <c:f>Sheet1!$C$1</c:f>
              <c:strCache>
                <c:ptCount val="1"/>
                <c:pt idx="0">
                  <c:v>Attributed to Extensive Recent Transmission</c:v>
                </c:pt>
              </c:strCache>
            </c:strRef>
          </c:tx>
          <c:spPr>
            <a:solidFill>
              <a:schemeClr val="accent2"/>
            </a:solidFill>
            <a:ln>
              <a:noFill/>
            </a:ln>
            <a:effectLst/>
          </c:spPr>
          <c:invertIfNegative val="0"/>
          <c:cat>
            <c:strRef>
              <c:f>Sheet1!$A$2:$A$5</c:f>
              <c:strCache>
                <c:ptCount val="4"/>
                <c:pt idx="0">
                  <c:v>2015-2016</c:v>
                </c:pt>
                <c:pt idx="1">
                  <c:v>2016-2017</c:v>
                </c:pt>
                <c:pt idx="2">
                  <c:v>2017-2018</c:v>
                </c:pt>
                <c:pt idx="3">
                  <c:v>2018-2019</c:v>
                </c:pt>
              </c:strCache>
            </c:strRef>
          </c:cat>
          <c:val>
            <c:numRef>
              <c:f>Sheet1!$C$2:$C$5</c:f>
              <c:numCache>
                <c:formatCode>General</c:formatCode>
                <c:ptCount val="4"/>
                <c:pt idx="0">
                  <c:v>11.9</c:v>
                </c:pt>
                <c:pt idx="1">
                  <c:v>9.9</c:v>
                </c:pt>
                <c:pt idx="2">
                  <c:v>7.1</c:v>
                </c:pt>
                <c:pt idx="3">
                  <c:v>2.8</c:v>
                </c:pt>
              </c:numCache>
            </c:numRef>
          </c:val>
          <c:extLst>
            <c:ext xmlns:c16="http://schemas.microsoft.com/office/drawing/2014/chart" uri="{C3380CC4-5D6E-409C-BE32-E72D297353CC}">
              <c16:uniqueId val="{00000001-52FD-4F6C-AFC7-2C565CEFA9F5}"/>
            </c:ext>
          </c:extLst>
        </c:ser>
        <c:dLbls>
          <c:showLegendKey val="0"/>
          <c:showVal val="0"/>
          <c:showCatName val="0"/>
          <c:showSerName val="0"/>
          <c:showPercent val="0"/>
          <c:showBubbleSize val="0"/>
        </c:dLbls>
        <c:gapWidth val="219"/>
        <c:overlap val="-27"/>
        <c:axId val="476928184"/>
        <c:axId val="476924576"/>
      </c:barChart>
      <c:catAx>
        <c:axId val="476928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Timeframe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924576"/>
        <c:crosses val="autoZero"/>
        <c:auto val="1"/>
        <c:lblAlgn val="ctr"/>
        <c:lblOffset val="100"/>
        <c:noMultiLvlLbl val="0"/>
      </c:catAx>
      <c:valAx>
        <c:axId val="4769245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Genotyped Cases</a:t>
                </a:r>
              </a:p>
            </c:rich>
          </c:tx>
          <c:layout>
            <c:manualLayout>
              <c:xMode val="edge"/>
              <c:yMode val="edge"/>
              <c:x val="1.1574074074074073E-2"/>
              <c:y val="0.208742969628796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6928184"/>
        <c:crosses val="autoZero"/>
        <c:crossBetween val="between"/>
      </c:valAx>
      <c:spPr>
        <a:noFill/>
        <a:ln>
          <a:noFill/>
        </a:ln>
        <a:effectLst/>
      </c:spPr>
    </c:plotArea>
    <c:legend>
      <c:legendPos val="b"/>
      <c:layout>
        <c:manualLayout>
          <c:xMode val="edge"/>
          <c:yMode val="edge"/>
          <c:x val="0.27402449693788278"/>
          <c:y val="5.0594300712410951E-2"/>
          <c:w val="0.72597550306211722"/>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2010</c:v>
                </c:pt>
              </c:strCache>
            </c:strRef>
          </c:tx>
          <c:spPr>
            <a:solidFill>
              <a:schemeClr val="accent1"/>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Sheet1!$B$2:$B$8</c:f>
              <c:numCache>
                <c:formatCode>General</c:formatCode>
                <c:ptCount val="7"/>
                <c:pt idx="0">
                  <c:v>12</c:v>
                </c:pt>
                <c:pt idx="1">
                  <c:v>5</c:v>
                </c:pt>
                <c:pt idx="2">
                  <c:v>0</c:v>
                </c:pt>
                <c:pt idx="3">
                  <c:v>12</c:v>
                </c:pt>
                <c:pt idx="4">
                  <c:v>64</c:v>
                </c:pt>
                <c:pt idx="5">
                  <c:v>61</c:v>
                </c:pt>
                <c:pt idx="6">
                  <c:v>39</c:v>
                </c:pt>
              </c:numCache>
            </c:numRef>
          </c:val>
          <c:extLst>
            <c:ext xmlns:c16="http://schemas.microsoft.com/office/drawing/2014/chart" uri="{C3380CC4-5D6E-409C-BE32-E72D297353CC}">
              <c16:uniqueId val="{00000000-24CD-42DB-81B6-8BF384017AB6}"/>
            </c:ext>
          </c:extLst>
        </c:ser>
        <c:ser>
          <c:idx val="1"/>
          <c:order val="1"/>
          <c:tx>
            <c:strRef>
              <c:f>Sheet1!$C$1</c:f>
              <c:strCache>
                <c:ptCount val="1"/>
                <c:pt idx="0">
                  <c:v>2011</c:v>
                </c:pt>
              </c:strCache>
            </c:strRef>
          </c:tx>
          <c:spPr>
            <a:solidFill>
              <a:schemeClr val="accent2"/>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Sheet1!$C$2:$C$8</c:f>
              <c:numCache>
                <c:formatCode>General</c:formatCode>
                <c:ptCount val="7"/>
                <c:pt idx="0">
                  <c:v>5</c:v>
                </c:pt>
                <c:pt idx="1">
                  <c:v>4</c:v>
                </c:pt>
                <c:pt idx="2">
                  <c:v>3</c:v>
                </c:pt>
                <c:pt idx="3">
                  <c:v>14</c:v>
                </c:pt>
                <c:pt idx="4">
                  <c:v>48</c:v>
                </c:pt>
                <c:pt idx="5">
                  <c:v>48</c:v>
                </c:pt>
                <c:pt idx="6">
                  <c:v>34</c:v>
                </c:pt>
              </c:numCache>
            </c:numRef>
          </c:val>
          <c:extLst>
            <c:ext xmlns:c16="http://schemas.microsoft.com/office/drawing/2014/chart" uri="{C3380CC4-5D6E-409C-BE32-E72D297353CC}">
              <c16:uniqueId val="{00000000-FB7A-431C-A3C9-CDA3B2C775C1}"/>
            </c:ext>
          </c:extLst>
        </c:ser>
        <c:ser>
          <c:idx val="2"/>
          <c:order val="2"/>
          <c:tx>
            <c:strRef>
              <c:f>Sheet1!$D$1</c:f>
              <c:strCache>
                <c:ptCount val="1"/>
                <c:pt idx="0">
                  <c:v>2012</c:v>
                </c:pt>
              </c:strCache>
            </c:strRef>
          </c:tx>
          <c:spPr>
            <a:solidFill>
              <a:schemeClr val="accent3"/>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Sheet1!$D$2:$D$8</c:f>
              <c:numCache>
                <c:formatCode>General</c:formatCode>
                <c:ptCount val="7"/>
                <c:pt idx="0">
                  <c:v>5</c:v>
                </c:pt>
                <c:pt idx="1">
                  <c:v>6</c:v>
                </c:pt>
                <c:pt idx="2">
                  <c:v>2</c:v>
                </c:pt>
                <c:pt idx="3">
                  <c:v>12</c:v>
                </c:pt>
                <c:pt idx="4">
                  <c:v>63</c:v>
                </c:pt>
                <c:pt idx="5">
                  <c:v>58</c:v>
                </c:pt>
                <c:pt idx="6">
                  <c:v>29</c:v>
                </c:pt>
              </c:numCache>
            </c:numRef>
          </c:val>
          <c:extLst>
            <c:ext xmlns:c16="http://schemas.microsoft.com/office/drawing/2014/chart" uri="{C3380CC4-5D6E-409C-BE32-E72D297353CC}">
              <c16:uniqueId val="{00000001-FB7A-431C-A3C9-CDA3B2C775C1}"/>
            </c:ext>
          </c:extLst>
        </c:ser>
        <c:ser>
          <c:idx val="3"/>
          <c:order val="3"/>
          <c:tx>
            <c:strRef>
              <c:f>Sheet1!$E$1</c:f>
              <c:strCache>
                <c:ptCount val="1"/>
                <c:pt idx="0">
                  <c:v>2013</c:v>
                </c:pt>
              </c:strCache>
            </c:strRef>
          </c:tx>
          <c:spPr>
            <a:solidFill>
              <a:schemeClr val="accent4"/>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Sheet1!$E$2:$E$8</c:f>
              <c:numCache>
                <c:formatCode>General</c:formatCode>
                <c:ptCount val="7"/>
                <c:pt idx="0">
                  <c:v>10</c:v>
                </c:pt>
                <c:pt idx="1">
                  <c:v>9</c:v>
                </c:pt>
                <c:pt idx="2">
                  <c:v>1</c:v>
                </c:pt>
                <c:pt idx="3">
                  <c:v>9</c:v>
                </c:pt>
                <c:pt idx="4">
                  <c:v>47</c:v>
                </c:pt>
                <c:pt idx="5">
                  <c:v>35</c:v>
                </c:pt>
                <c:pt idx="6">
                  <c:v>32</c:v>
                </c:pt>
              </c:numCache>
            </c:numRef>
          </c:val>
          <c:extLst>
            <c:ext xmlns:c16="http://schemas.microsoft.com/office/drawing/2014/chart" uri="{C3380CC4-5D6E-409C-BE32-E72D297353CC}">
              <c16:uniqueId val="{00000002-FB7A-431C-A3C9-CDA3B2C775C1}"/>
            </c:ext>
          </c:extLst>
        </c:ser>
        <c:ser>
          <c:idx val="4"/>
          <c:order val="4"/>
          <c:tx>
            <c:strRef>
              <c:f>Sheet1!$F$1</c:f>
              <c:strCache>
                <c:ptCount val="1"/>
                <c:pt idx="0">
                  <c:v>2014</c:v>
                </c:pt>
              </c:strCache>
            </c:strRef>
          </c:tx>
          <c:spPr>
            <a:solidFill>
              <a:schemeClr val="accent5"/>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Sheet1!$F$2:$F$8</c:f>
              <c:numCache>
                <c:formatCode>General</c:formatCode>
                <c:ptCount val="7"/>
                <c:pt idx="0">
                  <c:v>7</c:v>
                </c:pt>
                <c:pt idx="1">
                  <c:v>8</c:v>
                </c:pt>
                <c:pt idx="2">
                  <c:v>5</c:v>
                </c:pt>
                <c:pt idx="3">
                  <c:v>12</c:v>
                </c:pt>
                <c:pt idx="4">
                  <c:v>41</c:v>
                </c:pt>
                <c:pt idx="5">
                  <c:v>53</c:v>
                </c:pt>
                <c:pt idx="6">
                  <c:v>25</c:v>
                </c:pt>
              </c:numCache>
            </c:numRef>
          </c:val>
          <c:extLst>
            <c:ext xmlns:c16="http://schemas.microsoft.com/office/drawing/2014/chart" uri="{C3380CC4-5D6E-409C-BE32-E72D297353CC}">
              <c16:uniqueId val="{00000003-FB7A-431C-A3C9-CDA3B2C775C1}"/>
            </c:ext>
          </c:extLst>
        </c:ser>
        <c:ser>
          <c:idx val="5"/>
          <c:order val="5"/>
          <c:tx>
            <c:strRef>
              <c:f>Sheet1!$G$1</c:f>
              <c:strCache>
                <c:ptCount val="1"/>
                <c:pt idx="0">
                  <c:v>2015</c:v>
                </c:pt>
              </c:strCache>
            </c:strRef>
          </c:tx>
          <c:spPr>
            <a:solidFill>
              <a:schemeClr val="accent6"/>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Sheet1!$G$2:$G$8</c:f>
              <c:numCache>
                <c:formatCode>General</c:formatCode>
                <c:ptCount val="7"/>
                <c:pt idx="0">
                  <c:v>6</c:v>
                </c:pt>
                <c:pt idx="1">
                  <c:v>0</c:v>
                </c:pt>
                <c:pt idx="2">
                  <c:v>4</c:v>
                </c:pt>
                <c:pt idx="3">
                  <c:v>9</c:v>
                </c:pt>
                <c:pt idx="4">
                  <c:v>39</c:v>
                </c:pt>
                <c:pt idx="5">
                  <c:v>33</c:v>
                </c:pt>
                <c:pt idx="6">
                  <c:v>40</c:v>
                </c:pt>
              </c:numCache>
            </c:numRef>
          </c:val>
          <c:extLst>
            <c:ext xmlns:c16="http://schemas.microsoft.com/office/drawing/2014/chart" uri="{C3380CC4-5D6E-409C-BE32-E72D297353CC}">
              <c16:uniqueId val="{00000004-FB7A-431C-A3C9-CDA3B2C775C1}"/>
            </c:ext>
          </c:extLst>
        </c:ser>
        <c:ser>
          <c:idx val="6"/>
          <c:order val="6"/>
          <c:tx>
            <c:strRef>
              <c:f>Sheet1!$H$1</c:f>
              <c:strCache>
                <c:ptCount val="1"/>
                <c:pt idx="0">
                  <c:v>2016</c:v>
                </c:pt>
              </c:strCache>
            </c:strRef>
          </c:tx>
          <c:spPr>
            <a:solidFill>
              <a:schemeClr val="accent1">
                <a:lumMod val="60000"/>
              </a:schemeClr>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Sheet1!$H$2:$H$8</c:f>
              <c:numCache>
                <c:formatCode>General</c:formatCode>
                <c:ptCount val="7"/>
                <c:pt idx="0">
                  <c:v>4</c:v>
                </c:pt>
                <c:pt idx="1">
                  <c:v>1</c:v>
                </c:pt>
                <c:pt idx="2">
                  <c:v>1</c:v>
                </c:pt>
                <c:pt idx="3">
                  <c:v>5</c:v>
                </c:pt>
                <c:pt idx="4">
                  <c:v>35</c:v>
                </c:pt>
                <c:pt idx="5">
                  <c:v>33</c:v>
                </c:pt>
                <c:pt idx="6">
                  <c:v>24</c:v>
                </c:pt>
              </c:numCache>
            </c:numRef>
          </c:val>
          <c:extLst>
            <c:ext xmlns:c16="http://schemas.microsoft.com/office/drawing/2014/chart" uri="{C3380CC4-5D6E-409C-BE32-E72D297353CC}">
              <c16:uniqueId val="{00000005-FB7A-431C-A3C9-CDA3B2C775C1}"/>
            </c:ext>
          </c:extLst>
        </c:ser>
        <c:ser>
          <c:idx val="7"/>
          <c:order val="7"/>
          <c:tx>
            <c:strRef>
              <c:f>Sheet1!$I$1</c:f>
              <c:strCache>
                <c:ptCount val="1"/>
                <c:pt idx="0">
                  <c:v>2017</c:v>
                </c:pt>
              </c:strCache>
            </c:strRef>
          </c:tx>
          <c:spPr>
            <a:solidFill>
              <a:schemeClr val="accent2">
                <a:lumMod val="60000"/>
              </a:schemeClr>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Sheet1!$I$2:$I$8</c:f>
              <c:numCache>
                <c:formatCode>General</c:formatCode>
                <c:ptCount val="7"/>
                <c:pt idx="0">
                  <c:v>5</c:v>
                </c:pt>
                <c:pt idx="1">
                  <c:v>2</c:v>
                </c:pt>
                <c:pt idx="2">
                  <c:v>1</c:v>
                </c:pt>
                <c:pt idx="3">
                  <c:v>13</c:v>
                </c:pt>
                <c:pt idx="4">
                  <c:v>38</c:v>
                </c:pt>
                <c:pt idx="5">
                  <c:v>37</c:v>
                </c:pt>
                <c:pt idx="6">
                  <c:v>28</c:v>
                </c:pt>
              </c:numCache>
            </c:numRef>
          </c:val>
          <c:extLst>
            <c:ext xmlns:c16="http://schemas.microsoft.com/office/drawing/2014/chart" uri="{C3380CC4-5D6E-409C-BE32-E72D297353CC}">
              <c16:uniqueId val="{00000006-FB7A-431C-A3C9-CDA3B2C775C1}"/>
            </c:ext>
          </c:extLst>
        </c:ser>
        <c:ser>
          <c:idx val="8"/>
          <c:order val="8"/>
          <c:tx>
            <c:strRef>
              <c:f>Sheet1!$J$1</c:f>
              <c:strCache>
                <c:ptCount val="1"/>
                <c:pt idx="0">
                  <c:v>2018</c:v>
                </c:pt>
              </c:strCache>
            </c:strRef>
          </c:tx>
          <c:spPr>
            <a:solidFill>
              <a:schemeClr val="accent3">
                <a:lumMod val="60000"/>
              </a:schemeClr>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Sheet1!$J$2:$J$8</c:f>
              <c:numCache>
                <c:formatCode>General</c:formatCode>
                <c:ptCount val="7"/>
                <c:pt idx="0">
                  <c:v>4</c:v>
                </c:pt>
                <c:pt idx="1">
                  <c:v>3</c:v>
                </c:pt>
                <c:pt idx="2">
                  <c:v>0</c:v>
                </c:pt>
                <c:pt idx="3">
                  <c:v>10</c:v>
                </c:pt>
                <c:pt idx="4">
                  <c:v>48</c:v>
                </c:pt>
                <c:pt idx="5">
                  <c:v>40</c:v>
                </c:pt>
                <c:pt idx="6">
                  <c:v>34</c:v>
                </c:pt>
              </c:numCache>
            </c:numRef>
          </c:val>
          <c:extLst>
            <c:ext xmlns:c16="http://schemas.microsoft.com/office/drawing/2014/chart" uri="{C3380CC4-5D6E-409C-BE32-E72D297353CC}">
              <c16:uniqueId val="{00000007-FB7A-431C-A3C9-CDA3B2C775C1}"/>
            </c:ext>
          </c:extLst>
        </c:ser>
        <c:ser>
          <c:idx val="9"/>
          <c:order val="9"/>
          <c:tx>
            <c:strRef>
              <c:f>Sheet1!$K$1</c:f>
              <c:strCache>
                <c:ptCount val="1"/>
                <c:pt idx="0">
                  <c:v>2019</c:v>
                </c:pt>
              </c:strCache>
            </c:strRef>
          </c:tx>
          <c:spPr>
            <a:solidFill>
              <a:schemeClr val="accent4">
                <a:lumMod val="60000"/>
              </a:schemeClr>
            </a:solidFill>
            <a:ln>
              <a:noFill/>
            </a:ln>
            <a:effectLst/>
          </c:spPr>
          <c:invertIfNegative val="0"/>
          <c:cat>
            <c:strRef>
              <c:f>Sheet1!$A$2:$A$8</c:f>
              <c:strCache>
                <c:ptCount val="7"/>
                <c:pt idx="0">
                  <c:v>0-4</c:v>
                </c:pt>
                <c:pt idx="1">
                  <c:v>5-15</c:v>
                </c:pt>
                <c:pt idx="2">
                  <c:v>16-17</c:v>
                </c:pt>
                <c:pt idx="3">
                  <c:v>18-24</c:v>
                </c:pt>
                <c:pt idx="4">
                  <c:v>25-44</c:v>
                </c:pt>
                <c:pt idx="5">
                  <c:v>45-64</c:v>
                </c:pt>
                <c:pt idx="6">
                  <c:v>≥65</c:v>
                </c:pt>
              </c:strCache>
            </c:strRef>
          </c:cat>
          <c:val>
            <c:numRef>
              <c:f>Sheet1!$K$2:$K$8</c:f>
              <c:numCache>
                <c:formatCode>General</c:formatCode>
                <c:ptCount val="7"/>
                <c:pt idx="0">
                  <c:v>5</c:v>
                </c:pt>
                <c:pt idx="1">
                  <c:v>3</c:v>
                </c:pt>
                <c:pt idx="2">
                  <c:v>1</c:v>
                </c:pt>
                <c:pt idx="3">
                  <c:v>6</c:v>
                </c:pt>
                <c:pt idx="4">
                  <c:v>41</c:v>
                </c:pt>
                <c:pt idx="5">
                  <c:v>41</c:v>
                </c:pt>
                <c:pt idx="6">
                  <c:v>32</c:v>
                </c:pt>
              </c:numCache>
            </c:numRef>
          </c:val>
          <c:extLst>
            <c:ext xmlns:c16="http://schemas.microsoft.com/office/drawing/2014/chart" uri="{C3380CC4-5D6E-409C-BE32-E72D297353CC}">
              <c16:uniqueId val="{00000008-FB7A-431C-A3C9-CDA3B2C775C1}"/>
            </c:ext>
          </c:extLst>
        </c:ser>
        <c:dLbls>
          <c:showLegendKey val="0"/>
          <c:showVal val="0"/>
          <c:showCatName val="0"/>
          <c:showSerName val="0"/>
          <c:showPercent val="0"/>
          <c:showBubbleSize val="0"/>
        </c:dLbls>
        <c:gapWidth val="150"/>
        <c:axId val="391805624"/>
        <c:axId val="391804968"/>
      </c:barChart>
      <c:catAx>
        <c:axId val="39180562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Year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391804968"/>
        <c:crosses val="autoZero"/>
        <c:auto val="1"/>
        <c:lblAlgn val="ctr"/>
        <c:lblOffset val="100"/>
        <c:noMultiLvlLbl val="0"/>
      </c:catAx>
      <c:valAx>
        <c:axId val="391804968"/>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Number of Cases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8056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NH, White</c:v>
                </c:pt>
              </c:strCache>
            </c:strRef>
          </c:tx>
          <c:spPr>
            <a:ln w="28575" cap="rnd">
              <a:solidFill>
                <a:schemeClr val="accent1"/>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1.41</c:v>
                </c:pt>
                <c:pt idx="1">
                  <c:v>1.1399999999999999</c:v>
                </c:pt>
                <c:pt idx="2">
                  <c:v>1.1299999999999999</c:v>
                </c:pt>
                <c:pt idx="3">
                  <c:v>0.8</c:v>
                </c:pt>
                <c:pt idx="4">
                  <c:v>0.76</c:v>
                </c:pt>
                <c:pt idx="5">
                  <c:v>0.84</c:v>
                </c:pt>
                <c:pt idx="6">
                  <c:v>0.55000000000000004</c:v>
                </c:pt>
                <c:pt idx="7">
                  <c:v>0.6</c:v>
                </c:pt>
                <c:pt idx="8">
                  <c:v>0.72</c:v>
                </c:pt>
                <c:pt idx="9">
                  <c:v>0.78</c:v>
                </c:pt>
              </c:numCache>
            </c:numRef>
          </c:val>
          <c:smooth val="0"/>
          <c:extLst>
            <c:ext xmlns:c16="http://schemas.microsoft.com/office/drawing/2014/chart" uri="{C3380CC4-5D6E-409C-BE32-E72D297353CC}">
              <c16:uniqueId val="{00000000-AAB5-4E67-B7F1-41AD080C0B1E}"/>
            </c:ext>
          </c:extLst>
        </c:ser>
        <c:ser>
          <c:idx val="1"/>
          <c:order val="1"/>
          <c:tx>
            <c:strRef>
              <c:f>Sheet1!$C$1</c:f>
              <c:strCache>
                <c:ptCount val="1"/>
                <c:pt idx="0">
                  <c:v>NH, Black</c:v>
                </c:pt>
              </c:strCache>
            </c:strRef>
          </c:tx>
          <c:spPr>
            <a:ln w="28575" cap="rnd">
              <a:solidFill>
                <a:schemeClr val="accent2"/>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5.88</c:v>
                </c:pt>
                <c:pt idx="1">
                  <c:v>5.07</c:v>
                </c:pt>
                <c:pt idx="2">
                  <c:v>6.3</c:v>
                </c:pt>
                <c:pt idx="3">
                  <c:v>6.16</c:v>
                </c:pt>
                <c:pt idx="4">
                  <c:v>6.02</c:v>
                </c:pt>
                <c:pt idx="5">
                  <c:v>4.5199999999999996</c:v>
                </c:pt>
                <c:pt idx="6">
                  <c:v>4.04</c:v>
                </c:pt>
                <c:pt idx="7">
                  <c:v>3.64</c:v>
                </c:pt>
                <c:pt idx="8">
                  <c:v>4.41</c:v>
                </c:pt>
                <c:pt idx="9">
                  <c:v>3.59</c:v>
                </c:pt>
              </c:numCache>
            </c:numRef>
          </c:val>
          <c:smooth val="0"/>
          <c:extLst>
            <c:ext xmlns:c16="http://schemas.microsoft.com/office/drawing/2014/chart" uri="{C3380CC4-5D6E-409C-BE32-E72D297353CC}">
              <c16:uniqueId val="{00000001-AAB5-4E67-B7F1-41AD080C0B1E}"/>
            </c:ext>
          </c:extLst>
        </c:ser>
        <c:ser>
          <c:idx val="2"/>
          <c:order val="2"/>
          <c:tx>
            <c:strRef>
              <c:f>Sheet1!$D$1</c:f>
              <c:strCache>
                <c:ptCount val="1"/>
                <c:pt idx="0">
                  <c:v>NH. Asian</c:v>
                </c:pt>
              </c:strCache>
            </c:strRef>
          </c:tx>
          <c:spPr>
            <a:ln w="28575" cap="rnd">
              <a:solidFill>
                <a:schemeClr val="accent3"/>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28.2</c:v>
                </c:pt>
                <c:pt idx="1">
                  <c:v>20.69</c:v>
                </c:pt>
                <c:pt idx="2">
                  <c:v>20.86</c:v>
                </c:pt>
                <c:pt idx="3">
                  <c:v>19.3</c:v>
                </c:pt>
                <c:pt idx="4">
                  <c:v>22.28</c:v>
                </c:pt>
                <c:pt idx="5">
                  <c:v>17.89</c:v>
                </c:pt>
                <c:pt idx="6">
                  <c:v>16.45</c:v>
                </c:pt>
                <c:pt idx="7">
                  <c:v>21.7</c:v>
                </c:pt>
                <c:pt idx="8">
                  <c:v>24.78</c:v>
                </c:pt>
                <c:pt idx="9">
                  <c:v>12.29</c:v>
                </c:pt>
              </c:numCache>
            </c:numRef>
          </c:val>
          <c:smooth val="0"/>
          <c:extLst>
            <c:ext xmlns:c16="http://schemas.microsoft.com/office/drawing/2014/chart" uri="{C3380CC4-5D6E-409C-BE32-E72D297353CC}">
              <c16:uniqueId val="{00000002-AAB5-4E67-B7F1-41AD080C0B1E}"/>
            </c:ext>
          </c:extLst>
        </c:ser>
        <c:ser>
          <c:idx val="3"/>
          <c:order val="3"/>
          <c:tx>
            <c:strRef>
              <c:f>Sheet1!$E$1</c:f>
              <c:strCache>
                <c:ptCount val="1"/>
                <c:pt idx="0">
                  <c:v>NH, Other</c:v>
                </c:pt>
              </c:strCache>
            </c:strRef>
          </c:tx>
          <c:spPr>
            <a:ln w="28575" cap="rnd">
              <a:solidFill>
                <a:schemeClr val="accent4"/>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Sheet1!$E$2:$E$11</c:f>
              <c:numCache>
                <c:formatCode>General</c:formatCode>
                <c:ptCount val="10"/>
                <c:pt idx="0">
                  <c:v>1.1499999999999999</c:v>
                </c:pt>
                <c:pt idx="1">
                  <c:v>0</c:v>
                </c:pt>
                <c:pt idx="2">
                  <c:v>1.7</c:v>
                </c:pt>
                <c:pt idx="3">
                  <c:v>0.8</c:v>
                </c:pt>
                <c:pt idx="4">
                  <c:v>0</c:v>
                </c:pt>
                <c:pt idx="5">
                  <c:v>1.61</c:v>
                </c:pt>
                <c:pt idx="6">
                  <c:v>0</c:v>
                </c:pt>
                <c:pt idx="7">
                  <c:v>0</c:v>
                </c:pt>
                <c:pt idx="8">
                  <c:v>0</c:v>
                </c:pt>
                <c:pt idx="9">
                  <c:v>0</c:v>
                </c:pt>
              </c:numCache>
            </c:numRef>
          </c:val>
          <c:smooth val="0"/>
          <c:extLst>
            <c:ext xmlns:c16="http://schemas.microsoft.com/office/drawing/2014/chart" uri="{C3380CC4-5D6E-409C-BE32-E72D297353CC}">
              <c16:uniqueId val="{00000003-AAB5-4E67-B7F1-41AD080C0B1E}"/>
            </c:ext>
          </c:extLst>
        </c:ser>
        <c:ser>
          <c:idx val="4"/>
          <c:order val="4"/>
          <c:tx>
            <c:strRef>
              <c:f>Sheet1!$F$1</c:f>
              <c:strCache>
                <c:ptCount val="1"/>
                <c:pt idx="0">
                  <c:v>Hispanic</c:v>
                </c:pt>
              </c:strCache>
            </c:strRef>
          </c:tx>
          <c:spPr>
            <a:ln w="28575" cap="rnd">
              <a:solidFill>
                <a:schemeClr val="accent5"/>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Sheet1!$F$2:$F$11</c:f>
              <c:numCache>
                <c:formatCode>General</c:formatCode>
                <c:ptCount val="10"/>
                <c:pt idx="0">
                  <c:v>12.36</c:v>
                </c:pt>
                <c:pt idx="1">
                  <c:v>9</c:v>
                </c:pt>
                <c:pt idx="2">
                  <c:v>5.48</c:v>
                </c:pt>
                <c:pt idx="3">
                  <c:v>5.0199999999999996</c:v>
                </c:pt>
                <c:pt idx="4">
                  <c:v>7.31</c:v>
                </c:pt>
                <c:pt idx="5">
                  <c:v>5.31</c:v>
                </c:pt>
                <c:pt idx="6">
                  <c:v>3.42</c:v>
                </c:pt>
                <c:pt idx="7">
                  <c:v>7.4</c:v>
                </c:pt>
                <c:pt idx="8">
                  <c:v>5.81</c:v>
                </c:pt>
                <c:pt idx="9">
                  <c:v>8.43</c:v>
                </c:pt>
              </c:numCache>
            </c:numRef>
          </c:val>
          <c:smooth val="0"/>
          <c:extLst>
            <c:ext xmlns:c16="http://schemas.microsoft.com/office/drawing/2014/chart" uri="{C3380CC4-5D6E-409C-BE32-E72D297353CC}">
              <c16:uniqueId val="{00000007-AAB5-4E67-B7F1-41AD080C0B1E}"/>
            </c:ext>
          </c:extLst>
        </c:ser>
        <c:dLbls>
          <c:showLegendKey val="0"/>
          <c:showVal val="0"/>
          <c:showCatName val="0"/>
          <c:showSerName val="0"/>
          <c:showPercent val="0"/>
          <c:showBubbleSize val="0"/>
        </c:dLbls>
        <c:smooth val="0"/>
        <c:axId val="475879536"/>
        <c:axId val="475879864"/>
      </c:lineChart>
      <c:catAx>
        <c:axId val="475879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5041557305336832"/>
              <c:y val="0.8726977877765279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879864"/>
        <c:crosses val="autoZero"/>
        <c:auto val="1"/>
        <c:lblAlgn val="ctr"/>
        <c:lblOffset val="100"/>
        <c:noMultiLvlLbl val="0"/>
      </c:catAx>
      <c:valAx>
        <c:axId val="475879864"/>
        <c:scaling>
          <c:orientation val="minMax"/>
          <c:max val="3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Case Rate/100,000 Population</a:t>
                </a:r>
              </a:p>
            </c:rich>
          </c:tx>
          <c:layout>
            <c:manualLayout>
              <c:xMode val="edge"/>
              <c:yMode val="edge"/>
              <c:x val="1.1574074074074073E-2"/>
              <c:y val="0.1283064616922884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879536"/>
        <c:crosses val="autoZero"/>
        <c:crossBetween val="between"/>
      </c:valAx>
      <c:spPr>
        <a:noFill/>
        <a:ln>
          <a:noFill/>
        </a:ln>
        <a:effectLst/>
      </c:spPr>
    </c:plotArea>
    <c:legend>
      <c:legendPos val="b"/>
      <c:layout>
        <c:manualLayout>
          <c:xMode val="edge"/>
          <c:yMode val="edge"/>
          <c:x val="0.18807050160396618"/>
          <c:y val="4.4146356705411824E-2"/>
          <c:w val="0.77200714494021561"/>
          <c:h val="0.110615548056492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U.S.-born</c:v>
                </c:pt>
              </c:strCache>
            </c:strRef>
          </c:tx>
          <c:spPr>
            <a:solidFill>
              <a:schemeClr val="accent1"/>
            </a:solidFill>
            <a:ln>
              <a:noFill/>
            </a:ln>
            <a:effectLst/>
          </c:spPr>
          <c:invertIfNegative val="0"/>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63.7</c:v>
                </c:pt>
                <c:pt idx="1">
                  <c:v>64.099999999999994</c:v>
                </c:pt>
                <c:pt idx="2">
                  <c:v>67.5</c:v>
                </c:pt>
                <c:pt idx="3">
                  <c:v>71.3</c:v>
                </c:pt>
                <c:pt idx="4">
                  <c:v>56.3</c:v>
                </c:pt>
                <c:pt idx="5">
                  <c:v>55</c:v>
                </c:pt>
                <c:pt idx="6">
                  <c:v>61.2</c:v>
                </c:pt>
                <c:pt idx="7">
                  <c:v>51.6</c:v>
                </c:pt>
                <c:pt idx="8">
                  <c:v>52.5</c:v>
                </c:pt>
                <c:pt idx="9">
                  <c:v>55.8</c:v>
                </c:pt>
              </c:numCache>
            </c:numRef>
          </c:val>
          <c:extLst>
            <c:ext xmlns:c16="http://schemas.microsoft.com/office/drawing/2014/chart" uri="{C3380CC4-5D6E-409C-BE32-E72D297353CC}">
              <c16:uniqueId val="{00000000-DCFC-4673-BCDB-794FF9965DBE}"/>
            </c:ext>
          </c:extLst>
        </c:ser>
        <c:ser>
          <c:idx val="1"/>
          <c:order val="1"/>
          <c:tx>
            <c:strRef>
              <c:f>Sheet1!$C$1</c:f>
              <c:strCache>
                <c:ptCount val="1"/>
                <c:pt idx="0">
                  <c:v>Non-U.S.-born</c:v>
                </c:pt>
              </c:strCache>
            </c:strRef>
          </c:tx>
          <c:spPr>
            <a:solidFill>
              <a:schemeClr val="accent2"/>
            </a:solidFill>
            <a:ln>
              <a:noFill/>
            </a:ln>
            <a:effectLst/>
          </c:spPr>
          <c:invertIfNegative val="0"/>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36.299999999999997</c:v>
                </c:pt>
                <c:pt idx="1">
                  <c:v>35.9</c:v>
                </c:pt>
                <c:pt idx="2">
                  <c:v>32.5</c:v>
                </c:pt>
                <c:pt idx="3">
                  <c:v>28.7</c:v>
                </c:pt>
                <c:pt idx="4">
                  <c:v>43.7</c:v>
                </c:pt>
                <c:pt idx="5">
                  <c:v>45</c:v>
                </c:pt>
                <c:pt idx="6">
                  <c:v>38.799999999999997</c:v>
                </c:pt>
                <c:pt idx="7">
                  <c:v>48.4</c:v>
                </c:pt>
                <c:pt idx="8">
                  <c:v>47.5</c:v>
                </c:pt>
                <c:pt idx="9">
                  <c:v>44.2</c:v>
                </c:pt>
              </c:numCache>
            </c:numRef>
          </c:val>
          <c:extLst>
            <c:ext xmlns:c16="http://schemas.microsoft.com/office/drawing/2014/chart" uri="{C3380CC4-5D6E-409C-BE32-E72D297353CC}">
              <c16:uniqueId val="{00000001-DCFC-4673-BCDB-794FF9965DBE}"/>
            </c:ext>
          </c:extLst>
        </c:ser>
        <c:dLbls>
          <c:showLegendKey val="0"/>
          <c:showVal val="0"/>
          <c:showCatName val="0"/>
          <c:showSerName val="0"/>
          <c:showPercent val="0"/>
          <c:showBubbleSize val="0"/>
        </c:dLbls>
        <c:gapWidth val="219"/>
        <c:overlap val="100"/>
        <c:axId val="383794608"/>
        <c:axId val="383793952"/>
      </c:barChart>
      <c:catAx>
        <c:axId val="383794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5273038786818315"/>
              <c:y val="0.8528565179352580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793952"/>
        <c:crosses val="autoZero"/>
        <c:auto val="1"/>
        <c:lblAlgn val="ctr"/>
        <c:lblOffset val="100"/>
        <c:noMultiLvlLbl val="0"/>
      </c:catAx>
      <c:valAx>
        <c:axId val="383793952"/>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a:t>
                </a:r>
                <a:r>
                  <a:rPr lang="en-US" baseline="0"/>
                  <a:t>f Total Cases</a:t>
                </a:r>
                <a:endParaRPr lang="en-US"/>
              </a:p>
            </c:rich>
          </c:tx>
          <c:layout>
            <c:manualLayout>
              <c:xMode val="edge"/>
              <c:yMode val="edge"/>
              <c:x val="9.2592592592592587E-3"/>
              <c:y val="0.1977809023872016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794608"/>
        <c:crosses val="autoZero"/>
        <c:crossBetween val="between"/>
      </c:valAx>
      <c:spPr>
        <a:noFill/>
        <a:ln>
          <a:noFill/>
        </a:ln>
        <a:effectLst/>
      </c:spPr>
    </c:plotArea>
    <c:legend>
      <c:legendPos val="b"/>
      <c:layout>
        <c:manualLayout>
          <c:xMode val="edge"/>
          <c:yMode val="edge"/>
          <c:x val="7.6046041119860006E-2"/>
          <c:y val="0.86160667416572934"/>
          <c:w val="0.29698180956547093"/>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Sheet1!$A$2:$A$11</c:f>
              <c:strCache>
                <c:ptCount val="10"/>
                <c:pt idx="0">
                  <c:v>Honduras</c:v>
                </c:pt>
                <c:pt idx="1">
                  <c:v>Somalia</c:v>
                </c:pt>
                <c:pt idx="2">
                  <c:v>Philippines</c:v>
                </c:pt>
                <c:pt idx="3">
                  <c:v>Burma</c:v>
                </c:pt>
                <c:pt idx="4">
                  <c:v>Vietnam</c:v>
                </c:pt>
                <c:pt idx="5">
                  <c:v>Ethiopia</c:v>
                </c:pt>
                <c:pt idx="6">
                  <c:v>Guatemala</c:v>
                </c:pt>
                <c:pt idx="7">
                  <c:v>India</c:v>
                </c:pt>
                <c:pt idx="8">
                  <c:v>Mexico</c:v>
                </c:pt>
                <c:pt idx="9">
                  <c:v>United States</c:v>
                </c:pt>
              </c:strCache>
            </c:strRef>
          </c:cat>
          <c:val>
            <c:numRef>
              <c:f>Sheet1!$B$2:$B$11</c:f>
              <c:numCache>
                <c:formatCode>General</c:formatCode>
                <c:ptCount val="10"/>
                <c:pt idx="0">
                  <c:v>1.3</c:v>
                </c:pt>
                <c:pt idx="1">
                  <c:v>1.7</c:v>
                </c:pt>
                <c:pt idx="2">
                  <c:v>1.7</c:v>
                </c:pt>
                <c:pt idx="3">
                  <c:v>1.7</c:v>
                </c:pt>
                <c:pt idx="4">
                  <c:v>2.2999999999999998</c:v>
                </c:pt>
                <c:pt idx="5">
                  <c:v>2.4</c:v>
                </c:pt>
                <c:pt idx="6">
                  <c:v>3.8</c:v>
                </c:pt>
                <c:pt idx="7">
                  <c:v>5</c:v>
                </c:pt>
                <c:pt idx="8">
                  <c:v>8</c:v>
                </c:pt>
                <c:pt idx="9">
                  <c:v>60.3</c:v>
                </c:pt>
              </c:numCache>
            </c:numRef>
          </c:val>
          <c:extLst>
            <c:ext xmlns:c16="http://schemas.microsoft.com/office/drawing/2014/chart" uri="{C3380CC4-5D6E-409C-BE32-E72D297353CC}">
              <c16:uniqueId val="{00000000-5CB4-4123-9130-21AC10DD6B4E}"/>
            </c:ext>
          </c:extLst>
        </c:ser>
        <c:dLbls>
          <c:showLegendKey val="0"/>
          <c:showVal val="0"/>
          <c:showCatName val="0"/>
          <c:showSerName val="0"/>
          <c:showPercent val="0"/>
          <c:showBubbleSize val="0"/>
        </c:dLbls>
        <c:gapWidth val="182"/>
        <c:axId val="370214480"/>
        <c:axId val="370214808"/>
      </c:barChart>
      <c:catAx>
        <c:axId val="3702144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Country of Birth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214808"/>
        <c:crosses val="autoZero"/>
        <c:auto val="1"/>
        <c:lblAlgn val="ctr"/>
        <c:lblOffset val="100"/>
        <c:noMultiLvlLbl val="0"/>
      </c:catAx>
      <c:valAx>
        <c:axId val="370214808"/>
        <c:scaling>
          <c:orientation val="minMax"/>
          <c:max val="65"/>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Total Cases 2011-2019</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214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HIV</c:v>
                </c:pt>
              </c:strCache>
            </c:strRef>
          </c:tx>
          <c:spPr>
            <a:ln w="28575" cap="rnd">
              <a:solidFill>
                <a:schemeClr val="accent1"/>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9.6999999999999993</c:v>
                </c:pt>
                <c:pt idx="1">
                  <c:v>13.4</c:v>
                </c:pt>
                <c:pt idx="2">
                  <c:v>11.3</c:v>
                </c:pt>
                <c:pt idx="3">
                  <c:v>7.5</c:v>
                </c:pt>
                <c:pt idx="4">
                  <c:v>11.6</c:v>
                </c:pt>
                <c:pt idx="5">
                  <c:v>7</c:v>
                </c:pt>
                <c:pt idx="6">
                  <c:v>11</c:v>
                </c:pt>
                <c:pt idx="7">
                  <c:v>7.6</c:v>
                </c:pt>
                <c:pt idx="8">
                  <c:v>4.5</c:v>
                </c:pt>
                <c:pt idx="9">
                  <c:v>5.8</c:v>
                </c:pt>
              </c:numCache>
            </c:numRef>
          </c:val>
          <c:smooth val="0"/>
          <c:extLst>
            <c:ext xmlns:c16="http://schemas.microsoft.com/office/drawing/2014/chart" uri="{C3380CC4-5D6E-409C-BE32-E72D297353CC}">
              <c16:uniqueId val="{00000000-BF70-49D1-BADF-400662478047}"/>
            </c:ext>
          </c:extLst>
        </c:ser>
        <c:ser>
          <c:idx val="1"/>
          <c:order val="1"/>
          <c:tx>
            <c:strRef>
              <c:f>Sheet1!$C$1</c:f>
              <c:strCache>
                <c:ptCount val="1"/>
                <c:pt idx="0">
                  <c:v>Homeless</c:v>
                </c:pt>
              </c:strCache>
            </c:strRef>
          </c:tx>
          <c:spPr>
            <a:ln w="28575" cap="rnd">
              <a:solidFill>
                <a:schemeClr val="accent2"/>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Sheet1!$C$2:$C$11</c:f>
              <c:numCache>
                <c:formatCode>General</c:formatCode>
                <c:ptCount val="10"/>
                <c:pt idx="0">
                  <c:v>5.7</c:v>
                </c:pt>
                <c:pt idx="1">
                  <c:v>7.1</c:v>
                </c:pt>
                <c:pt idx="2">
                  <c:v>4.4000000000000004</c:v>
                </c:pt>
                <c:pt idx="3">
                  <c:v>7</c:v>
                </c:pt>
                <c:pt idx="4">
                  <c:v>8.6</c:v>
                </c:pt>
                <c:pt idx="5">
                  <c:v>7.6</c:v>
                </c:pt>
                <c:pt idx="6">
                  <c:v>3.9</c:v>
                </c:pt>
                <c:pt idx="7">
                  <c:v>11.3</c:v>
                </c:pt>
                <c:pt idx="8">
                  <c:v>8.6</c:v>
                </c:pt>
                <c:pt idx="9">
                  <c:v>11.6</c:v>
                </c:pt>
              </c:numCache>
            </c:numRef>
          </c:val>
          <c:smooth val="0"/>
          <c:extLst>
            <c:ext xmlns:c16="http://schemas.microsoft.com/office/drawing/2014/chart" uri="{C3380CC4-5D6E-409C-BE32-E72D297353CC}">
              <c16:uniqueId val="{00000001-BF70-49D1-BADF-400662478047}"/>
            </c:ext>
          </c:extLst>
        </c:ser>
        <c:ser>
          <c:idx val="2"/>
          <c:order val="2"/>
          <c:tx>
            <c:strRef>
              <c:f>Sheet1!$D$1</c:f>
              <c:strCache>
                <c:ptCount val="1"/>
                <c:pt idx="0">
                  <c:v>Resident of CF</c:v>
                </c:pt>
              </c:strCache>
            </c:strRef>
          </c:tx>
          <c:spPr>
            <a:ln w="28575" cap="rnd">
              <a:solidFill>
                <a:schemeClr val="accent3"/>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Sheet1!$D$2:$D$11</c:f>
              <c:numCache>
                <c:formatCode>General</c:formatCode>
                <c:ptCount val="10"/>
                <c:pt idx="0">
                  <c:v>5.2</c:v>
                </c:pt>
                <c:pt idx="1">
                  <c:v>4.5</c:v>
                </c:pt>
                <c:pt idx="2">
                  <c:v>5</c:v>
                </c:pt>
                <c:pt idx="3">
                  <c:v>5.6</c:v>
                </c:pt>
                <c:pt idx="4">
                  <c:v>1.3</c:v>
                </c:pt>
                <c:pt idx="5">
                  <c:v>3.1</c:v>
                </c:pt>
                <c:pt idx="6">
                  <c:v>2.9</c:v>
                </c:pt>
                <c:pt idx="7">
                  <c:v>8.1</c:v>
                </c:pt>
                <c:pt idx="8">
                  <c:v>2.2000000000000002</c:v>
                </c:pt>
                <c:pt idx="9">
                  <c:v>3.1</c:v>
                </c:pt>
              </c:numCache>
            </c:numRef>
          </c:val>
          <c:smooth val="0"/>
          <c:extLst>
            <c:ext xmlns:c16="http://schemas.microsoft.com/office/drawing/2014/chart" uri="{C3380CC4-5D6E-409C-BE32-E72D297353CC}">
              <c16:uniqueId val="{00000002-BF70-49D1-BADF-400662478047}"/>
            </c:ext>
          </c:extLst>
        </c:ser>
        <c:ser>
          <c:idx val="3"/>
          <c:order val="3"/>
          <c:tx>
            <c:strRef>
              <c:f>Sheet1!$E$1</c:f>
              <c:strCache>
                <c:ptCount val="1"/>
                <c:pt idx="0">
                  <c:v>Substance Abuse</c:v>
                </c:pt>
              </c:strCache>
            </c:strRef>
          </c:tx>
          <c:spPr>
            <a:ln w="28575" cap="rnd">
              <a:solidFill>
                <a:schemeClr val="tx1"/>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Sheet1!$E$2:$E$11</c:f>
              <c:numCache>
                <c:formatCode>General</c:formatCode>
                <c:ptCount val="10"/>
                <c:pt idx="0">
                  <c:v>14.5</c:v>
                </c:pt>
                <c:pt idx="1">
                  <c:v>12.8</c:v>
                </c:pt>
                <c:pt idx="2">
                  <c:v>21.9</c:v>
                </c:pt>
                <c:pt idx="3">
                  <c:v>13.3</c:v>
                </c:pt>
                <c:pt idx="4">
                  <c:v>13.9</c:v>
                </c:pt>
                <c:pt idx="5">
                  <c:v>10.7</c:v>
                </c:pt>
                <c:pt idx="6">
                  <c:v>24.3</c:v>
                </c:pt>
                <c:pt idx="7">
                  <c:v>15.3</c:v>
                </c:pt>
                <c:pt idx="8">
                  <c:v>16.5</c:v>
                </c:pt>
                <c:pt idx="9">
                  <c:v>13.2</c:v>
                </c:pt>
              </c:numCache>
            </c:numRef>
          </c:val>
          <c:smooth val="0"/>
          <c:extLst>
            <c:ext xmlns:c16="http://schemas.microsoft.com/office/drawing/2014/chart" uri="{C3380CC4-5D6E-409C-BE32-E72D297353CC}">
              <c16:uniqueId val="{00000003-BF70-49D1-BADF-400662478047}"/>
            </c:ext>
          </c:extLst>
        </c:ser>
        <c:ser>
          <c:idx val="4"/>
          <c:order val="4"/>
          <c:tx>
            <c:strRef>
              <c:f>Sheet1!$F$1</c:f>
              <c:strCache>
                <c:ptCount val="1"/>
                <c:pt idx="0">
                  <c:v>Diabetes mellitus</c:v>
                </c:pt>
              </c:strCache>
            </c:strRef>
          </c:tx>
          <c:spPr>
            <a:ln w="28575" cap="rnd">
              <a:solidFill>
                <a:srgbClr val="C00000"/>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Sheet1!$F$2:$F$11</c:f>
              <c:numCache>
                <c:formatCode>General</c:formatCode>
                <c:ptCount val="10"/>
                <c:pt idx="0">
                  <c:v>9.3000000000000007</c:v>
                </c:pt>
                <c:pt idx="1">
                  <c:v>11.5</c:v>
                </c:pt>
                <c:pt idx="2">
                  <c:v>10.6</c:v>
                </c:pt>
                <c:pt idx="3">
                  <c:v>14</c:v>
                </c:pt>
                <c:pt idx="4">
                  <c:v>16.600000000000001</c:v>
                </c:pt>
                <c:pt idx="5">
                  <c:v>16</c:v>
                </c:pt>
                <c:pt idx="6">
                  <c:v>10.7</c:v>
                </c:pt>
                <c:pt idx="7">
                  <c:v>20.2</c:v>
                </c:pt>
                <c:pt idx="8">
                  <c:v>18.7</c:v>
                </c:pt>
                <c:pt idx="9">
                  <c:v>17.100000000000001</c:v>
                </c:pt>
              </c:numCache>
            </c:numRef>
          </c:val>
          <c:smooth val="0"/>
          <c:extLst>
            <c:ext xmlns:c16="http://schemas.microsoft.com/office/drawing/2014/chart" uri="{C3380CC4-5D6E-409C-BE32-E72D297353CC}">
              <c16:uniqueId val="{00000004-BF70-49D1-BADF-400662478047}"/>
            </c:ext>
          </c:extLst>
        </c:ser>
        <c:dLbls>
          <c:showLegendKey val="0"/>
          <c:showVal val="0"/>
          <c:showCatName val="0"/>
          <c:showSerName val="0"/>
          <c:showPercent val="0"/>
          <c:showBubbleSize val="0"/>
        </c:dLbls>
        <c:smooth val="0"/>
        <c:axId val="480415248"/>
        <c:axId val="480415576"/>
      </c:lineChart>
      <c:catAx>
        <c:axId val="480415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7495844269466314"/>
              <c:y val="0.8409517560304962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415576"/>
        <c:crosses val="autoZero"/>
        <c:auto val="1"/>
        <c:lblAlgn val="ctr"/>
        <c:lblOffset val="100"/>
        <c:noMultiLvlLbl val="0"/>
      </c:catAx>
      <c:valAx>
        <c:axId val="4804155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Total Cases</a:t>
                </a:r>
              </a:p>
            </c:rich>
          </c:tx>
          <c:layout>
            <c:manualLayout>
              <c:xMode val="edge"/>
              <c:yMode val="edge"/>
              <c:x val="1.3888888888888888E-2"/>
              <c:y val="0.2398543932008498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415248"/>
        <c:crosses val="autoZero"/>
        <c:crossBetween val="between"/>
      </c:valAx>
      <c:spPr>
        <a:noFill/>
        <a:ln>
          <a:noFill/>
        </a:ln>
        <a:effectLst/>
      </c:spPr>
    </c:plotArea>
    <c:legend>
      <c:legendPos val="b"/>
      <c:layout>
        <c:manualLayout>
          <c:xMode val="edge"/>
          <c:yMode val="edge"/>
          <c:x val="9.8611111111111108E-2"/>
          <c:y val="6.7955880514935646E-2"/>
          <c:w val="0.9"/>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numRef>
              <c:f>Sheet1!$A$2:$A$11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Sheet1!$B$2:$B$11</c:f>
              <c:numCache>
                <c:formatCode>General</c:formatCode>
                <c:ptCount val="10"/>
                <c:pt idx="0">
                  <c:v>1600</c:v>
                </c:pt>
                <c:pt idx="1">
                  <c:v>1162</c:v>
                </c:pt>
                <c:pt idx="2">
                  <c:v>1534</c:v>
                </c:pt>
                <c:pt idx="3">
                  <c:v>1627</c:v>
                </c:pt>
                <c:pt idx="4">
                  <c:v>1683</c:v>
                </c:pt>
                <c:pt idx="5">
                  <c:v>1601</c:v>
                </c:pt>
                <c:pt idx="6">
                  <c:v>2051</c:v>
                </c:pt>
                <c:pt idx="7">
                  <c:v>1185</c:v>
                </c:pt>
                <c:pt idx="8">
                  <c:v>478</c:v>
                </c:pt>
                <c:pt idx="9">
                  <c:v>692</c:v>
                </c:pt>
              </c:numCache>
            </c:numRef>
          </c:val>
          <c:smooth val="0"/>
          <c:extLst>
            <c:ext xmlns:c16="http://schemas.microsoft.com/office/drawing/2014/chart" uri="{C3380CC4-5D6E-409C-BE32-E72D297353CC}">
              <c16:uniqueId val="{00000000-83F6-465A-8B74-C2CD32998954}"/>
            </c:ext>
          </c:extLst>
        </c:ser>
        <c:dLbls>
          <c:showLegendKey val="0"/>
          <c:showVal val="0"/>
          <c:showCatName val="0"/>
          <c:showSerName val="0"/>
          <c:showPercent val="0"/>
          <c:showBubbleSize val="0"/>
        </c:dLbls>
        <c:smooth val="0"/>
        <c:axId val="491533912"/>
        <c:axId val="491533256"/>
      </c:lineChart>
      <c:catAx>
        <c:axId val="49153391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Fiscal Year (FY)</a:t>
                </a:r>
              </a:p>
            </c:rich>
          </c:tx>
          <c:layout>
            <c:manualLayout>
              <c:xMode val="edge"/>
              <c:yMode val="edge"/>
              <c:x val="0.47156149752114318"/>
              <c:y val="0.9237895263092113"/>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33256"/>
        <c:crosses val="autoZero"/>
        <c:auto val="1"/>
        <c:lblAlgn val="ctr"/>
        <c:lblOffset val="100"/>
        <c:noMultiLvlLbl val="0"/>
      </c:catAx>
      <c:valAx>
        <c:axId val="491533256"/>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Number of Refugee Arrivals</a:t>
                </a:r>
              </a:p>
            </c:rich>
          </c:tx>
          <c:layout>
            <c:manualLayout>
              <c:xMode val="edge"/>
              <c:yMode val="edge"/>
              <c:x val="4.6296296296296294E-3"/>
              <c:y val="0.19871359830021251"/>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33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Sheet1!$A$2:$A$14</c:f>
              <c:strCache>
                <c:ptCount val="13"/>
                <c:pt idx="0">
                  <c:v>Colombia</c:v>
                </c:pt>
                <c:pt idx="1">
                  <c:v>Eritrea</c:v>
                </c:pt>
                <c:pt idx="2">
                  <c:v>Burundi</c:v>
                </c:pt>
                <c:pt idx="3">
                  <c:v>Iran</c:v>
                </c:pt>
                <c:pt idx="4">
                  <c:v>Sudan</c:v>
                </c:pt>
                <c:pt idx="5">
                  <c:v>Syria</c:v>
                </c:pt>
                <c:pt idx="6">
                  <c:v>Afghanistan</c:v>
                </c:pt>
                <c:pt idx="7">
                  <c:v>Cuba</c:v>
                </c:pt>
                <c:pt idx="8">
                  <c:v>Somalia</c:v>
                </c:pt>
                <c:pt idx="9">
                  <c:v>Bhutan</c:v>
                </c:pt>
                <c:pt idx="10">
                  <c:v>DR Congo</c:v>
                </c:pt>
                <c:pt idx="11">
                  <c:v>Burma</c:v>
                </c:pt>
                <c:pt idx="12">
                  <c:v>Iraq</c:v>
                </c:pt>
              </c:strCache>
            </c:strRef>
          </c:cat>
          <c:val>
            <c:numRef>
              <c:f>Sheet1!$B$2:$B$14</c:f>
              <c:numCache>
                <c:formatCode>General</c:formatCode>
                <c:ptCount val="13"/>
                <c:pt idx="0">
                  <c:v>1.01</c:v>
                </c:pt>
                <c:pt idx="1">
                  <c:v>1.29</c:v>
                </c:pt>
                <c:pt idx="2">
                  <c:v>1.42</c:v>
                </c:pt>
                <c:pt idx="3">
                  <c:v>1.5</c:v>
                </c:pt>
                <c:pt idx="4">
                  <c:v>2.64</c:v>
                </c:pt>
                <c:pt idx="5">
                  <c:v>2.84</c:v>
                </c:pt>
                <c:pt idx="6">
                  <c:v>2.97</c:v>
                </c:pt>
                <c:pt idx="7">
                  <c:v>2.99</c:v>
                </c:pt>
                <c:pt idx="8">
                  <c:v>12</c:v>
                </c:pt>
                <c:pt idx="9">
                  <c:v>12.16</c:v>
                </c:pt>
                <c:pt idx="10">
                  <c:v>13.01</c:v>
                </c:pt>
                <c:pt idx="11">
                  <c:v>18.8</c:v>
                </c:pt>
                <c:pt idx="12">
                  <c:v>22.78</c:v>
                </c:pt>
              </c:numCache>
            </c:numRef>
          </c:val>
          <c:extLst>
            <c:ext xmlns:c16="http://schemas.microsoft.com/office/drawing/2014/chart" uri="{C3380CC4-5D6E-409C-BE32-E72D297353CC}">
              <c16:uniqueId val="{00000000-6F72-4EB0-9403-BA6E6A390988}"/>
            </c:ext>
          </c:extLst>
        </c:ser>
        <c:dLbls>
          <c:showLegendKey val="0"/>
          <c:showVal val="0"/>
          <c:showCatName val="0"/>
          <c:showSerName val="0"/>
          <c:showPercent val="0"/>
          <c:showBubbleSize val="0"/>
        </c:dLbls>
        <c:gapWidth val="182"/>
        <c:axId val="483796760"/>
        <c:axId val="483796432"/>
      </c:barChart>
      <c:catAx>
        <c:axId val="483796760"/>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796432"/>
        <c:crosses val="autoZero"/>
        <c:auto val="1"/>
        <c:lblAlgn val="ctr"/>
        <c:lblOffset val="100"/>
        <c:noMultiLvlLbl val="0"/>
      </c:catAx>
      <c:valAx>
        <c:axId val="48379643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Percent of Total Arrivals</a:t>
                </a:r>
                <a:r>
                  <a:rPr lang="en-US" b="1" baseline="0"/>
                  <a:t> 2010 - 2019</a:t>
                </a:r>
                <a:endParaRPr lang="en-US" b="1"/>
              </a:p>
            </c:rich>
          </c:tx>
          <c:layout>
            <c:manualLayout>
              <c:xMode val="edge"/>
              <c:yMode val="edge"/>
              <c:x val="0.37593084718576847"/>
              <c:y val="0.9277577802774653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7967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E3-4E78-904D-F55B423DCC3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E3-4E78-904D-F55B423DCC3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E3-4E78-904D-F55B423DCC3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7E3-4E78-904D-F55B423DCC3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7E3-4E78-904D-F55B423DCC3D}"/>
              </c:ext>
            </c:extLst>
          </c:dPt>
          <c:cat>
            <c:strRef>
              <c:f>Sheet1!$A$2:$A$6</c:f>
              <c:strCache>
                <c:ptCount val="5"/>
                <c:pt idx="0">
                  <c:v>Chattanooga</c:v>
                </c:pt>
                <c:pt idx="1">
                  <c:v>Knoxville</c:v>
                </c:pt>
                <c:pt idx="2">
                  <c:v>Memphis</c:v>
                </c:pt>
                <c:pt idx="3">
                  <c:v>Nashville</c:v>
                </c:pt>
                <c:pt idx="4">
                  <c:v>Remote</c:v>
                </c:pt>
              </c:strCache>
            </c:strRef>
          </c:cat>
          <c:val>
            <c:numRef>
              <c:f>Sheet1!$B$2:$B$6</c:f>
              <c:numCache>
                <c:formatCode>General</c:formatCode>
                <c:ptCount val="5"/>
                <c:pt idx="0">
                  <c:v>5.63</c:v>
                </c:pt>
                <c:pt idx="1">
                  <c:v>11.39</c:v>
                </c:pt>
                <c:pt idx="2">
                  <c:v>71.819999999999993</c:v>
                </c:pt>
                <c:pt idx="3">
                  <c:v>11.14</c:v>
                </c:pt>
                <c:pt idx="4">
                  <c:v>0.03</c:v>
                </c:pt>
              </c:numCache>
            </c:numRef>
          </c:val>
          <c:extLst>
            <c:ext xmlns:c16="http://schemas.microsoft.com/office/drawing/2014/chart" uri="{C3380CC4-5D6E-409C-BE32-E72D297353CC}">
              <c16:uniqueId val="{00000000-1477-4F4F-BFB1-9735073E5D3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rand Colors">
      <a:dk1>
        <a:sysClr val="windowText" lastClr="000000"/>
      </a:dk1>
      <a:lt1>
        <a:sysClr val="window" lastClr="FFFFFF"/>
      </a:lt1>
      <a:dk2>
        <a:srgbClr val="1B365D"/>
      </a:dk2>
      <a:lt2>
        <a:srgbClr val="FF0F00"/>
      </a:lt2>
      <a:accent1>
        <a:srgbClr val="2DCCD3"/>
      </a:accent1>
      <a:accent2>
        <a:srgbClr val="D2D755"/>
      </a:accent2>
      <a:accent3>
        <a:srgbClr val="E87722"/>
      </a:accent3>
      <a:accent4>
        <a:srgbClr val="7C2529"/>
      </a:accent4>
      <a:accent5>
        <a:srgbClr val="666666"/>
      </a:accent5>
      <a:accent6>
        <a:srgbClr val="E6D395"/>
      </a:accent6>
      <a:hlink>
        <a:srgbClr val="131E29"/>
      </a:hlink>
      <a:folHlink>
        <a:srgbClr val="CBC4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Ste20</b:Tag>
    <b:SourceType>DocumentFromInternetSite</b:SourceType>
    <b:Guid>{61D21A63-2D06-4F53-B4A1-73257F43EFA0}</b:Guid>
    <b:Title>Guidelines for the Treatment of Latent Tuberculosis: Recommendations from the National Controllers Association and CDC, 2020</b:Title>
    <b:Year>2020</b:Year>
    <b:Author>
      <b:Author>
        <b:NameList>
          <b:Person>
            <b:Last>Sterling TR</b:Last>
            <b:First>Njie</b:First>
            <b:Middle>G, Zenner D, et al.</b:Middle>
          </b:Person>
        </b:NameList>
      </b:Author>
    </b:Author>
    <b:InternetSiteTitle>MMWR Recomm Rep 2020;69 (No. RR-1): 1-11</b:InternetSiteTitle>
    <b:URL>http://dx.doi.org/10.15585/mmwr.rr6901a</b:URL>
    <b:RefOrder>2</b:RefOrder>
  </b:Source>
  <b:Source>
    <b:Tag>Wor</b:Tag>
    <b:SourceType>DocumentFromInternetSite</b:SourceType>
    <b:Guid>{D43F5694-EC9C-4DDE-8F4A-7BCC01B198D2}</b:Guid>
    <b:Author>
      <b:Author>
        <b:Corporate>World Health Organization</b:Corporate>
      </b:Author>
    </b:Author>
    <b:Title>Global Tuberculosis Report</b:Title>
    <b:URL>https://apps.who.int/iris/bitstream/handle/10665/336069/9789240013131-eng.pdf?ua=1</b:URL>
    <b:RefOrder>3</b:RefOrder>
  </b:Source>
  <b:Source>
    <b:Tag>Col20</b:Tag>
    <b:SourceType>DocumentFromInternetSite</b:SourceType>
    <b:Guid>{21A21F06-597F-43E9-99C0-E8E9D33B58EA}</b:Guid>
    <b:Author>
      <b:Author>
        <b:NameList>
          <b:Person>
            <b:Last>Cole B</b:Last>
            <b:First>Nielsen</b:First>
            <b:Middle>DM, Will L, Etkind SC, Burgos M, Chorba T.</b:Middle>
          </b:Person>
        </b:NameList>
      </b:Author>
    </b:Author>
    <b:Title>Essential Components of a Public Health Tuberculosis Prevention, Control and Elimination Program: Recommendations of the Advisory Council for the Elimination of Tuberculosis and the National Tuberculosis Controllers Association</b:Title>
    <b:InternetSiteTitle>MMWR Recomm Rep 2020;69(No. RR-7):1-24</b:InternetSiteTitle>
    <b:Year>2020</b:Year>
    <b:URL>http://dx.doi.org/10.15585/mmwr.rr6907a1</b:URL>
    <b:RefOrder>1</b:RefOrder>
  </b:Source>
</b:Sources>
</file>

<file path=customXml/itemProps1.xml><?xml version="1.0" encoding="utf-8"?>
<ds:datastoreItem xmlns:ds="http://schemas.openxmlformats.org/officeDocument/2006/customXml" ds:itemID="{B83CC378-F0DF-4AA6-8861-B236BFE9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Walker</dc:creator>
  <cp:keywords/>
  <dc:description/>
  <cp:lastModifiedBy>Jason Cummins</cp:lastModifiedBy>
  <cp:revision>17</cp:revision>
  <cp:lastPrinted>2020-11-03T13:37:00Z</cp:lastPrinted>
  <dcterms:created xsi:type="dcterms:W3CDTF">2020-11-05T13:27:00Z</dcterms:created>
  <dcterms:modified xsi:type="dcterms:W3CDTF">2020-11-05T16:35:00Z</dcterms:modified>
</cp:coreProperties>
</file>