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B6844" w14:textId="136728FC" w:rsidR="00F142E0" w:rsidRPr="00F142E0" w:rsidRDefault="00F142E0" w:rsidP="00F142E0">
      <w:pPr>
        <w:pStyle w:val="Default"/>
        <w:jc w:val="center"/>
        <w:rPr>
          <w:b/>
          <w:sz w:val="32"/>
          <w:szCs w:val="32"/>
        </w:rPr>
      </w:pPr>
      <w:bookmarkStart w:id="0" w:name="_GoBack"/>
      <w:r w:rsidRPr="00F142E0">
        <w:rPr>
          <w:b/>
          <w:sz w:val="32"/>
          <w:szCs w:val="32"/>
        </w:rPr>
        <w:t>DRAFT</w:t>
      </w:r>
    </w:p>
    <w:bookmarkEnd w:id="0"/>
    <w:p w14:paraId="5B0CC179" w14:textId="77777777" w:rsidR="00F142E0" w:rsidRDefault="00F142E0" w:rsidP="009F13D1">
      <w:pPr>
        <w:pStyle w:val="Default"/>
        <w:rPr>
          <w:b/>
        </w:rPr>
      </w:pPr>
    </w:p>
    <w:p w14:paraId="343A228A" w14:textId="0E563C13" w:rsidR="009F13D1" w:rsidRDefault="009F13D1" w:rsidP="009F13D1">
      <w:pPr>
        <w:pStyle w:val="Default"/>
        <w:rPr>
          <w:b/>
        </w:rPr>
      </w:pPr>
      <w:r w:rsidRPr="00EA6402">
        <w:rPr>
          <w:b/>
        </w:rPr>
        <w:t xml:space="preserve">III. </w:t>
      </w:r>
      <w:r>
        <w:rPr>
          <w:b/>
        </w:rPr>
        <w:t xml:space="preserve">Applicant </w:t>
      </w:r>
      <w:r w:rsidRPr="00EA6402">
        <w:rPr>
          <w:b/>
        </w:rPr>
        <w:t xml:space="preserve">Evaluation and Performance Measurement Plan </w:t>
      </w:r>
    </w:p>
    <w:p w14:paraId="354BDD1A" w14:textId="77777777" w:rsidR="009F13D1" w:rsidRDefault="009F13D1" w:rsidP="009F13D1">
      <w:pPr>
        <w:pStyle w:val="Default"/>
        <w:numPr>
          <w:ilvl w:val="0"/>
          <w:numId w:val="1"/>
        </w:numPr>
        <w:rPr>
          <w:b/>
        </w:rPr>
      </w:pPr>
      <w:r>
        <w:rPr>
          <w:b/>
        </w:rPr>
        <w:t>Background</w:t>
      </w:r>
    </w:p>
    <w:p w14:paraId="3A6E0789" w14:textId="77777777" w:rsidR="009F13D1" w:rsidRDefault="009F13D1" w:rsidP="009F13D1">
      <w:pPr>
        <w:pStyle w:val="Default"/>
        <w:ind w:left="360"/>
        <w:rPr>
          <w:b/>
        </w:rPr>
      </w:pPr>
    </w:p>
    <w:p w14:paraId="2A23EB7C" w14:textId="77777777" w:rsidR="009F13D1" w:rsidRDefault="009F13D1" w:rsidP="009F13D1">
      <w:pPr>
        <w:pStyle w:val="Default"/>
        <w:ind w:left="720"/>
        <w:rPr>
          <w:rStyle w:val="Hyperlink"/>
        </w:rPr>
      </w:pPr>
      <w:r w:rsidRPr="00471185">
        <w:t xml:space="preserve">The purpose of this evaluation plan is to improve </w:t>
      </w:r>
      <w:r>
        <w:t xml:space="preserve">TBOHA performance measures related to Examination of Immigrants and Refugees, with an emphasis on improving examination initiation, examination completion within 90 days, and LTBI treatment initiation. </w:t>
      </w:r>
      <w:r w:rsidRPr="00471185">
        <w:t xml:space="preserve">The national TB objectives on </w:t>
      </w:r>
      <w:r>
        <w:t>examination of immigrants and refugees</w:t>
      </w:r>
      <w:r w:rsidRPr="00471185">
        <w:t xml:space="preserve"> can be access</w:t>
      </w:r>
      <w:r>
        <w:t>ed</w:t>
      </w:r>
      <w:r w:rsidRPr="00471185">
        <w:t xml:space="preserve"> at: </w:t>
      </w:r>
      <w:hyperlink r:id="rId5" w:history="1">
        <w:r w:rsidRPr="00471185">
          <w:rPr>
            <w:rStyle w:val="Hyperlink"/>
          </w:rPr>
          <w:t>https://www.cdc.gov/tb/programs/evaluation/indicators/default.htm</w:t>
        </w:r>
      </w:hyperlink>
    </w:p>
    <w:p w14:paraId="3F0DD049" w14:textId="77777777" w:rsidR="009F13D1" w:rsidRDefault="009F13D1" w:rsidP="009F13D1">
      <w:pPr>
        <w:pStyle w:val="Default"/>
        <w:ind w:left="720"/>
        <w:rPr>
          <w:rStyle w:val="Hyperlink"/>
        </w:rPr>
      </w:pPr>
    </w:p>
    <w:p w14:paraId="0FFC4B00" w14:textId="2129BDAD" w:rsidR="009F13D1" w:rsidRDefault="009F13D1" w:rsidP="009F13D1">
      <w:pPr>
        <w:pStyle w:val="Default"/>
        <w:ind w:left="720"/>
      </w:pPr>
      <w:r>
        <w:t xml:space="preserve">On July 1, 2018, TBOHA changed the funding formula by which local public health jurisdictions are paid for their work to prevent TB, and a direct payment of $300 per B-waiver immigrant or refugee notification received was initiated.  </w:t>
      </w:r>
      <w:r w:rsidRPr="00A36237">
        <w:t xml:space="preserve">This change was made to ensure </w:t>
      </w:r>
      <w:r w:rsidR="00C640CD">
        <w:t xml:space="preserve">LPHAs have </w:t>
      </w:r>
      <w:r w:rsidRPr="00A36237">
        <w:t xml:space="preserve">resources </w:t>
      </w:r>
      <w:r w:rsidR="00C640CD">
        <w:t xml:space="preserve">to support B-waiver follow-up. </w:t>
      </w:r>
      <w:r w:rsidRPr="00A36237">
        <w:t>The new funding method aligns with the funding principles for state and local public health authorities (LPHAs) outlined by the Oregon’s Public Health Advisory Board.</w:t>
      </w:r>
    </w:p>
    <w:p w14:paraId="5CD6079B" w14:textId="77777777" w:rsidR="009F13D1" w:rsidRDefault="009F13D1" w:rsidP="009F13D1">
      <w:pPr>
        <w:pStyle w:val="Default"/>
        <w:ind w:left="720"/>
      </w:pPr>
    </w:p>
    <w:p w14:paraId="19EE9F86" w14:textId="2FF5CB06" w:rsidR="009F13D1" w:rsidRDefault="009F13D1" w:rsidP="009F13D1">
      <w:pPr>
        <w:pStyle w:val="Default"/>
        <w:ind w:left="720"/>
      </w:pPr>
      <w:r>
        <w:t xml:space="preserve">This program evaluation will compare 1) rates of medical evaluation initiation within 30 days and 2) evaluation completion within </w:t>
      </w:r>
      <w:r w:rsidR="00C640CD">
        <w:t>120</w:t>
      </w:r>
      <w:r>
        <w:t xml:space="preserve"> days before and after the payment began on July 1, 2018. This evaluation will use a pre/post intervention trend analysis comparing the probability of outcomes before and after payment initiation. Preliminary findings will inform secondary data collection; secondary data collection will likely involve key informant interviews or surveys of LPHA staff and administration to indicate possible reasons for findings or identify strategies for subsequent intervention.  The findings of this program evaluation will (1) assess the effect of direct payment on B-waiver evaluation and completion rates (2) explore the factors underlying any effect and (3) inform subsequent intervention</w:t>
      </w:r>
      <w:r w:rsidR="00C640CD">
        <w:t>s</w:t>
      </w:r>
      <w:r>
        <w:t xml:space="preserve"> to magnify effect.  </w:t>
      </w:r>
    </w:p>
    <w:p w14:paraId="726AA5D4" w14:textId="77777777" w:rsidR="009F13D1" w:rsidRDefault="009F13D1" w:rsidP="009F13D1">
      <w:pPr>
        <w:pStyle w:val="Default"/>
        <w:ind w:left="720"/>
      </w:pPr>
    </w:p>
    <w:p w14:paraId="0068A12B" w14:textId="77777777" w:rsidR="009F13D1" w:rsidRDefault="009F13D1" w:rsidP="009F13D1">
      <w:pPr>
        <w:pStyle w:val="Default"/>
        <w:ind w:left="720"/>
        <w:rPr>
          <w:b/>
        </w:rPr>
      </w:pPr>
      <w:r w:rsidRPr="00A0627F">
        <w:rPr>
          <w:b/>
        </w:rPr>
        <w:t>Goals &amp; Objectives</w:t>
      </w:r>
    </w:p>
    <w:p w14:paraId="48FB9881" w14:textId="77777777" w:rsidR="009F13D1" w:rsidRDefault="009F13D1" w:rsidP="009F13D1">
      <w:pPr>
        <w:ind w:left="1440"/>
        <w:rPr>
          <w:rFonts w:cs="Calibri"/>
          <w:sz w:val="24"/>
          <w:szCs w:val="24"/>
        </w:rPr>
      </w:pPr>
      <w:r>
        <w:rPr>
          <w:b/>
        </w:rPr>
        <w:t xml:space="preserve">Goals: </w:t>
      </w:r>
      <w:r w:rsidRPr="000313A4">
        <w:rPr>
          <w:rFonts w:cs="Calibri"/>
          <w:sz w:val="24"/>
          <w:szCs w:val="24"/>
        </w:rPr>
        <w:t xml:space="preserve">To </w:t>
      </w:r>
      <w:r>
        <w:rPr>
          <w:rFonts w:cs="Calibri"/>
          <w:sz w:val="24"/>
          <w:szCs w:val="24"/>
        </w:rPr>
        <w:t>determine if paying LPHAs for each B-waiver notification received improves performance LPHA performance on NTIP indicators</w:t>
      </w:r>
      <w:r w:rsidRPr="000313A4">
        <w:rPr>
          <w:rFonts w:cs="Calibri"/>
          <w:sz w:val="24"/>
          <w:szCs w:val="24"/>
        </w:rPr>
        <w:t>.</w:t>
      </w:r>
      <w:r>
        <w:rPr>
          <w:rFonts w:cs="Calibri"/>
          <w:sz w:val="24"/>
          <w:szCs w:val="24"/>
        </w:rPr>
        <w:t xml:space="preserve"> To explore interventions to amplify or mitigate effect.</w:t>
      </w:r>
    </w:p>
    <w:p w14:paraId="77167B4E" w14:textId="77777777" w:rsidR="009F13D1" w:rsidRDefault="009F13D1" w:rsidP="009F13D1">
      <w:pPr>
        <w:ind w:left="1440"/>
        <w:rPr>
          <w:b/>
        </w:rPr>
      </w:pPr>
      <w:r>
        <w:rPr>
          <w:b/>
        </w:rPr>
        <w:t xml:space="preserve">Objectives: </w:t>
      </w:r>
    </w:p>
    <w:p w14:paraId="348563E3" w14:textId="77777777" w:rsidR="009F13D1" w:rsidRDefault="009F13D1" w:rsidP="009F13D1">
      <w:pPr>
        <w:pStyle w:val="ListParagraph"/>
        <w:numPr>
          <w:ilvl w:val="0"/>
          <w:numId w:val="2"/>
        </w:numPr>
        <w:ind w:left="1800"/>
        <w:rPr>
          <w:rFonts w:cs="Calibri"/>
          <w:i w:val="0"/>
          <w:sz w:val="24"/>
          <w:szCs w:val="24"/>
        </w:rPr>
      </w:pPr>
      <w:r w:rsidRPr="000313A4">
        <w:rPr>
          <w:rFonts w:cs="Calibri"/>
          <w:i w:val="0"/>
          <w:sz w:val="24"/>
          <w:szCs w:val="24"/>
        </w:rPr>
        <w:t xml:space="preserve">Analyze </w:t>
      </w:r>
      <w:r>
        <w:rPr>
          <w:rFonts w:cs="Calibri"/>
          <w:i w:val="0"/>
          <w:sz w:val="24"/>
          <w:szCs w:val="24"/>
        </w:rPr>
        <w:t>B-waiver time to medical evaluation initiation and time to evaluation completion before and after implementation of payment policy. Compare rates.</w:t>
      </w:r>
    </w:p>
    <w:p w14:paraId="7C55BB60" w14:textId="77777777" w:rsidR="009F13D1" w:rsidRDefault="009F13D1" w:rsidP="009F13D1">
      <w:pPr>
        <w:pStyle w:val="ListParagraph"/>
        <w:numPr>
          <w:ilvl w:val="0"/>
          <w:numId w:val="2"/>
        </w:numPr>
        <w:ind w:left="1800"/>
        <w:rPr>
          <w:rFonts w:cs="Calibri"/>
          <w:i w:val="0"/>
          <w:sz w:val="24"/>
          <w:szCs w:val="24"/>
        </w:rPr>
      </w:pPr>
      <w:r>
        <w:rPr>
          <w:rFonts w:cs="Calibri"/>
          <w:i w:val="0"/>
          <w:sz w:val="24"/>
          <w:szCs w:val="24"/>
        </w:rPr>
        <w:t>Analyze data using pre/post payment trend analysis to compare probability of outcomes.</w:t>
      </w:r>
    </w:p>
    <w:p w14:paraId="00024FC2" w14:textId="77777777" w:rsidR="009F13D1" w:rsidRPr="000313A4" w:rsidRDefault="009F13D1" w:rsidP="009F13D1">
      <w:pPr>
        <w:pStyle w:val="ListParagraph"/>
        <w:numPr>
          <w:ilvl w:val="0"/>
          <w:numId w:val="2"/>
        </w:numPr>
        <w:ind w:left="1800"/>
        <w:rPr>
          <w:rFonts w:cs="Calibri"/>
          <w:i w:val="0"/>
          <w:sz w:val="24"/>
          <w:szCs w:val="24"/>
        </w:rPr>
      </w:pPr>
      <w:r>
        <w:rPr>
          <w:rFonts w:cs="Calibri"/>
          <w:i w:val="0"/>
          <w:sz w:val="24"/>
          <w:szCs w:val="24"/>
        </w:rPr>
        <w:t>Identify key informants at among LPHA staff and administration</w:t>
      </w:r>
      <w:r w:rsidRPr="000313A4">
        <w:rPr>
          <w:rFonts w:cs="Calibri"/>
          <w:i w:val="0"/>
          <w:sz w:val="24"/>
          <w:szCs w:val="24"/>
        </w:rPr>
        <w:t>.</w:t>
      </w:r>
    </w:p>
    <w:p w14:paraId="73BA7EF2" w14:textId="77777777" w:rsidR="009F13D1" w:rsidRDefault="009F13D1" w:rsidP="009F13D1">
      <w:pPr>
        <w:pStyle w:val="ListParagraph"/>
        <w:numPr>
          <w:ilvl w:val="0"/>
          <w:numId w:val="2"/>
        </w:numPr>
        <w:ind w:left="1800"/>
        <w:rPr>
          <w:rFonts w:cs="Calibri"/>
          <w:i w:val="0"/>
          <w:sz w:val="24"/>
          <w:szCs w:val="24"/>
        </w:rPr>
      </w:pPr>
      <w:r>
        <w:rPr>
          <w:rFonts w:cs="Calibri"/>
          <w:i w:val="0"/>
          <w:sz w:val="24"/>
          <w:szCs w:val="24"/>
        </w:rPr>
        <w:t>Complete qualitative data collection to explore reasons for analytic outcomes</w:t>
      </w:r>
      <w:r w:rsidRPr="000313A4">
        <w:rPr>
          <w:rFonts w:cs="Calibri"/>
          <w:i w:val="0"/>
          <w:sz w:val="24"/>
          <w:szCs w:val="24"/>
        </w:rPr>
        <w:t>.</w:t>
      </w:r>
      <w:r>
        <w:rPr>
          <w:rFonts w:cs="Calibri"/>
          <w:i w:val="0"/>
          <w:sz w:val="24"/>
          <w:szCs w:val="24"/>
        </w:rPr>
        <w:t xml:space="preserve"> </w:t>
      </w:r>
    </w:p>
    <w:p w14:paraId="54A4EFF8" w14:textId="77777777" w:rsidR="009F13D1" w:rsidRPr="0088436C" w:rsidRDefault="009F13D1" w:rsidP="009F13D1">
      <w:pPr>
        <w:pStyle w:val="ListParagraph"/>
        <w:numPr>
          <w:ilvl w:val="0"/>
          <w:numId w:val="2"/>
        </w:numPr>
        <w:ind w:left="1800"/>
        <w:rPr>
          <w:rFonts w:cs="Calibri"/>
          <w:i w:val="0"/>
          <w:sz w:val="24"/>
          <w:szCs w:val="24"/>
        </w:rPr>
      </w:pPr>
      <w:r w:rsidRPr="0088436C">
        <w:rPr>
          <w:rFonts w:cs="Calibri"/>
          <w:i w:val="0"/>
          <w:sz w:val="24"/>
          <w:szCs w:val="24"/>
        </w:rPr>
        <w:lastRenderedPageBreak/>
        <w:t>Based on outcomes and qualitative factors, explore subsequent possible interventions to amplify or mitigate effect of payment</w:t>
      </w:r>
      <w:r w:rsidRPr="0088436C">
        <w:rPr>
          <w:rFonts w:cs="Calibri"/>
          <w:sz w:val="24"/>
          <w:szCs w:val="24"/>
        </w:rPr>
        <w:t>.</w:t>
      </w:r>
    </w:p>
    <w:p w14:paraId="5696CDA4" w14:textId="77777777" w:rsidR="009F13D1" w:rsidRDefault="009F13D1" w:rsidP="009F13D1">
      <w:pPr>
        <w:pStyle w:val="Default"/>
        <w:ind w:firstLine="720"/>
        <w:rPr>
          <w:b/>
        </w:rPr>
      </w:pPr>
      <w:r>
        <w:rPr>
          <w:b/>
        </w:rPr>
        <w:t>Corresponding NTIP Indicators</w:t>
      </w:r>
    </w:p>
    <w:p w14:paraId="725BF088" w14:textId="77777777" w:rsidR="009F13D1" w:rsidRDefault="009F13D1" w:rsidP="009F13D1">
      <w:pPr>
        <w:pStyle w:val="Default"/>
        <w:ind w:left="1080"/>
      </w:pPr>
      <w:r w:rsidRPr="000A511B">
        <w:rPr>
          <w:u w:val="single"/>
        </w:rPr>
        <w:t>Examination of Immigrants and Refugees:</w:t>
      </w:r>
      <w:r>
        <w:t xml:space="preserve"> </w:t>
      </w:r>
    </w:p>
    <w:p w14:paraId="4C277715" w14:textId="77777777" w:rsidR="009F13D1" w:rsidRDefault="009F13D1" w:rsidP="009F13D1">
      <w:pPr>
        <w:pStyle w:val="Default"/>
        <w:numPr>
          <w:ilvl w:val="0"/>
          <w:numId w:val="3"/>
        </w:numPr>
      </w:pPr>
      <w:r>
        <w:t>Examination Initiation (Immigrants and Refugees with Abnormal Chest X-rays Read Overseas as Consistent with TB Who Initiated Medical Examination Within 30 Days of Notification)</w:t>
      </w:r>
    </w:p>
    <w:p w14:paraId="21104D34" w14:textId="5E03354B" w:rsidR="009F13D1" w:rsidRDefault="009F13D1" w:rsidP="009F13D1">
      <w:pPr>
        <w:pStyle w:val="Default"/>
        <w:numPr>
          <w:ilvl w:val="0"/>
          <w:numId w:val="3"/>
        </w:numPr>
      </w:pPr>
      <w:r w:rsidRPr="000A511B">
        <w:t>Examination Completion</w:t>
      </w:r>
      <w:r>
        <w:t xml:space="preserve"> (Immigrants and Refugees with Abnormal Chest X-rays Read Overseas as Consistent with TB Who Completed Medical Examination Within </w:t>
      </w:r>
      <w:r w:rsidR="00C640CD">
        <w:t>120</w:t>
      </w:r>
      <w:r>
        <w:t xml:space="preserve"> Days of Notification)</w:t>
      </w:r>
    </w:p>
    <w:p w14:paraId="096E7EF0" w14:textId="77777777" w:rsidR="009F13D1" w:rsidRPr="00A36237" w:rsidRDefault="009F13D1" w:rsidP="009F13D1">
      <w:pPr>
        <w:pStyle w:val="Default"/>
        <w:ind w:left="1080"/>
      </w:pPr>
    </w:p>
    <w:p w14:paraId="6F0875C1" w14:textId="77777777" w:rsidR="009F13D1" w:rsidRDefault="009F13D1" w:rsidP="009F13D1">
      <w:pPr>
        <w:pStyle w:val="Default"/>
        <w:ind w:left="360"/>
        <w:rPr>
          <w:b/>
        </w:rPr>
      </w:pPr>
    </w:p>
    <w:p w14:paraId="329A72A3" w14:textId="77777777" w:rsidR="009F13D1" w:rsidRDefault="009F13D1" w:rsidP="009F13D1">
      <w:pPr>
        <w:pStyle w:val="Default"/>
        <w:numPr>
          <w:ilvl w:val="0"/>
          <w:numId w:val="1"/>
        </w:numPr>
        <w:rPr>
          <w:b/>
        </w:rPr>
      </w:pPr>
      <w:r>
        <w:rPr>
          <w:b/>
        </w:rPr>
        <w:t>Program Evaluation Plan</w:t>
      </w:r>
    </w:p>
    <w:tbl>
      <w:tblPr>
        <w:tblStyle w:val="TableGrid"/>
        <w:tblW w:w="9900" w:type="dxa"/>
        <w:tblInd w:w="108" w:type="dxa"/>
        <w:tblLook w:val="04A0" w:firstRow="1" w:lastRow="0" w:firstColumn="1" w:lastColumn="0" w:noHBand="0" w:noVBand="1"/>
      </w:tblPr>
      <w:tblGrid>
        <w:gridCol w:w="2120"/>
        <w:gridCol w:w="2545"/>
        <w:gridCol w:w="1885"/>
        <w:gridCol w:w="2311"/>
        <w:gridCol w:w="1039"/>
      </w:tblGrid>
      <w:tr w:rsidR="009F13D1" w:rsidRPr="00932154" w14:paraId="205C55F0" w14:textId="77777777" w:rsidTr="00C640CD">
        <w:tc>
          <w:tcPr>
            <w:tcW w:w="2228" w:type="dxa"/>
            <w:shd w:val="clear" w:color="auto" w:fill="BFBFBF"/>
            <w:vAlign w:val="center"/>
          </w:tcPr>
          <w:p w14:paraId="6A2CA510" w14:textId="77777777" w:rsidR="009F13D1" w:rsidRPr="00932154" w:rsidRDefault="009F13D1" w:rsidP="00130844">
            <w:pPr>
              <w:pStyle w:val="Default"/>
              <w:rPr>
                <w:b/>
                <w:u w:val="single"/>
              </w:rPr>
            </w:pPr>
            <w:r>
              <w:rPr>
                <w:b/>
                <w:u w:val="single"/>
              </w:rPr>
              <w:t>Step</w:t>
            </w:r>
          </w:p>
        </w:tc>
        <w:tc>
          <w:tcPr>
            <w:tcW w:w="2545" w:type="dxa"/>
            <w:shd w:val="clear" w:color="auto" w:fill="BFBFBF"/>
          </w:tcPr>
          <w:p w14:paraId="4DC54C73" w14:textId="77777777" w:rsidR="009F13D1" w:rsidRPr="00932154" w:rsidRDefault="009F13D1" w:rsidP="00130844">
            <w:pPr>
              <w:pStyle w:val="Default"/>
              <w:rPr>
                <w:b/>
                <w:u w:val="single"/>
              </w:rPr>
            </w:pPr>
            <w:r>
              <w:rPr>
                <w:b/>
                <w:u w:val="single"/>
              </w:rPr>
              <w:t>Indicators/Deliverables</w:t>
            </w:r>
          </w:p>
        </w:tc>
        <w:tc>
          <w:tcPr>
            <w:tcW w:w="1368" w:type="dxa"/>
            <w:shd w:val="clear" w:color="auto" w:fill="BFBFBF"/>
          </w:tcPr>
          <w:p w14:paraId="2512B85D" w14:textId="77777777" w:rsidR="009F13D1" w:rsidRPr="00932154" w:rsidRDefault="009F13D1" w:rsidP="00130844">
            <w:pPr>
              <w:pStyle w:val="Default"/>
              <w:rPr>
                <w:b/>
                <w:u w:val="single"/>
              </w:rPr>
            </w:pPr>
            <w:r>
              <w:rPr>
                <w:b/>
                <w:u w:val="single"/>
              </w:rPr>
              <w:t>Data Source</w:t>
            </w:r>
          </w:p>
        </w:tc>
        <w:tc>
          <w:tcPr>
            <w:tcW w:w="2720" w:type="dxa"/>
            <w:shd w:val="clear" w:color="auto" w:fill="BFBFBF"/>
            <w:vAlign w:val="center"/>
          </w:tcPr>
          <w:p w14:paraId="5A37806E" w14:textId="77777777" w:rsidR="009F13D1" w:rsidRPr="00932154" w:rsidRDefault="009F13D1" w:rsidP="00130844">
            <w:pPr>
              <w:pStyle w:val="Default"/>
              <w:rPr>
                <w:b/>
                <w:u w:val="single"/>
              </w:rPr>
            </w:pPr>
            <w:r w:rsidRPr="00932154">
              <w:rPr>
                <w:b/>
                <w:u w:val="single"/>
              </w:rPr>
              <w:t>Method for Data Collection and Analysis</w:t>
            </w:r>
          </w:p>
        </w:tc>
        <w:tc>
          <w:tcPr>
            <w:tcW w:w="1039" w:type="dxa"/>
            <w:shd w:val="clear" w:color="auto" w:fill="BFBFBF" w:themeFill="background1" w:themeFillShade="BF"/>
            <w:vAlign w:val="center"/>
          </w:tcPr>
          <w:p w14:paraId="1E46E217" w14:textId="77777777" w:rsidR="009F13D1" w:rsidRPr="00932154" w:rsidRDefault="009F13D1" w:rsidP="00130844">
            <w:pPr>
              <w:pStyle w:val="Default"/>
              <w:rPr>
                <w:b/>
                <w:u w:val="single"/>
              </w:rPr>
            </w:pPr>
            <w:r w:rsidRPr="00932154">
              <w:rPr>
                <w:b/>
                <w:u w:val="single"/>
              </w:rPr>
              <w:t>T</w:t>
            </w:r>
            <w:r>
              <w:rPr>
                <w:b/>
                <w:u w:val="single"/>
              </w:rPr>
              <w:t>arget Date</w:t>
            </w:r>
          </w:p>
        </w:tc>
      </w:tr>
      <w:tr w:rsidR="009F13D1" w:rsidRPr="00932154" w14:paraId="238BD787" w14:textId="77777777" w:rsidTr="00C640CD">
        <w:tc>
          <w:tcPr>
            <w:tcW w:w="2228" w:type="dxa"/>
          </w:tcPr>
          <w:p w14:paraId="115999E7" w14:textId="77777777" w:rsidR="009F13D1" w:rsidRPr="00932154" w:rsidRDefault="009F13D1" w:rsidP="009F13D1">
            <w:pPr>
              <w:pStyle w:val="Default"/>
              <w:numPr>
                <w:ilvl w:val="0"/>
                <w:numId w:val="4"/>
              </w:numPr>
            </w:pPr>
            <w:r>
              <w:t>Develop logic model</w:t>
            </w:r>
          </w:p>
        </w:tc>
        <w:tc>
          <w:tcPr>
            <w:tcW w:w="2545" w:type="dxa"/>
          </w:tcPr>
          <w:p w14:paraId="3571F1DC" w14:textId="77777777" w:rsidR="009F13D1" w:rsidRDefault="009F13D1" w:rsidP="00130844">
            <w:pPr>
              <w:pStyle w:val="Default"/>
            </w:pPr>
            <w:r>
              <w:t>Logic Model</w:t>
            </w:r>
          </w:p>
          <w:p w14:paraId="6F584E93" w14:textId="77777777" w:rsidR="009F13D1" w:rsidRPr="00932154" w:rsidRDefault="009F13D1" w:rsidP="00130844">
            <w:pPr>
              <w:pStyle w:val="Default"/>
            </w:pPr>
          </w:p>
        </w:tc>
        <w:tc>
          <w:tcPr>
            <w:tcW w:w="1368" w:type="dxa"/>
          </w:tcPr>
          <w:p w14:paraId="29CB4C73" w14:textId="598374B9" w:rsidR="009F13D1" w:rsidRPr="00932154" w:rsidRDefault="00C640CD" w:rsidP="00130844">
            <w:pPr>
              <w:pStyle w:val="Default"/>
            </w:pPr>
            <w:r>
              <w:t>EDN</w:t>
            </w:r>
          </w:p>
        </w:tc>
        <w:tc>
          <w:tcPr>
            <w:tcW w:w="2720" w:type="dxa"/>
          </w:tcPr>
          <w:p w14:paraId="774092BE" w14:textId="77777777" w:rsidR="009F13D1" w:rsidRDefault="009F13D1" w:rsidP="00130844">
            <w:pPr>
              <w:pStyle w:val="Default"/>
            </w:pPr>
            <w:r>
              <w:t>B-waiver data reporting</w:t>
            </w:r>
          </w:p>
          <w:p w14:paraId="034A815B" w14:textId="77777777" w:rsidR="009F13D1" w:rsidRDefault="009F13D1" w:rsidP="00130844">
            <w:pPr>
              <w:pStyle w:val="Default"/>
            </w:pPr>
            <w:r>
              <w:t>Calculate rate of initiation and completion</w:t>
            </w:r>
          </w:p>
          <w:p w14:paraId="5C513D20" w14:textId="77777777" w:rsidR="009F13D1" w:rsidRPr="00932154" w:rsidRDefault="009F13D1" w:rsidP="00130844">
            <w:pPr>
              <w:pStyle w:val="Default"/>
            </w:pPr>
          </w:p>
        </w:tc>
        <w:tc>
          <w:tcPr>
            <w:tcW w:w="1039" w:type="dxa"/>
          </w:tcPr>
          <w:p w14:paraId="33A2CFE4" w14:textId="77777777" w:rsidR="009F13D1" w:rsidRDefault="009F13D1" w:rsidP="00130844">
            <w:pPr>
              <w:pStyle w:val="Default"/>
            </w:pPr>
            <w:r>
              <w:t>3/2020</w:t>
            </w:r>
          </w:p>
          <w:p w14:paraId="080E3174" w14:textId="77777777" w:rsidR="009F13D1" w:rsidRPr="00932154" w:rsidRDefault="009F13D1" w:rsidP="00130844">
            <w:pPr>
              <w:pStyle w:val="Default"/>
            </w:pPr>
          </w:p>
        </w:tc>
      </w:tr>
      <w:tr w:rsidR="009F13D1" w:rsidRPr="00932154" w14:paraId="48B372D1" w14:textId="77777777" w:rsidTr="00C640CD">
        <w:tc>
          <w:tcPr>
            <w:tcW w:w="2228" w:type="dxa"/>
          </w:tcPr>
          <w:p w14:paraId="46D82C36" w14:textId="77777777" w:rsidR="009F13D1" w:rsidRPr="00932154" w:rsidRDefault="009F13D1" w:rsidP="009F13D1">
            <w:pPr>
              <w:pStyle w:val="Default"/>
              <w:numPr>
                <w:ilvl w:val="0"/>
                <w:numId w:val="4"/>
              </w:numPr>
            </w:pPr>
            <w:r>
              <w:t>Develop analysis plan</w:t>
            </w:r>
          </w:p>
        </w:tc>
        <w:tc>
          <w:tcPr>
            <w:tcW w:w="2545" w:type="dxa"/>
          </w:tcPr>
          <w:p w14:paraId="6E24E91C" w14:textId="77777777" w:rsidR="009F13D1" w:rsidRPr="00932154" w:rsidRDefault="009F13D1" w:rsidP="00130844">
            <w:pPr>
              <w:pStyle w:val="Default"/>
            </w:pPr>
            <w:r>
              <w:t>Analysis plan</w:t>
            </w:r>
          </w:p>
        </w:tc>
        <w:tc>
          <w:tcPr>
            <w:tcW w:w="1368" w:type="dxa"/>
          </w:tcPr>
          <w:p w14:paraId="190FBAAE" w14:textId="77777777" w:rsidR="009F13D1" w:rsidRPr="00932154" w:rsidRDefault="009F13D1" w:rsidP="00130844">
            <w:pPr>
              <w:pStyle w:val="Default"/>
            </w:pPr>
          </w:p>
        </w:tc>
        <w:tc>
          <w:tcPr>
            <w:tcW w:w="2720" w:type="dxa"/>
          </w:tcPr>
          <w:p w14:paraId="0B796115" w14:textId="77777777" w:rsidR="009F13D1" w:rsidRPr="00932154" w:rsidRDefault="009F13D1" w:rsidP="00130844">
            <w:pPr>
              <w:pStyle w:val="Default"/>
            </w:pPr>
          </w:p>
        </w:tc>
        <w:tc>
          <w:tcPr>
            <w:tcW w:w="1039" w:type="dxa"/>
          </w:tcPr>
          <w:p w14:paraId="4A8E1B20" w14:textId="77777777" w:rsidR="009F13D1" w:rsidRPr="00932154" w:rsidRDefault="009F13D1" w:rsidP="00130844">
            <w:pPr>
              <w:pStyle w:val="Default"/>
            </w:pPr>
            <w:r>
              <w:t>4/2020</w:t>
            </w:r>
          </w:p>
        </w:tc>
      </w:tr>
      <w:tr w:rsidR="009F13D1" w:rsidRPr="00932154" w14:paraId="08C097DD" w14:textId="77777777" w:rsidTr="00C640CD">
        <w:tc>
          <w:tcPr>
            <w:tcW w:w="2228" w:type="dxa"/>
          </w:tcPr>
          <w:p w14:paraId="27488DC0" w14:textId="77777777" w:rsidR="009F13D1" w:rsidRPr="00932154" w:rsidRDefault="009F13D1" w:rsidP="009F13D1">
            <w:pPr>
              <w:pStyle w:val="Default"/>
              <w:numPr>
                <w:ilvl w:val="0"/>
                <w:numId w:val="4"/>
              </w:numPr>
            </w:pPr>
            <w:r>
              <w:t>Compile and clean data</w:t>
            </w:r>
          </w:p>
        </w:tc>
        <w:tc>
          <w:tcPr>
            <w:tcW w:w="2545" w:type="dxa"/>
          </w:tcPr>
          <w:p w14:paraId="2572BFB7" w14:textId="77777777" w:rsidR="009F13D1" w:rsidRDefault="009F13D1" w:rsidP="00130844">
            <w:pPr>
              <w:pStyle w:val="Default"/>
            </w:pPr>
            <w:r>
              <w:t>Data periods:</w:t>
            </w:r>
          </w:p>
          <w:p w14:paraId="3E319577" w14:textId="77777777" w:rsidR="009F13D1" w:rsidRDefault="009F13D1" w:rsidP="00130844">
            <w:pPr>
              <w:pStyle w:val="Default"/>
            </w:pPr>
            <w:r>
              <w:t>2012-2018 and 2018-2020</w:t>
            </w:r>
          </w:p>
        </w:tc>
        <w:tc>
          <w:tcPr>
            <w:tcW w:w="1368" w:type="dxa"/>
          </w:tcPr>
          <w:p w14:paraId="0F3FC2BC" w14:textId="77777777" w:rsidR="009F13D1" w:rsidRDefault="009F13D1" w:rsidP="00130844">
            <w:pPr>
              <w:pStyle w:val="Default"/>
            </w:pPr>
            <w:r>
              <w:t>NTIP, Orpheus, EDN</w:t>
            </w:r>
          </w:p>
        </w:tc>
        <w:tc>
          <w:tcPr>
            <w:tcW w:w="2720" w:type="dxa"/>
          </w:tcPr>
          <w:p w14:paraId="1C1E6B3C" w14:textId="77777777" w:rsidR="009F13D1" w:rsidRPr="00932154" w:rsidRDefault="009F13D1" w:rsidP="00130844">
            <w:pPr>
              <w:pStyle w:val="Default"/>
            </w:pPr>
            <w:r>
              <w:t>EDN data</w:t>
            </w:r>
            <w:r w:rsidRPr="00932154">
              <w:t xml:space="preserve">, NTIP </w:t>
            </w:r>
            <w:r>
              <w:t>indicators</w:t>
            </w:r>
          </w:p>
        </w:tc>
        <w:tc>
          <w:tcPr>
            <w:tcW w:w="1039" w:type="dxa"/>
          </w:tcPr>
          <w:p w14:paraId="56049478" w14:textId="77777777" w:rsidR="009F13D1" w:rsidRPr="00932154" w:rsidRDefault="009F13D1" w:rsidP="00130844">
            <w:pPr>
              <w:pStyle w:val="Default"/>
            </w:pPr>
            <w:r>
              <w:t>7/2020</w:t>
            </w:r>
          </w:p>
        </w:tc>
      </w:tr>
      <w:tr w:rsidR="009F13D1" w:rsidRPr="00932154" w14:paraId="403CC8B8" w14:textId="77777777" w:rsidTr="00C640CD">
        <w:tc>
          <w:tcPr>
            <w:tcW w:w="2228" w:type="dxa"/>
          </w:tcPr>
          <w:p w14:paraId="5F8EABB6" w14:textId="77777777" w:rsidR="009F13D1" w:rsidRPr="00932154" w:rsidRDefault="009F13D1" w:rsidP="009F13D1">
            <w:pPr>
              <w:pStyle w:val="Default"/>
              <w:numPr>
                <w:ilvl w:val="0"/>
                <w:numId w:val="4"/>
              </w:numPr>
            </w:pPr>
            <w:r>
              <w:t>Preliminary data analysis</w:t>
            </w:r>
          </w:p>
        </w:tc>
        <w:tc>
          <w:tcPr>
            <w:tcW w:w="2545" w:type="dxa"/>
          </w:tcPr>
          <w:p w14:paraId="7F5E4852" w14:textId="77777777" w:rsidR="009F13D1" w:rsidRDefault="009F13D1" w:rsidP="00130844">
            <w:pPr>
              <w:pStyle w:val="Default"/>
            </w:pPr>
            <w:r>
              <w:t>NTIP initiation rate</w:t>
            </w:r>
          </w:p>
          <w:p w14:paraId="5F095E82" w14:textId="77777777" w:rsidR="009F13D1" w:rsidRDefault="009F13D1" w:rsidP="00130844">
            <w:pPr>
              <w:pStyle w:val="Default"/>
            </w:pPr>
            <w:r>
              <w:t>NTIP completion rate</w:t>
            </w:r>
          </w:p>
          <w:p w14:paraId="057B90A6" w14:textId="77777777" w:rsidR="009F13D1" w:rsidRDefault="009F13D1" w:rsidP="00130844">
            <w:pPr>
              <w:pStyle w:val="Default"/>
            </w:pPr>
          </w:p>
        </w:tc>
        <w:tc>
          <w:tcPr>
            <w:tcW w:w="1368" w:type="dxa"/>
          </w:tcPr>
          <w:p w14:paraId="7068E799" w14:textId="77777777" w:rsidR="009F13D1" w:rsidRDefault="009F13D1" w:rsidP="00130844">
            <w:pPr>
              <w:pStyle w:val="Default"/>
            </w:pPr>
            <w:r>
              <w:t>NTIP, Orpheus, EDN</w:t>
            </w:r>
          </w:p>
        </w:tc>
        <w:tc>
          <w:tcPr>
            <w:tcW w:w="2720" w:type="dxa"/>
          </w:tcPr>
          <w:p w14:paraId="0389DABD" w14:textId="77777777" w:rsidR="009F13D1" w:rsidRPr="00932154" w:rsidRDefault="009F13D1" w:rsidP="00130844">
            <w:pPr>
              <w:pStyle w:val="Default"/>
            </w:pPr>
            <w:r>
              <w:t>EDN data</w:t>
            </w:r>
            <w:r w:rsidRPr="00932154">
              <w:t xml:space="preserve">, NTIP </w:t>
            </w:r>
            <w:r>
              <w:t>indicators</w:t>
            </w:r>
          </w:p>
        </w:tc>
        <w:tc>
          <w:tcPr>
            <w:tcW w:w="1039" w:type="dxa"/>
          </w:tcPr>
          <w:p w14:paraId="5A992567" w14:textId="77777777" w:rsidR="009F13D1" w:rsidRPr="00932154" w:rsidRDefault="009F13D1" w:rsidP="00130844">
            <w:pPr>
              <w:pStyle w:val="Default"/>
            </w:pPr>
            <w:r>
              <w:t>8/2020</w:t>
            </w:r>
          </w:p>
        </w:tc>
      </w:tr>
      <w:tr w:rsidR="009F13D1" w:rsidRPr="00932154" w14:paraId="64E4C0CC" w14:textId="77777777" w:rsidTr="00C640CD">
        <w:tc>
          <w:tcPr>
            <w:tcW w:w="2228" w:type="dxa"/>
          </w:tcPr>
          <w:p w14:paraId="76ED0EAF" w14:textId="77777777" w:rsidR="009F13D1" w:rsidRPr="00932154" w:rsidRDefault="009F13D1" w:rsidP="009F13D1">
            <w:pPr>
              <w:pStyle w:val="Default"/>
              <w:numPr>
                <w:ilvl w:val="0"/>
                <w:numId w:val="4"/>
              </w:numPr>
            </w:pPr>
            <w:r>
              <w:t>Refine analysis plan if needed, develop survey or interview questions</w:t>
            </w:r>
          </w:p>
        </w:tc>
        <w:tc>
          <w:tcPr>
            <w:tcW w:w="2545" w:type="dxa"/>
          </w:tcPr>
          <w:p w14:paraId="7F595997" w14:textId="36DE81AC" w:rsidR="009F13D1" w:rsidRPr="00932154" w:rsidRDefault="00E24DD7" w:rsidP="00130844">
            <w:pPr>
              <w:pStyle w:val="Default"/>
            </w:pPr>
            <w:r>
              <w:t>Refined plan, survey or interview tool</w:t>
            </w:r>
          </w:p>
        </w:tc>
        <w:tc>
          <w:tcPr>
            <w:tcW w:w="1368" w:type="dxa"/>
          </w:tcPr>
          <w:p w14:paraId="21CEE62D" w14:textId="77777777" w:rsidR="009F13D1" w:rsidRPr="00932154" w:rsidRDefault="009F13D1" w:rsidP="00130844">
            <w:pPr>
              <w:pStyle w:val="Default"/>
            </w:pPr>
          </w:p>
        </w:tc>
        <w:tc>
          <w:tcPr>
            <w:tcW w:w="2720" w:type="dxa"/>
          </w:tcPr>
          <w:p w14:paraId="19610A9E" w14:textId="221D3E0F" w:rsidR="009F13D1" w:rsidRPr="00932154" w:rsidRDefault="00C640CD" w:rsidP="00130844">
            <w:pPr>
              <w:pStyle w:val="Default"/>
            </w:pPr>
            <w:r>
              <w:t>EDN data</w:t>
            </w:r>
            <w:r w:rsidRPr="00932154">
              <w:t xml:space="preserve">, NTIP </w:t>
            </w:r>
            <w:r>
              <w:t>indicators</w:t>
            </w:r>
          </w:p>
        </w:tc>
        <w:tc>
          <w:tcPr>
            <w:tcW w:w="1039" w:type="dxa"/>
          </w:tcPr>
          <w:p w14:paraId="3AE100B4" w14:textId="77777777" w:rsidR="009F13D1" w:rsidRPr="00932154" w:rsidRDefault="009F13D1" w:rsidP="00130844">
            <w:pPr>
              <w:pStyle w:val="Default"/>
            </w:pPr>
            <w:r>
              <w:t>9/2020</w:t>
            </w:r>
          </w:p>
        </w:tc>
      </w:tr>
      <w:tr w:rsidR="009F13D1" w:rsidRPr="00932154" w14:paraId="6D81F302" w14:textId="77777777" w:rsidTr="00C640CD">
        <w:tc>
          <w:tcPr>
            <w:tcW w:w="2228" w:type="dxa"/>
          </w:tcPr>
          <w:p w14:paraId="36C52FEC" w14:textId="77777777" w:rsidR="009F13D1" w:rsidRDefault="009F13D1" w:rsidP="009F13D1">
            <w:pPr>
              <w:pStyle w:val="Default"/>
              <w:numPr>
                <w:ilvl w:val="0"/>
                <w:numId w:val="4"/>
              </w:numPr>
            </w:pPr>
            <w:r>
              <w:t>Identify &amp; contact key informants among LPHA staff and administration</w:t>
            </w:r>
          </w:p>
        </w:tc>
        <w:tc>
          <w:tcPr>
            <w:tcW w:w="2545" w:type="dxa"/>
          </w:tcPr>
          <w:p w14:paraId="45CC3418" w14:textId="401B0116" w:rsidR="009F13D1" w:rsidRPr="00932154" w:rsidRDefault="00E24DD7" w:rsidP="00130844">
            <w:pPr>
              <w:pStyle w:val="Default"/>
            </w:pPr>
            <w:r>
              <w:t>Informant list</w:t>
            </w:r>
          </w:p>
        </w:tc>
        <w:tc>
          <w:tcPr>
            <w:tcW w:w="1368" w:type="dxa"/>
          </w:tcPr>
          <w:p w14:paraId="45F761DF" w14:textId="75B8A047" w:rsidR="009F13D1" w:rsidRPr="00932154" w:rsidRDefault="00E24DD7" w:rsidP="00130844">
            <w:pPr>
              <w:pStyle w:val="Default"/>
            </w:pPr>
            <w:r>
              <w:t>Informant list</w:t>
            </w:r>
          </w:p>
        </w:tc>
        <w:tc>
          <w:tcPr>
            <w:tcW w:w="2720" w:type="dxa"/>
          </w:tcPr>
          <w:p w14:paraId="3E728A18" w14:textId="080EF6F1" w:rsidR="009F13D1" w:rsidRPr="00932154" w:rsidRDefault="00C640CD" w:rsidP="00130844">
            <w:pPr>
              <w:pStyle w:val="Default"/>
            </w:pPr>
            <w:r>
              <w:t>Survey/interview</w:t>
            </w:r>
          </w:p>
        </w:tc>
        <w:tc>
          <w:tcPr>
            <w:tcW w:w="1039" w:type="dxa"/>
          </w:tcPr>
          <w:p w14:paraId="4B288BA4" w14:textId="77777777" w:rsidR="009F13D1" w:rsidRDefault="009F13D1" w:rsidP="00130844">
            <w:pPr>
              <w:pStyle w:val="Default"/>
            </w:pPr>
            <w:r>
              <w:t>9/2020</w:t>
            </w:r>
          </w:p>
        </w:tc>
      </w:tr>
      <w:tr w:rsidR="00C640CD" w:rsidRPr="00932154" w14:paraId="6197AAE5" w14:textId="77777777" w:rsidTr="00C640CD">
        <w:tc>
          <w:tcPr>
            <w:tcW w:w="2228" w:type="dxa"/>
          </w:tcPr>
          <w:p w14:paraId="2D548B2A" w14:textId="77777777" w:rsidR="00C640CD" w:rsidRDefault="00C640CD" w:rsidP="00C640CD">
            <w:pPr>
              <w:pStyle w:val="Default"/>
              <w:numPr>
                <w:ilvl w:val="0"/>
                <w:numId w:val="4"/>
              </w:numPr>
            </w:pPr>
            <w:r>
              <w:t>Collect survey data</w:t>
            </w:r>
          </w:p>
        </w:tc>
        <w:tc>
          <w:tcPr>
            <w:tcW w:w="2545" w:type="dxa"/>
          </w:tcPr>
          <w:p w14:paraId="1F6B926B" w14:textId="794DFABE" w:rsidR="00C640CD" w:rsidRPr="00932154" w:rsidRDefault="00E24DD7" w:rsidP="00C640CD">
            <w:pPr>
              <w:pStyle w:val="Default"/>
            </w:pPr>
            <w:r>
              <w:t>Raw data</w:t>
            </w:r>
          </w:p>
        </w:tc>
        <w:tc>
          <w:tcPr>
            <w:tcW w:w="1368" w:type="dxa"/>
          </w:tcPr>
          <w:p w14:paraId="7CDCC345" w14:textId="46E9C44B" w:rsidR="00C640CD" w:rsidRPr="00932154" w:rsidRDefault="00E24DD7" w:rsidP="00C640CD">
            <w:pPr>
              <w:pStyle w:val="Default"/>
            </w:pPr>
            <w:r>
              <w:t>Informant list</w:t>
            </w:r>
          </w:p>
        </w:tc>
        <w:tc>
          <w:tcPr>
            <w:tcW w:w="2720" w:type="dxa"/>
          </w:tcPr>
          <w:p w14:paraId="3C3C3B4F" w14:textId="44A52BA5" w:rsidR="00C640CD" w:rsidRPr="00932154" w:rsidRDefault="00C640CD" w:rsidP="00C640CD">
            <w:pPr>
              <w:pStyle w:val="Default"/>
            </w:pPr>
            <w:r>
              <w:t>Survey/interview</w:t>
            </w:r>
          </w:p>
        </w:tc>
        <w:tc>
          <w:tcPr>
            <w:tcW w:w="1039" w:type="dxa"/>
          </w:tcPr>
          <w:p w14:paraId="6DBC084F" w14:textId="77777777" w:rsidR="00C640CD" w:rsidRDefault="00C640CD" w:rsidP="00C640CD">
            <w:pPr>
              <w:pStyle w:val="Default"/>
            </w:pPr>
            <w:r>
              <w:t>10/2020</w:t>
            </w:r>
          </w:p>
        </w:tc>
      </w:tr>
      <w:tr w:rsidR="00C640CD" w:rsidRPr="00932154" w14:paraId="50655D74" w14:textId="77777777" w:rsidTr="00C640CD">
        <w:tc>
          <w:tcPr>
            <w:tcW w:w="2228" w:type="dxa"/>
          </w:tcPr>
          <w:p w14:paraId="1283F81F" w14:textId="77777777" w:rsidR="00C640CD" w:rsidRDefault="00C640CD" w:rsidP="00C640CD">
            <w:pPr>
              <w:pStyle w:val="Default"/>
              <w:numPr>
                <w:ilvl w:val="0"/>
                <w:numId w:val="4"/>
              </w:numPr>
            </w:pPr>
            <w:r>
              <w:lastRenderedPageBreak/>
              <w:t>Analyze survey data</w:t>
            </w:r>
          </w:p>
        </w:tc>
        <w:tc>
          <w:tcPr>
            <w:tcW w:w="2545" w:type="dxa"/>
          </w:tcPr>
          <w:p w14:paraId="6BD28A6F" w14:textId="55397F99" w:rsidR="00C640CD" w:rsidRPr="00932154" w:rsidRDefault="00E24DD7" w:rsidP="00C640CD">
            <w:pPr>
              <w:pStyle w:val="Default"/>
            </w:pPr>
            <w:r>
              <w:t>Cleaned data set</w:t>
            </w:r>
          </w:p>
        </w:tc>
        <w:tc>
          <w:tcPr>
            <w:tcW w:w="1368" w:type="dxa"/>
          </w:tcPr>
          <w:p w14:paraId="0715C7FA" w14:textId="37D9B692" w:rsidR="00C640CD" w:rsidRPr="00932154" w:rsidRDefault="00E24DD7" w:rsidP="00C640CD">
            <w:pPr>
              <w:pStyle w:val="Default"/>
            </w:pPr>
            <w:r>
              <w:t>Survey/interview data</w:t>
            </w:r>
          </w:p>
        </w:tc>
        <w:tc>
          <w:tcPr>
            <w:tcW w:w="2720" w:type="dxa"/>
          </w:tcPr>
          <w:p w14:paraId="69A57AD7" w14:textId="226B24D1" w:rsidR="00C640CD" w:rsidRPr="00932154" w:rsidRDefault="00C640CD" w:rsidP="00C640CD">
            <w:pPr>
              <w:pStyle w:val="Default"/>
            </w:pPr>
            <w:r>
              <w:t>Survey/interview</w:t>
            </w:r>
          </w:p>
        </w:tc>
        <w:tc>
          <w:tcPr>
            <w:tcW w:w="1039" w:type="dxa"/>
          </w:tcPr>
          <w:p w14:paraId="0C666CB7" w14:textId="77777777" w:rsidR="00C640CD" w:rsidRDefault="00C640CD" w:rsidP="00C640CD">
            <w:pPr>
              <w:pStyle w:val="Default"/>
            </w:pPr>
            <w:r>
              <w:t>11/2020</w:t>
            </w:r>
          </w:p>
        </w:tc>
      </w:tr>
      <w:tr w:rsidR="00C640CD" w:rsidRPr="00932154" w14:paraId="00581644" w14:textId="77777777" w:rsidTr="00C640CD">
        <w:tc>
          <w:tcPr>
            <w:tcW w:w="2228" w:type="dxa"/>
          </w:tcPr>
          <w:p w14:paraId="5BBF1516" w14:textId="77777777" w:rsidR="00C640CD" w:rsidRDefault="00C640CD" w:rsidP="00C640CD">
            <w:pPr>
              <w:pStyle w:val="Default"/>
              <w:numPr>
                <w:ilvl w:val="0"/>
                <w:numId w:val="4"/>
              </w:numPr>
            </w:pPr>
            <w:r>
              <w:t>Complete &amp; submit report</w:t>
            </w:r>
          </w:p>
        </w:tc>
        <w:tc>
          <w:tcPr>
            <w:tcW w:w="2545" w:type="dxa"/>
          </w:tcPr>
          <w:p w14:paraId="4C98E70D" w14:textId="02594C26" w:rsidR="00C640CD" w:rsidRPr="00932154" w:rsidRDefault="00E24DD7" w:rsidP="00C640CD">
            <w:pPr>
              <w:pStyle w:val="Default"/>
            </w:pPr>
            <w:r>
              <w:t>Final report</w:t>
            </w:r>
          </w:p>
        </w:tc>
        <w:tc>
          <w:tcPr>
            <w:tcW w:w="1368" w:type="dxa"/>
          </w:tcPr>
          <w:p w14:paraId="20E4B371" w14:textId="77777777" w:rsidR="00C640CD" w:rsidRPr="00932154" w:rsidRDefault="00C640CD" w:rsidP="00C640CD">
            <w:pPr>
              <w:pStyle w:val="Default"/>
            </w:pPr>
          </w:p>
        </w:tc>
        <w:tc>
          <w:tcPr>
            <w:tcW w:w="2720" w:type="dxa"/>
          </w:tcPr>
          <w:p w14:paraId="00C4C81A" w14:textId="77777777" w:rsidR="00C640CD" w:rsidRPr="00932154" w:rsidRDefault="00C640CD" w:rsidP="00C640CD">
            <w:pPr>
              <w:pStyle w:val="Default"/>
            </w:pPr>
          </w:p>
        </w:tc>
        <w:tc>
          <w:tcPr>
            <w:tcW w:w="1039" w:type="dxa"/>
          </w:tcPr>
          <w:p w14:paraId="183D3CF4" w14:textId="77777777" w:rsidR="00C640CD" w:rsidRDefault="00C640CD" w:rsidP="00C640CD">
            <w:pPr>
              <w:pStyle w:val="Default"/>
            </w:pPr>
            <w:r>
              <w:t>3/2021</w:t>
            </w:r>
          </w:p>
        </w:tc>
      </w:tr>
    </w:tbl>
    <w:p w14:paraId="4E5AE177" w14:textId="77777777" w:rsidR="009F13D1" w:rsidRDefault="009F13D1" w:rsidP="009F13D1">
      <w:pPr>
        <w:pStyle w:val="Default"/>
        <w:rPr>
          <w:b/>
        </w:rPr>
      </w:pPr>
    </w:p>
    <w:p w14:paraId="0F88819E" w14:textId="77777777" w:rsidR="009F13D1" w:rsidRDefault="009F13D1" w:rsidP="009F13D1">
      <w:pPr>
        <w:pStyle w:val="Default"/>
        <w:ind w:left="1080"/>
        <w:rPr>
          <w:b/>
        </w:rPr>
      </w:pPr>
    </w:p>
    <w:p w14:paraId="02E13962" w14:textId="77777777" w:rsidR="009F13D1" w:rsidRPr="00A55767" w:rsidRDefault="009F13D1" w:rsidP="009F13D1">
      <w:pPr>
        <w:pStyle w:val="ListParagraph"/>
        <w:numPr>
          <w:ilvl w:val="0"/>
          <w:numId w:val="1"/>
        </w:numPr>
        <w:tabs>
          <w:tab w:val="left" w:pos="360"/>
        </w:tabs>
        <w:contextualSpacing/>
        <w:rPr>
          <w:b/>
          <w:sz w:val="24"/>
          <w:szCs w:val="24"/>
          <w:u w:val="single"/>
        </w:rPr>
      </w:pPr>
      <w:r w:rsidRPr="00A55767">
        <w:rPr>
          <w:b/>
          <w:sz w:val="24"/>
          <w:szCs w:val="24"/>
        </w:rPr>
        <w:t>Data Management Plan</w:t>
      </w:r>
    </w:p>
    <w:p w14:paraId="156313CF" w14:textId="77777777" w:rsidR="009F13D1" w:rsidRPr="00A26BBF" w:rsidRDefault="009F13D1" w:rsidP="009F13D1">
      <w:pPr>
        <w:pStyle w:val="ListParagraph"/>
        <w:numPr>
          <w:ilvl w:val="1"/>
          <w:numId w:val="1"/>
        </w:numPr>
        <w:tabs>
          <w:tab w:val="left" w:pos="360"/>
        </w:tabs>
        <w:ind w:left="1080"/>
        <w:contextualSpacing/>
        <w:rPr>
          <w:sz w:val="24"/>
          <w:szCs w:val="24"/>
          <w:u w:val="single"/>
        </w:rPr>
      </w:pPr>
      <w:r>
        <w:rPr>
          <w:sz w:val="24"/>
          <w:szCs w:val="24"/>
        </w:rPr>
        <w:t>Line list data of investigations not meeting the NTIP objectives will be accessed from SAMS via a secure login.  Line list data do not include any personally identifiable information (PII)</w:t>
      </w:r>
    </w:p>
    <w:p w14:paraId="14FBB050" w14:textId="77777777" w:rsidR="009F13D1" w:rsidRPr="008367F9" w:rsidRDefault="009F13D1" w:rsidP="009F13D1">
      <w:pPr>
        <w:pStyle w:val="ListParagraph"/>
        <w:numPr>
          <w:ilvl w:val="1"/>
          <w:numId w:val="1"/>
        </w:numPr>
        <w:tabs>
          <w:tab w:val="left" w:pos="360"/>
        </w:tabs>
        <w:ind w:left="1080"/>
        <w:contextualSpacing/>
        <w:rPr>
          <w:sz w:val="24"/>
          <w:szCs w:val="24"/>
          <w:u w:val="single"/>
        </w:rPr>
      </w:pPr>
      <w:r>
        <w:rPr>
          <w:sz w:val="24"/>
          <w:szCs w:val="24"/>
        </w:rPr>
        <w:t>Surveillance data for patients with active TB disease will be collected by and accessed from the Orpheus via a secure login. These data will not be disseminated outside of the state TB program.</w:t>
      </w:r>
    </w:p>
    <w:p w14:paraId="16A7BBD1" w14:textId="77777777" w:rsidR="009F13D1" w:rsidRPr="00A26BBF" w:rsidRDefault="009F13D1" w:rsidP="009F13D1">
      <w:pPr>
        <w:pStyle w:val="ListParagraph"/>
        <w:numPr>
          <w:ilvl w:val="1"/>
          <w:numId w:val="1"/>
        </w:numPr>
        <w:tabs>
          <w:tab w:val="left" w:pos="360"/>
        </w:tabs>
        <w:ind w:left="1080"/>
        <w:contextualSpacing/>
        <w:rPr>
          <w:sz w:val="24"/>
          <w:szCs w:val="24"/>
          <w:u w:val="single"/>
        </w:rPr>
      </w:pPr>
      <w:r>
        <w:rPr>
          <w:sz w:val="24"/>
          <w:szCs w:val="24"/>
        </w:rPr>
        <w:t>B-waiver notification data will be accessed via secure SAMS login from the Electronic Disease Notification system. Data for analysis will be download and saved to a secure, password-protected file structure behind the Oregon Health Authority firewall.</w:t>
      </w:r>
    </w:p>
    <w:p w14:paraId="3BDCF0BB" w14:textId="77777777" w:rsidR="009F13D1" w:rsidRPr="00A26BBF" w:rsidRDefault="009F13D1" w:rsidP="009F13D1">
      <w:pPr>
        <w:pStyle w:val="ListParagraph"/>
        <w:numPr>
          <w:ilvl w:val="1"/>
          <w:numId w:val="1"/>
        </w:numPr>
        <w:tabs>
          <w:tab w:val="left" w:pos="360"/>
        </w:tabs>
        <w:ind w:left="1080"/>
        <w:contextualSpacing/>
        <w:rPr>
          <w:sz w:val="24"/>
          <w:szCs w:val="24"/>
          <w:u w:val="single"/>
        </w:rPr>
      </w:pPr>
      <w:r>
        <w:rPr>
          <w:sz w:val="24"/>
          <w:szCs w:val="24"/>
        </w:rPr>
        <w:t>LPHA point-of-contact information will be collected by utilizing already developed contact lists collected by TBOHA.</w:t>
      </w:r>
    </w:p>
    <w:p w14:paraId="260C0B6E" w14:textId="77777777" w:rsidR="009F13D1" w:rsidRPr="00C071DC" w:rsidRDefault="009F13D1" w:rsidP="009F13D1">
      <w:pPr>
        <w:pStyle w:val="ListParagraph"/>
        <w:numPr>
          <w:ilvl w:val="1"/>
          <w:numId w:val="1"/>
        </w:numPr>
        <w:tabs>
          <w:tab w:val="left" w:pos="360"/>
        </w:tabs>
        <w:ind w:left="1080"/>
        <w:contextualSpacing/>
        <w:rPr>
          <w:sz w:val="24"/>
          <w:szCs w:val="24"/>
          <w:u w:val="single"/>
        </w:rPr>
      </w:pPr>
      <w:r>
        <w:rPr>
          <w:sz w:val="24"/>
          <w:szCs w:val="24"/>
        </w:rPr>
        <w:t xml:space="preserve">Point-of-contact information will be stored in a secure folder within a programmatic shared drive.  Access to this drive is only granted to state employees within the state TB program.  </w:t>
      </w:r>
    </w:p>
    <w:p w14:paraId="371F381A" w14:textId="77777777" w:rsidR="009F13D1" w:rsidRDefault="009F13D1"/>
    <w:sectPr w:rsidR="009F1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357E4"/>
    <w:multiLevelType w:val="hybridMultilevel"/>
    <w:tmpl w:val="CEDA3B38"/>
    <w:lvl w:ilvl="0" w:tplc="9F4EF04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143E10"/>
    <w:multiLevelType w:val="hybridMultilevel"/>
    <w:tmpl w:val="5F0EFE82"/>
    <w:lvl w:ilvl="0" w:tplc="C6AC6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8155B0"/>
    <w:multiLevelType w:val="hybridMultilevel"/>
    <w:tmpl w:val="799A82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8AD2A38"/>
    <w:multiLevelType w:val="hybridMultilevel"/>
    <w:tmpl w:val="AEF45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D1"/>
    <w:rsid w:val="009D2076"/>
    <w:rsid w:val="009F13D1"/>
    <w:rsid w:val="00C640CD"/>
    <w:rsid w:val="00E24DD7"/>
    <w:rsid w:val="00F14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50DF1"/>
  <w15:chartTrackingRefBased/>
  <w15:docId w15:val="{680A6DE3-375C-4D85-ACE7-91BB5C4D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13D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13D1"/>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uiPriority w:val="99"/>
    <w:unhideWhenUsed/>
    <w:rsid w:val="009F13D1"/>
    <w:rPr>
      <w:color w:val="0000FF"/>
      <w:u w:val="single"/>
    </w:rPr>
  </w:style>
  <w:style w:type="table" w:styleId="TableGrid">
    <w:name w:val="Table Grid"/>
    <w:basedOn w:val="TableNormal"/>
    <w:uiPriority w:val="59"/>
    <w:rsid w:val="009F13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3D1"/>
    <w:pPr>
      <w:spacing w:after="0" w:line="240" w:lineRule="auto"/>
    </w:pPr>
    <w:rPr>
      <w:i/>
    </w:rPr>
  </w:style>
  <w:style w:type="character" w:styleId="FollowedHyperlink">
    <w:name w:val="FollowedHyperlink"/>
    <w:basedOn w:val="DefaultParagraphFont"/>
    <w:uiPriority w:val="99"/>
    <w:semiHidden/>
    <w:unhideWhenUsed/>
    <w:rsid w:val="009F13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tb/programs/evaluation/indicators/defaul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Ariail Kiley S</dc:creator>
  <cp:keywords/>
  <dc:description/>
  <cp:lastModifiedBy>BEHM Heidi</cp:lastModifiedBy>
  <cp:revision>4</cp:revision>
  <dcterms:created xsi:type="dcterms:W3CDTF">2020-03-16T22:27:00Z</dcterms:created>
  <dcterms:modified xsi:type="dcterms:W3CDTF">2020-05-26T16:40:00Z</dcterms:modified>
</cp:coreProperties>
</file>