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E228B5" w14:textId="264EBC45" w:rsidR="009C6984" w:rsidRPr="00C21885" w:rsidRDefault="005828EF" w:rsidP="003777F5">
      <w:pPr>
        <w:pStyle w:val="NoSpacing"/>
        <w:rPr>
          <w:sz w:val="24"/>
          <w:szCs w:val="24"/>
        </w:rPr>
      </w:pPr>
      <w:bookmarkStart w:id="0" w:name="_GoBack"/>
      <w:bookmarkEnd w:id="0"/>
      <w:r w:rsidRPr="00C21885">
        <w:rPr>
          <w:sz w:val="24"/>
          <w:szCs w:val="24"/>
        </w:rPr>
        <w:t xml:space="preserve">The </w:t>
      </w:r>
      <w:r w:rsidR="003777F5" w:rsidRPr="00C21885">
        <w:rPr>
          <w:sz w:val="24"/>
          <w:szCs w:val="24"/>
        </w:rPr>
        <w:t xml:space="preserve">Tuberculosis Control Program (TBCP) of County of Los Angeles </w:t>
      </w:r>
      <w:r w:rsidR="00EE08EF" w:rsidRPr="00C21885">
        <w:rPr>
          <w:sz w:val="24"/>
          <w:szCs w:val="24"/>
        </w:rPr>
        <w:t xml:space="preserve">(LAC) </w:t>
      </w:r>
      <w:r w:rsidR="003777F5" w:rsidRPr="00C21885">
        <w:rPr>
          <w:sz w:val="24"/>
          <w:szCs w:val="24"/>
        </w:rPr>
        <w:t xml:space="preserve">Department of Public Health (DPH) </w:t>
      </w:r>
      <w:r w:rsidRPr="00C21885">
        <w:rPr>
          <w:sz w:val="24"/>
          <w:szCs w:val="24"/>
        </w:rPr>
        <w:t>submits this D</w:t>
      </w:r>
      <w:r w:rsidR="003777F5" w:rsidRPr="00C21885">
        <w:rPr>
          <w:sz w:val="24"/>
          <w:szCs w:val="24"/>
        </w:rPr>
        <w:t xml:space="preserve">ata </w:t>
      </w:r>
      <w:r w:rsidRPr="00C21885">
        <w:rPr>
          <w:sz w:val="24"/>
          <w:szCs w:val="24"/>
        </w:rPr>
        <w:t>M</w:t>
      </w:r>
      <w:r w:rsidR="003777F5" w:rsidRPr="00C21885">
        <w:rPr>
          <w:sz w:val="24"/>
          <w:szCs w:val="24"/>
        </w:rPr>
        <w:t xml:space="preserve">anagement </w:t>
      </w:r>
      <w:r w:rsidRPr="00C21885">
        <w:rPr>
          <w:sz w:val="24"/>
          <w:szCs w:val="24"/>
        </w:rPr>
        <w:t>Pl</w:t>
      </w:r>
      <w:r w:rsidR="003777F5" w:rsidRPr="00C21885">
        <w:rPr>
          <w:sz w:val="24"/>
          <w:szCs w:val="24"/>
        </w:rPr>
        <w:t xml:space="preserve">an </w:t>
      </w:r>
      <w:r w:rsidRPr="00C21885">
        <w:rPr>
          <w:sz w:val="24"/>
          <w:szCs w:val="24"/>
        </w:rPr>
        <w:t>in compliance with</w:t>
      </w:r>
      <w:r w:rsidR="003777F5" w:rsidRPr="00C21885">
        <w:rPr>
          <w:sz w:val="24"/>
          <w:szCs w:val="24"/>
        </w:rPr>
        <w:t xml:space="preserve"> the terms of and activities expected </w:t>
      </w:r>
      <w:r w:rsidR="00EE08EF" w:rsidRPr="00C21885">
        <w:rPr>
          <w:sz w:val="24"/>
          <w:szCs w:val="24"/>
        </w:rPr>
        <w:t xml:space="preserve">by the Centers for Disease Control and Prevention (CDC) </w:t>
      </w:r>
      <w:r w:rsidR="003777F5" w:rsidRPr="00C21885">
        <w:rPr>
          <w:sz w:val="24"/>
          <w:szCs w:val="24"/>
        </w:rPr>
        <w:t xml:space="preserve">under the </w:t>
      </w:r>
      <w:r w:rsidRPr="00C21885">
        <w:rPr>
          <w:sz w:val="24"/>
          <w:szCs w:val="24"/>
        </w:rPr>
        <w:t>N</w:t>
      </w:r>
      <w:r w:rsidR="003777F5" w:rsidRPr="00C21885">
        <w:rPr>
          <w:sz w:val="24"/>
          <w:szCs w:val="24"/>
        </w:rPr>
        <w:t xml:space="preserve">otice of </w:t>
      </w:r>
      <w:r w:rsidRPr="00C21885">
        <w:rPr>
          <w:sz w:val="24"/>
          <w:szCs w:val="24"/>
        </w:rPr>
        <w:t>F</w:t>
      </w:r>
      <w:r w:rsidR="003777F5" w:rsidRPr="00C21885">
        <w:rPr>
          <w:sz w:val="24"/>
          <w:szCs w:val="24"/>
        </w:rPr>
        <w:t xml:space="preserve">unding </w:t>
      </w:r>
      <w:r w:rsidRPr="00C21885">
        <w:rPr>
          <w:sz w:val="24"/>
          <w:szCs w:val="24"/>
        </w:rPr>
        <w:t>O</w:t>
      </w:r>
      <w:r w:rsidR="003777F5" w:rsidRPr="00C21885">
        <w:rPr>
          <w:sz w:val="24"/>
          <w:szCs w:val="24"/>
        </w:rPr>
        <w:t xml:space="preserve">pportunity (NOFO) </w:t>
      </w:r>
      <w:r w:rsidRPr="00C21885">
        <w:rPr>
          <w:sz w:val="24"/>
          <w:szCs w:val="24"/>
        </w:rPr>
        <w:t>CDC-RFA-PS20-2001</w:t>
      </w:r>
      <w:r w:rsidR="003777F5" w:rsidRPr="00C21885">
        <w:rPr>
          <w:sz w:val="24"/>
          <w:szCs w:val="24"/>
        </w:rPr>
        <w:t xml:space="preserve">. </w:t>
      </w:r>
    </w:p>
    <w:p w14:paraId="15835C37" w14:textId="7C732664" w:rsidR="00F36F01" w:rsidRPr="00C21885" w:rsidRDefault="00EE08EF" w:rsidP="00A87656">
      <w:pPr>
        <w:pStyle w:val="Heading1"/>
        <w:ind w:left="360"/>
        <w:rPr>
          <w:szCs w:val="24"/>
        </w:rPr>
      </w:pPr>
      <w:r w:rsidRPr="00C21885">
        <w:rPr>
          <w:szCs w:val="24"/>
        </w:rPr>
        <w:t>DESCRIPTION OF DATA COLLECTED AND GENERATED THROUGH PROGRAMMATIC ACTIVITIES</w:t>
      </w:r>
    </w:p>
    <w:p w14:paraId="6B757535" w14:textId="712F5685" w:rsidR="00566D15" w:rsidRPr="00C21885" w:rsidRDefault="00F36F01" w:rsidP="00674644">
      <w:pPr>
        <w:pStyle w:val="Heading2"/>
        <w:numPr>
          <w:ilvl w:val="0"/>
          <w:numId w:val="6"/>
        </w:numPr>
        <w:ind w:left="360"/>
        <w:rPr>
          <w:szCs w:val="24"/>
        </w:rPr>
      </w:pPr>
      <w:r w:rsidRPr="00C21885">
        <w:rPr>
          <w:szCs w:val="24"/>
        </w:rPr>
        <w:t>T</w:t>
      </w:r>
      <w:r w:rsidR="009C6984" w:rsidRPr="00C21885">
        <w:rPr>
          <w:szCs w:val="24"/>
        </w:rPr>
        <w:t>uberculosis Registry Information Management System (TRIMS)</w:t>
      </w:r>
    </w:p>
    <w:p w14:paraId="141E5A2F" w14:textId="465E751D" w:rsidR="00F50E54" w:rsidRPr="00C21885" w:rsidRDefault="009C6984" w:rsidP="00674644">
      <w:pPr>
        <w:pStyle w:val="NoSpacing"/>
        <w:rPr>
          <w:b/>
          <w:sz w:val="24"/>
          <w:szCs w:val="24"/>
        </w:rPr>
      </w:pPr>
      <w:r w:rsidRPr="00C21885">
        <w:rPr>
          <w:sz w:val="24"/>
          <w:szCs w:val="24"/>
        </w:rPr>
        <w:t xml:space="preserve">TRIMS is a mission-critical surveillance system </w:t>
      </w:r>
      <w:r w:rsidR="00EE08EF" w:rsidRPr="00C21885">
        <w:rPr>
          <w:sz w:val="24"/>
          <w:szCs w:val="24"/>
        </w:rPr>
        <w:t xml:space="preserve">developed by the TBCP </w:t>
      </w:r>
      <w:r w:rsidRPr="00C21885">
        <w:rPr>
          <w:sz w:val="24"/>
          <w:szCs w:val="24"/>
        </w:rPr>
        <w:t>to collect and report data pertaining to the incidence and prevalence of TB disease</w:t>
      </w:r>
      <w:r w:rsidR="00EE08EF" w:rsidRPr="00C21885">
        <w:rPr>
          <w:sz w:val="24"/>
          <w:szCs w:val="24"/>
        </w:rPr>
        <w:t>, the evaluation of contacts, and the evaluation of target populations for Latent TB Infection (LTBI)</w:t>
      </w:r>
      <w:r w:rsidRPr="00C21885">
        <w:rPr>
          <w:sz w:val="24"/>
          <w:szCs w:val="24"/>
        </w:rPr>
        <w:t xml:space="preserve"> in LAC</w:t>
      </w:r>
      <w:r w:rsidR="00EE08EF" w:rsidRPr="00C21885">
        <w:rPr>
          <w:sz w:val="24"/>
          <w:szCs w:val="24"/>
        </w:rPr>
        <w:t>.</w:t>
      </w:r>
      <w:r w:rsidR="00F50E54" w:rsidRPr="00C21885">
        <w:rPr>
          <w:sz w:val="24"/>
          <w:szCs w:val="24"/>
        </w:rPr>
        <w:t xml:space="preserve"> </w:t>
      </w:r>
      <w:r w:rsidR="00EE08EF" w:rsidRPr="00C21885">
        <w:rPr>
          <w:sz w:val="24"/>
          <w:szCs w:val="24"/>
        </w:rPr>
        <w:t>C</w:t>
      </w:r>
      <w:r w:rsidR="00F50E54" w:rsidRPr="00C21885">
        <w:rPr>
          <w:sz w:val="24"/>
          <w:szCs w:val="24"/>
        </w:rPr>
        <w:t xml:space="preserve">ore functions of </w:t>
      </w:r>
      <w:r w:rsidR="00EE08EF" w:rsidRPr="00C21885">
        <w:rPr>
          <w:sz w:val="24"/>
          <w:szCs w:val="24"/>
        </w:rPr>
        <w:t xml:space="preserve">the </w:t>
      </w:r>
      <w:r w:rsidR="00F50E54" w:rsidRPr="00C21885">
        <w:rPr>
          <w:sz w:val="24"/>
          <w:szCs w:val="24"/>
        </w:rPr>
        <w:t>TBCP</w:t>
      </w:r>
      <w:r w:rsidR="00EE08EF" w:rsidRPr="00C21885">
        <w:rPr>
          <w:sz w:val="24"/>
          <w:szCs w:val="24"/>
        </w:rPr>
        <w:t xml:space="preserve"> and other entities within DPH</w:t>
      </w:r>
      <w:r w:rsidR="00BF56C5" w:rsidRPr="00C21885">
        <w:rPr>
          <w:sz w:val="24"/>
          <w:szCs w:val="24"/>
        </w:rPr>
        <w:t xml:space="preserve"> are supported through TRIMS.</w:t>
      </w:r>
      <w:r w:rsidRPr="00C21885">
        <w:rPr>
          <w:sz w:val="24"/>
          <w:szCs w:val="24"/>
        </w:rPr>
        <w:t xml:space="preserve"> </w:t>
      </w:r>
      <w:r w:rsidR="00EE08EF" w:rsidRPr="00C21885">
        <w:rPr>
          <w:sz w:val="24"/>
          <w:szCs w:val="24"/>
        </w:rPr>
        <w:t xml:space="preserve">The </w:t>
      </w:r>
      <w:r w:rsidRPr="00C21885">
        <w:rPr>
          <w:sz w:val="24"/>
          <w:szCs w:val="24"/>
        </w:rPr>
        <w:t>CDC and California Department of Public Health (CDPH) mandate the reporting of all TB cases</w:t>
      </w:r>
      <w:r w:rsidR="00651DEB" w:rsidRPr="00C21885">
        <w:rPr>
          <w:sz w:val="24"/>
          <w:szCs w:val="24"/>
        </w:rPr>
        <w:t>, and TRIMS produces a Report of Verified Case of Tuberculosis</w:t>
      </w:r>
      <w:r w:rsidR="008917D6" w:rsidRPr="00C21885">
        <w:rPr>
          <w:sz w:val="24"/>
          <w:szCs w:val="24"/>
        </w:rPr>
        <w:t xml:space="preserve"> (RVCT)</w:t>
      </w:r>
      <w:r w:rsidR="00651DEB" w:rsidRPr="00C21885">
        <w:rPr>
          <w:sz w:val="24"/>
          <w:szCs w:val="24"/>
        </w:rPr>
        <w:t xml:space="preserve"> data record and facsimile output report</w:t>
      </w:r>
      <w:r w:rsidRPr="00C21885">
        <w:rPr>
          <w:sz w:val="24"/>
          <w:szCs w:val="24"/>
        </w:rPr>
        <w:t xml:space="preserve">. TRIMS is the system of record from which epidemiological statistics are generated for </w:t>
      </w:r>
      <w:r w:rsidR="00651DEB" w:rsidRPr="00C21885">
        <w:rPr>
          <w:sz w:val="24"/>
          <w:szCs w:val="24"/>
        </w:rPr>
        <w:t xml:space="preserve">annual progress </w:t>
      </w:r>
      <w:r w:rsidRPr="00C21885">
        <w:rPr>
          <w:sz w:val="24"/>
          <w:szCs w:val="24"/>
        </w:rPr>
        <w:t xml:space="preserve">reports to the CDC, </w:t>
      </w:r>
      <w:r w:rsidR="00AC4BFF" w:rsidRPr="00C21885">
        <w:rPr>
          <w:sz w:val="24"/>
          <w:szCs w:val="24"/>
        </w:rPr>
        <w:t xml:space="preserve">including </w:t>
      </w:r>
      <w:r w:rsidRPr="00C21885">
        <w:rPr>
          <w:sz w:val="24"/>
          <w:szCs w:val="24"/>
        </w:rPr>
        <w:t>performance</w:t>
      </w:r>
      <w:r w:rsidR="00AC4BFF" w:rsidRPr="00C21885">
        <w:rPr>
          <w:sz w:val="24"/>
          <w:szCs w:val="24"/>
        </w:rPr>
        <w:t xml:space="preserve"> measures</w:t>
      </w:r>
      <w:r w:rsidRPr="00C21885">
        <w:rPr>
          <w:sz w:val="24"/>
          <w:szCs w:val="24"/>
        </w:rPr>
        <w:t xml:space="preserve"> based on the National TB Indicators Project (NTIP)</w:t>
      </w:r>
      <w:r w:rsidR="00AC4BFF" w:rsidRPr="00C21885">
        <w:rPr>
          <w:sz w:val="24"/>
          <w:szCs w:val="24"/>
        </w:rPr>
        <w:t xml:space="preserve"> and the Aggregate Report for Program Evaluation – Contact Investigations (ARPE-CI)</w:t>
      </w:r>
      <w:r w:rsidRPr="00C21885">
        <w:rPr>
          <w:sz w:val="24"/>
          <w:szCs w:val="24"/>
        </w:rPr>
        <w:t xml:space="preserve">. TRIMS is designed to support these reporting requirements and provides a platform for the collection of additional information specific to LAC. </w:t>
      </w:r>
      <w:r w:rsidR="008917D6" w:rsidRPr="00C21885">
        <w:rPr>
          <w:sz w:val="24"/>
          <w:szCs w:val="24"/>
        </w:rPr>
        <w:t>A patient record created</w:t>
      </w:r>
      <w:r w:rsidR="00F50E54" w:rsidRPr="00C21885">
        <w:rPr>
          <w:sz w:val="24"/>
          <w:szCs w:val="24"/>
        </w:rPr>
        <w:t xml:space="preserve"> TRIMS</w:t>
      </w:r>
      <w:r w:rsidR="008917D6" w:rsidRPr="00C21885">
        <w:rPr>
          <w:sz w:val="24"/>
          <w:szCs w:val="24"/>
        </w:rPr>
        <w:t xml:space="preserve"> </w:t>
      </w:r>
      <w:r w:rsidR="00F50E54" w:rsidRPr="00C21885">
        <w:rPr>
          <w:sz w:val="24"/>
          <w:szCs w:val="24"/>
        </w:rPr>
        <w:t>remain</w:t>
      </w:r>
      <w:r w:rsidR="008917D6" w:rsidRPr="00C21885">
        <w:rPr>
          <w:sz w:val="24"/>
          <w:szCs w:val="24"/>
        </w:rPr>
        <w:t>s</w:t>
      </w:r>
      <w:r w:rsidR="00F50E54" w:rsidRPr="00C21885">
        <w:rPr>
          <w:sz w:val="24"/>
          <w:szCs w:val="24"/>
        </w:rPr>
        <w:t xml:space="preserve"> there indefinitely, allowing TBCP to track a patient from initial screening through confirmation of TB disease</w:t>
      </w:r>
      <w:r w:rsidR="008917D6" w:rsidRPr="00C21885">
        <w:rPr>
          <w:sz w:val="24"/>
          <w:szCs w:val="24"/>
        </w:rPr>
        <w:t xml:space="preserve">, in addition to storing </w:t>
      </w:r>
      <w:r w:rsidR="00F50E54" w:rsidRPr="00C21885">
        <w:rPr>
          <w:sz w:val="24"/>
          <w:szCs w:val="24"/>
        </w:rPr>
        <w:t>multiple</w:t>
      </w:r>
      <w:r w:rsidR="00AC4BFF" w:rsidRPr="00C21885">
        <w:rPr>
          <w:sz w:val="24"/>
          <w:szCs w:val="24"/>
        </w:rPr>
        <w:t xml:space="preserve"> evaluations for TB infection or </w:t>
      </w:r>
      <w:r w:rsidR="00F50E54" w:rsidRPr="00C21885">
        <w:rPr>
          <w:sz w:val="24"/>
          <w:szCs w:val="24"/>
        </w:rPr>
        <w:t xml:space="preserve">TB disease over many years. </w:t>
      </w:r>
    </w:p>
    <w:p w14:paraId="6B766E26" w14:textId="77777777" w:rsidR="009C6984" w:rsidRPr="00C21885" w:rsidRDefault="009C6984" w:rsidP="009C6984">
      <w:pPr>
        <w:pStyle w:val="NoSpacing"/>
        <w:rPr>
          <w:sz w:val="24"/>
          <w:szCs w:val="24"/>
        </w:rPr>
      </w:pPr>
    </w:p>
    <w:p w14:paraId="396CA709" w14:textId="77777777" w:rsidR="00F50E54" w:rsidRPr="00C21885" w:rsidRDefault="00F50E54" w:rsidP="00674644">
      <w:pPr>
        <w:pStyle w:val="Heading2"/>
        <w:numPr>
          <w:ilvl w:val="0"/>
          <w:numId w:val="6"/>
        </w:numPr>
        <w:ind w:left="360"/>
        <w:rPr>
          <w:szCs w:val="24"/>
        </w:rPr>
      </w:pPr>
      <w:r w:rsidRPr="00C21885">
        <w:rPr>
          <w:szCs w:val="24"/>
        </w:rPr>
        <w:t>Case Management and</w:t>
      </w:r>
      <w:r w:rsidR="0041568E" w:rsidRPr="00C21885">
        <w:rPr>
          <w:szCs w:val="24"/>
        </w:rPr>
        <w:t xml:space="preserve"> Processing</w:t>
      </w:r>
      <w:r w:rsidRPr="00C21885">
        <w:rPr>
          <w:szCs w:val="24"/>
        </w:rPr>
        <w:t xml:space="preserve"> </w:t>
      </w:r>
      <w:r w:rsidR="0041568E" w:rsidRPr="00C21885">
        <w:rPr>
          <w:szCs w:val="24"/>
        </w:rPr>
        <w:t xml:space="preserve">System </w:t>
      </w:r>
      <w:r w:rsidRPr="00C21885">
        <w:rPr>
          <w:szCs w:val="24"/>
        </w:rPr>
        <w:t>(CMaP)</w:t>
      </w:r>
    </w:p>
    <w:p w14:paraId="1850C83B" w14:textId="47526352" w:rsidR="00F50E54" w:rsidRPr="00C21885" w:rsidRDefault="00F50E54" w:rsidP="00674644">
      <w:pPr>
        <w:pStyle w:val="NoSpacing"/>
        <w:rPr>
          <w:sz w:val="24"/>
          <w:szCs w:val="24"/>
        </w:rPr>
      </w:pPr>
      <w:r w:rsidRPr="00C21885">
        <w:rPr>
          <w:sz w:val="24"/>
          <w:szCs w:val="24"/>
        </w:rPr>
        <w:t xml:space="preserve">CMaP is a </w:t>
      </w:r>
      <w:r w:rsidR="00AC1867" w:rsidRPr="00C21885">
        <w:rPr>
          <w:sz w:val="24"/>
          <w:szCs w:val="24"/>
        </w:rPr>
        <w:t>case management</w:t>
      </w:r>
      <w:r w:rsidRPr="00C21885">
        <w:rPr>
          <w:sz w:val="24"/>
          <w:szCs w:val="24"/>
        </w:rPr>
        <w:t xml:space="preserve"> system used by the district health nurses to manage TB case investigations</w:t>
      </w:r>
      <w:r w:rsidR="00AC1867" w:rsidRPr="00C21885">
        <w:rPr>
          <w:sz w:val="24"/>
          <w:szCs w:val="24"/>
        </w:rPr>
        <w:t xml:space="preserve"> and contact investigations and to measure performance indicators related to contact investigations.</w:t>
      </w:r>
      <w:r w:rsidR="00AC4BFF" w:rsidRPr="00C21885">
        <w:rPr>
          <w:sz w:val="24"/>
          <w:szCs w:val="24"/>
        </w:rPr>
        <w:t xml:space="preserve">  Beginning in 2018, CMaP became the source record for contact evaluation data.  The TBCP extracts these data and combines it with TB case date extracted from TRIMS to produce the ARPE-CI report.</w:t>
      </w:r>
    </w:p>
    <w:p w14:paraId="6E1E4F9B" w14:textId="77777777" w:rsidR="00AC1867" w:rsidRPr="00C21885" w:rsidRDefault="00AC1867" w:rsidP="00F50E54">
      <w:pPr>
        <w:pStyle w:val="NoSpacing"/>
        <w:rPr>
          <w:sz w:val="24"/>
          <w:szCs w:val="24"/>
        </w:rPr>
      </w:pPr>
    </w:p>
    <w:p w14:paraId="6D62766B" w14:textId="768AA162" w:rsidR="00EE3A1C" w:rsidRDefault="00EE3A1C" w:rsidP="00674644">
      <w:pPr>
        <w:pStyle w:val="Heading2"/>
        <w:numPr>
          <w:ilvl w:val="0"/>
          <w:numId w:val="6"/>
        </w:numPr>
        <w:ind w:left="360"/>
        <w:rPr>
          <w:szCs w:val="24"/>
        </w:rPr>
      </w:pPr>
      <w:r>
        <w:rPr>
          <w:szCs w:val="24"/>
        </w:rPr>
        <w:t>California Reportable Disease Information Exchange (CalREDIE) System</w:t>
      </w:r>
    </w:p>
    <w:p w14:paraId="3F5E1E1E" w14:textId="3D88A4CC" w:rsidR="00EE3A1C" w:rsidRDefault="00EE3A1C" w:rsidP="00EE3A1C">
      <w:r>
        <w:t>The TBCP, in addition to other DPH disease control programs, is required by the California Department of Public Health (CDPH) – TB Control Branch (TBCB) to manually enter all RVCT records into CalREDIE to fulfill mandated TB case reporting requirements of the State of California.  The DPH is negotiating with CDPH to re-establish electronic reporting of RVCT data to CalREDIE, which CDPH stopped supporting in calendar year 2011.  At a minimum, the TBCP would prefer to provide CDPH with an electronic file exchanged through a Secure FTP Server site which can imported into CalREDIE via an Ad Hoc Import feature in CalREDIE. The DPH maintains a CalREDIE Data Use and Disclosure Agreement with CDPH.</w:t>
      </w:r>
    </w:p>
    <w:p w14:paraId="2DDC0AC5" w14:textId="77777777" w:rsidR="00EE3A1C" w:rsidRPr="00EE3A1C" w:rsidRDefault="00EE3A1C" w:rsidP="00EE3A1C"/>
    <w:p w14:paraId="1BE0D4C9" w14:textId="797A8C3A" w:rsidR="00AC1867" w:rsidRPr="00C21885" w:rsidRDefault="00AE2CFB" w:rsidP="00674644">
      <w:pPr>
        <w:pStyle w:val="Heading2"/>
        <w:numPr>
          <w:ilvl w:val="0"/>
          <w:numId w:val="6"/>
        </w:numPr>
        <w:ind w:left="360"/>
        <w:rPr>
          <w:szCs w:val="24"/>
        </w:rPr>
      </w:pPr>
      <w:r w:rsidRPr="00C21885">
        <w:rPr>
          <w:szCs w:val="24"/>
        </w:rPr>
        <w:lastRenderedPageBreak/>
        <w:t xml:space="preserve">Integrated Reporting, Investigation, and Surveillance System </w:t>
      </w:r>
      <w:r w:rsidR="00AC1867" w:rsidRPr="00C21885">
        <w:rPr>
          <w:szCs w:val="24"/>
        </w:rPr>
        <w:t>(IRIS)</w:t>
      </w:r>
    </w:p>
    <w:p w14:paraId="1B4FF704" w14:textId="1770C5E8" w:rsidR="00AC1867" w:rsidRPr="00C21885" w:rsidRDefault="00AC4BFF" w:rsidP="00674644">
      <w:pPr>
        <w:pStyle w:val="NoSpacing"/>
        <w:rPr>
          <w:sz w:val="24"/>
          <w:szCs w:val="24"/>
        </w:rPr>
      </w:pPr>
      <w:r w:rsidRPr="00C21885">
        <w:rPr>
          <w:sz w:val="24"/>
          <w:szCs w:val="24"/>
        </w:rPr>
        <w:t xml:space="preserve">The DPH is currently developing </w:t>
      </w:r>
      <w:r w:rsidR="0041568E" w:rsidRPr="00C21885">
        <w:rPr>
          <w:sz w:val="24"/>
          <w:szCs w:val="24"/>
        </w:rPr>
        <w:t>IRIS as a single integrated</w:t>
      </w:r>
      <w:r w:rsidRPr="00C21885">
        <w:rPr>
          <w:sz w:val="24"/>
          <w:szCs w:val="24"/>
        </w:rPr>
        <w:t xml:space="preserve"> public health</w:t>
      </w:r>
      <w:r w:rsidR="0041568E" w:rsidRPr="00C21885">
        <w:rPr>
          <w:sz w:val="24"/>
          <w:szCs w:val="24"/>
        </w:rPr>
        <w:t xml:space="preserve"> surveillance system to </w:t>
      </w:r>
      <w:r w:rsidRPr="00C21885">
        <w:rPr>
          <w:sz w:val="24"/>
          <w:szCs w:val="24"/>
        </w:rPr>
        <w:t xml:space="preserve">be used by all disease control programs, replacing the functionality currently built out in TRIMS and CMaP.  IRIS is being built to </w:t>
      </w:r>
      <w:r w:rsidR="0041568E" w:rsidRPr="00C21885">
        <w:rPr>
          <w:sz w:val="24"/>
          <w:szCs w:val="24"/>
        </w:rPr>
        <w:t>meet operational needs of the D</w:t>
      </w:r>
      <w:r w:rsidRPr="00C21885">
        <w:rPr>
          <w:sz w:val="24"/>
          <w:szCs w:val="24"/>
        </w:rPr>
        <w:t xml:space="preserve">PH, and functionalities </w:t>
      </w:r>
      <w:r w:rsidR="0041568E" w:rsidRPr="00C21885">
        <w:rPr>
          <w:sz w:val="24"/>
          <w:szCs w:val="24"/>
        </w:rPr>
        <w:t xml:space="preserve">will include </w:t>
      </w:r>
      <w:r w:rsidRPr="00C21885">
        <w:rPr>
          <w:sz w:val="24"/>
          <w:szCs w:val="24"/>
        </w:rPr>
        <w:t>electronic laboratory and notifiable dise</w:t>
      </w:r>
      <w:r w:rsidR="0041568E" w:rsidRPr="00C21885">
        <w:rPr>
          <w:sz w:val="24"/>
          <w:szCs w:val="24"/>
        </w:rPr>
        <w:t xml:space="preserve">ase </w:t>
      </w:r>
      <w:r w:rsidRPr="00C21885">
        <w:rPr>
          <w:sz w:val="24"/>
          <w:szCs w:val="24"/>
        </w:rPr>
        <w:t xml:space="preserve">reporting, case </w:t>
      </w:r>
      <w:r w:rsidR="0041568E" w:rsidRPr="00C21885">
        <w:rPr>
          <w:sz w:val="24"/>
          <w:szCs w:val="24"/>
        </w:rPr>
        <w:t>management, contact investigation</w:t>
      </w:r>
      <w:r w:rsidRPr="00C21885">
        <w:rPr>
          <w:sz w:val="24"/>
          <w:szCs w:val="24"/>
        </w:rPr>
        <w:t xml:space="preserve">, genotype cluster investigation, and surveillance of LTBI. </w:t>
      </w:r>
      <w:r w:rsidR="0041568E" w:rsidRPr="00C21885">
        <w:rPr>
          <w:sz w:val="24"/>
          <w:szCs w:val="24"/>
        </w:rPr>
        <w:t>The</w:t>
      </w:r>
      <w:r w:rsidR="008917D6" w:rsidRPr="00C21885">
        <w:rPr>
          <w:sz w:val="24"/>
          <w:szCs w:val="24"/>
        </w:rPr>
        <w:t xml:space="preserve"> system will be able to generate RVCT, ARPE-CI, ARPE-TT, and NTIP data records and output reports.</w:t>
      </w:r>
    </w:p>
    <w:p w14:paraId="65C41FAE" w14:textId="77777777" w:rsidR="0041568E" w:rsidRPr="00C21885" w:rsidRDefault="0041568E" w:rsidP="00AC1867">
      <w:pPr>
        <w:pStyle w:val="NoSpacing"/>
        <w:rPr>
          <w:sz w:val="24"/>
          <w:szCs w:val="24"/>
        </w:rPr>
      </w:pPr>
    </w:p>
    <w:p w14:paraId="30003E23" w14:textId="3A4DA0AE" w:rsidR="00566D15" w:rsidRPr="00C21885" w:rsidRDefault="00F85F76" w:rsidP="00674644">
      <w:pPr>
        <w:pStyle w:val="Heading2"/>
        <w:numPr>
          <w:ilvl w:val="0"/>
          <w:numId w:val="6"/>
        </w:numPr>
        <w:ind w:left="360"/>
        <w:rPr>
          <w:szCs w:val="24"/>
        </w:rPr>
      </w:pPr>
      <w:r w:rsidRPr="00C21885">
        <w:rPr>
          <w:szCs w:val="24"/>
        </w:rPr>
        <w:t xml:space="preserve">TB </w:t>
      </w:r>
      <w:r w:rsidR="002F382D" w:rsidRPr="00C21885">
        <w:rPr>
          <w:szCs w:val="24"/>
        </w:rPr>
        <w:t xml:space="preserve">Patient </w:t>
      </w:r>
      <w:r w:rsidRPr="00C21885">
        <w:rPr>
          <w:szCs w:val="24"/>
        </w:rPr>
        <w:t>Interview Database</w:t>
      </w:r>
      <w:r w:rsidR="00566D15" w:rsidRPr="00C21885">
        <w:rPr>
          <w:szCs w:val="24"/>
        </w:rPr>
        <w:t xml:space="preserve"> </w:t>
      </w:r>
    </w:p>
    <w:p w14:paraId="145C9C16" w14:textId="0F3D720B" w:rsidR="00566D15" w:rsidRPr="00C21885" w:rsidRDefault="002F382D" w:rsidP="00674644">
      <w:pPr>
        <w:pStyle w:val="NoSpacing"/>
        <w:rPr>
          <w:sz w:val="24"/>
          <w:szCs w:val="24"/>
        </w:rPr>
      </w:pPr>
      <w:r w:rsidRPr="00C21885">
        <w:rPr>
          <w:sz w:val="24"/>
          <w:szCs w:val="24"/>
        </w:rPr>
        <w:t xml:space="preserve">The </w:t>
      </w:r>
      <w:r w:rsidR="00F85F76" w:rsidRPr="00C21885">
        <w:rPr>
          <w:sz w:val="24"/>
          <w:szCs w:val="24"/>
        </w:rPr>
        <w:t xml:space="preserve">TBCP Genotype Cluster Investigation and Assessment (GCIA) team </w:t>
      </w:r>
      <w:r w:rsidRPr="00C21885">
        <w:rPr>
          <w:sz w:val="24"/>
          <w:szCs w:val="24"/>
        </w:rPr>
        <w:t xml:space="preserve">provides an in-depth patient </w:t>
      </w:r>
      <w:r w:rsidR="00F85F76" w:rsidRPr="00C21885">
        <w:rPr>
          <w:sz w:val="24"/>
          <w:szCs w:val="24"/>
        </w:rPr>
        <w:t>interview</w:t>
      </w:r>
      <w:r w:rsidRPr="00C21885">
        <w:rPr>
          <w:sz w:val="24"/>
          <w:szCs w:val="24"/>
        </w:rPr>
        <w:t xml:space="preserve"> </w:t>
      </w:r>
      <w:r w:rsidR="00F85F76" w:rsidRPr="00C21885">
        <w:rPr>
          <w:sz w:val="24"/>
          <w:szCs w:val="24"/>
        </w:rPr>
        <w:t>s</w:t>
      </w:r>
      <w:r w:rsidRPr="00C21885">
        <w:rPr>
          <w:sz w:val="24"/>
          <w:szCs w:val="24"/>
        </w:rPr>
        <w:t xml:space="preserve">ervice to support District Public Health Nursing case management and contact investigation activities.  Each </w:t>
      </w:r>
      <w:r w:rsidR="00F85F76" w:rsidRPr="00C21885">
        <w:rPr>
          <w:sz w:val="24"/>
          <w:szCs w:val="24"/>
        </w:rPr>
        <w:t>patient</w:t>
      </w:r>
      <w:r w:rsidRPr="00C21885">
        <w:rPr>
          <w:sz w:val="24"/>
          <w:szCs w:val="24"/>
        </w:rPr>
        <w:t xml:space="preserve"> interview is stored </w:t>
      </w:r>
      <w:r w:rsidR="00F85F76" w:rsidRPr="00C21885">
        <w:rPr>
          <w:sz w:val="24"/>
          <w:szCs w:val="24"/>
        </w:rPr>
        <w:t>in a</w:t>
      </w:r>
      <w:r w:rsidRPr="00C21885">
        <w:rPr>
          <w:sz w:val="24"/>
          <w:szCs w:val="24"/>
        </w:rPr>
        <w:t xml:space="preserve"> dedicated</w:t>
      </w:r>
      <w:r w:rsidR="00F85F76" w:rsidRPr="00C21885">
        <w:rPr>
          <w:sz w:val="24"/>
          <w:szCs w:val="24"/>
        </w:rPr>
        <w:t xml:space="preserve"> Microsoft Access database</w:t>
      </w:r>
      <w:r w:rsidR="00566D15" w:rsidRPr="00C21885">
        <w:rPr>
          <w:sz w:val="24"/>
          <w:szCs w:val="24"/>
        </w:rPr>
        <w:t xml:space="preserve"> on</w:t>
      </w:r>
      <w:r w:rsidR="0092051E" w:rsidRPr="00C21885">
        <w:rPr>
          <w:sz w:val="24"/>
          <w:szCs w:val="24"/>
        </w:rPr>
        <w:t xml:space="preserve"> a</w:t>
      </w:r>
      <w:r w:rsidR="004B3F6B" w:rsidRPr="00C21885">
        <w:rPr>
          <w:sz w:val="24"/>
          <w:szCs w:val="24"/>
        </w:rPr>
        <w:t xml:space="preserve"> </w:t>
      </w:r>
      <w:r w:rsidR="000F2E3D" w:rsidRPr="00C21885">
        <w:rPr>
          <w:sz w:val="24"/>
          <w:szCs w:val="24"/>
        </w:rPr>
        <w:t xml:space="preserve">secured </w:t>
      </w:r>
      <w:r w:rsidR="004B3F6B" w:rsidRPr="00C21885">
        <w:rPr>
          <w:sz w:val="24"/>
          <w:szCs w:val="24"/>
        </w:rPr>
        <w:t xml:space="preserve">Microsoft </w:t>
      </w:r>
      <w:r w:rsidRPr="00C21885">
        <w:rPr>
          <w:sz w:val="24"/>
          <w:szCs w:val="24"/>
        </w:rPr>
        <w:t xml:space="preserve">Active Directory Services </w:t>
      </w:r>
      <w:r w:rsidR="004B3F6B" w:rsidRPr="00C21885">
        <w:rPr>
          <w:sz w:val="24"/>
          <w:szCs w:val="24"/>
        </w:rPr>
        <w:t xml:space="preserve">network </w:t>
      </w:r>
      <w:r w:rsidR="00566D15" w:rsidRPr="00C21885">
        <w:rPr>
          <w:sz w:val="24"/>
          <w:szCs w:val="24"/>
        </w:rPr>
        <w:t>share drive</w:t>
      </w:r>
      <w:r w:rsidRPr="00C21885">
        <w:rPr>
          <w:sz w:val="24"/>
          <w:szCs w:val="24"/>
        </w:rPr>
        <w:t xml:space="preserve"> managed by the DPH Information Systems Division</w:t>
      </w:r>
      <w:r w:rsidR="00B53F2D">
        <w:rPr>
          <w:sz w:val="24"/>
          <w:szCs w:val="24"/>
        </w:rPr>
        <w:t xml:space="preserve"> (PHIS)</w:t>
      </w:r>
      <w:r w:rsidR="00566D15" w:rsidRPr="00C21885">
        <w:rPr>
          <w:sz w:val="24"/>
          <w:szCs w:val="24"/>
        </w:rPr>
        <w:t xml:space="preserve">. </w:t>
      </w:r>
    </w:p>
    <w:p w14:paraId="3FDCA387" w14:textId="77777777" w:rsidR="00566D15" w:rsidRPr="00C21885" w:rsidRDefault="00566D15" w:rsidP="00566D15">
      <w:pPr>
        <w:pStyle w:val="NoSpacing"/>
        <w:rPr>
          <w:sz w:val="24"/>
          <w:szCs w:val="24"/>
        </w:rPr>
      </w:pPr>
    </w:p>
    <w:p w14:paraId="0E7A39FA" w14:textId="4F1A184A" w:rsidR="00566D15" w:rsidRPr="00C21885" w:rsidRDefault="00566D15" w:rsidP="006460CC">
      <w:pPr>
        <w:pStyle w:val="Heading2"/>
        <w:numPr>
          <w:ilvl w:val="0"/>
          <w:numId w:val="6"/>
        </w:numPr>
        <w:ind w:left="360"/>
        <w:rPr>
          <w:szCs w:val="24"/>
        </w:rPr>
      </w:pPr>
      <w:r w:rsidRPr="00C21885">
        <w:rPr>
          <w:szCs w:val="24"/>
        </w:rPr>
        <w:t xml:space="preserve">Contact Investigation and Outbreak (CIOB) Database </w:t>
      </w:r>
    </w:p>
    <w:p w14:paraId="020EEDB0" w14:textId="6B2AAD03" w:rsidR="00566D15" w:rsidRPr="00C21885" w:rsidRDefault="0092051E" w:rsidP="006460CC">
      <w:pPr>
        <w:pStyle w:val="NoSpacing"/>
        <w:rPr>
          <w:sz w:val="24"/>
          <w:szCs w:val="24"/>
        </w:rPr>
      </w:pPr>
      <w:r w:rsidRPr="00C21885">
        <w:rPr>
          <w:sz w:val="24"/>
          <w:szCs w:val="24"/>
        </w:rPr>
        <w:t xml:space="preserve">The </w:t>
      </w:r>
      <w:r w:rsidR="00566D15" w:rsidRPr="00C21885">
        <w:rPr>
          <w:sz w:val="24"/>
          <w:szCs w:val="24"/>
        </w:rPr>
        <w:t xml:space="preserve">TBCP GCIA team and CIOB team </w:t>
      </w:r>
      <w:r w:rsidRPr="00C21885">
        <w:rPr>
          <w:sz w:val="24"/>
          <w:szCs w:val="24"/>
        </w:rPr>
        <w:t>store summary data about high-priority contact investigations in a dedicated</w:t>
      </w:r>
      <w:r w:rsidR="00566D15" w:rsidRPr="00C21885">
        <w:rPr>
          <w:sz w:val="24"/>
          <w:szCs w:val="24"/>
        </w:rPr>
        <w:t xml:space="preserve"> </w:t>
      </w:r>
      <w:r w:rsidRPr="00C21885">
        <w:rPr>
          <w:sz w:val="24"/>
          <w:szCs w:val="24"/>
        </w:rPr>
        <w:t xml:space="preserve">Microsoft </w:t>
      </w:r>
      <w:r w:rsidR="00566D15" w:rsidRPr="00C21885">
        <w:rPr>
          <w:sz w:val="24"/>
          <w:szCs w:val="24"/>
        </w:rPr>
        <w:t xml:space="preserve">Access database </w:t>
      </w:r>
      <w:r w:rsidRPr="00C21885">
        <w:rPr>
          <w:sz w:val="24"/>
          <w:szCs w:val="24"/>
        </w:rPr>
        <w:t>on a</w:t>
      </w:r>
      <w:r w:rsidR="004B3F6B" w:rsidRPr="00C21885">
        <w:rPr>
          <w:sz w:val="24"/>
          <w:szCs w:val="24"/>
        </w:rPr>
        <w:t xml:space="preserve"> </w:t>
      </w:r>
      <w:r w:rsidR="000F2E3D" w:rsidRPr="00C21885">
        <w:rPr>
          <w:sz w:val="24"/>
          <w:szCs w:val="24"/>
        </w:rPr>
        <w:t xml:space="preserve">secured </w:t>
      </w:r>
      <w:r w:rsidR="004B3F6B" w:rsidRPr="00C21885">
        <w:rPr>
          <w:sz w:val="24"/>
          <w:szCs w:val="24"/>
        </w:rPr>
        <w:t xml:space="preserve">Microsoft </w:t>
      </w:r>
      <w:r w:rsidRPr="00C21885">
        <w:rPr>
          <w:sz w:val="24"/>
          <w:szCs w:val="24"/>
        </w:rPr>
        <w:t>Active Directory Services</w:t>
      </w:r>
      <w:r w:rsidR="004B3F6B" w:rsidRPr="00C21885">
        <w:rPr>
          <w:sz w:val="24"/>
          <w:szCs w:val="24"/>
        </w:rPr>
        <w:t xml:space="preserve"> network</w:t>
      </w:r>
      <w:r w:rsidRPr="00C21885">
        <w:rPr>
          <w:sz w:val="24"/>
          <w:szCs w:val="24"/>
        </w:rPr>
        <w:t xml:space="preserve"> share drive managed by </w:t>
      </w:r>
      <w:r w:rsidR="00B53F2D">
        <w:rPr>
          <w:sz w:val="24"/>
          <w:szCs w:val="24"/>
        </w:rPr>
        <w:t>PHIS</w:t>
      </w:r>
      <w:r w:rsidRPr="00C21885">
        <w:rPr>
          <w:sz w:val="24"/>
          <w:szCs w:val="24"/>
        </w:rPr>
        <w:t>.</w:t>
      </w:r>
    </w:p>
    <w:p w14:paraId="11C11F74" w14:textId="77777777" w:rsidR="00566D15" w:rsidRPr="00EE3A1C" w:rsidRDefault="00566D15" w:rsidP="00EE3A1C">
      <w:pPr>
        <w:rPr>
          <w:szCs w:val="24"/>
        </w:rPr>
      </w:pPr>
    </w:p>
    <w:p w14:paraId="2B0726F5" w14:textId="77777777" w:rsidR="0092051E" w:rsidRPr="00C21885" w:rsidRDefault="0092051E" w:rsidP="0092051E">
      <w:pPr>
        <w:pStyle w:val="ListParagraph"/>
        <w:keepNext/>
        <w:keepLines/>
        <w:numPr>
          <w:ilvl w:val="0"/>
          <w:numId w:val="7"/>
        </w:numPr>
        <w:spacing w:before="40"/>
        <w:contextualSpacing w:val="0"/>
        <w:outlineLvl w:val="1"/>
        <w:rPr>
          <w:rFonts w:eastAsiaTheme="majorEastAsia" w:cstheme="majorBidi"/>
          <w:b/>
          <w:vanish/>
          <w:color w:val="000000" w:themeColor="text1"/>
          <w:szCs w:val="24"/>
        </w:rPr>
      </w:pPr>
    </w:p>
    <w:p w14:paraId="3DBB5E5D" w14:textId="77777777" w:rsidR="0092051E" w:rsidRPr="00C21885" w:rsidRDefault="0092051E" w:rsidP="0092051E">
      <w:pPr>
        <w:pStyle w:val="ListParagraph"/>
        <w:keepNext/>
        <w:keepLines/>
        <w:numPr>
          <w:ilvl w:val="0"/>
          <w:numId w:val="7"/>
        </w:numPr>
        <w:spacing w:before="40"/>
        <w:contextualSpacing w:val="0"/>
        <w:outlineLvl w:val="1"/>
        <w:rPr>
          <w:rFonts w:eastAsiaTheme="majorEastAsia" w:cstheme="majorBidi"/>
          <w:b/>
          <w:vanish/>
          <w:color w:val="000000" w:themeColor="text1"/>
          <w:szCs w:val="24"/>
        </w:rPr>
      </w:pPr>
    </w:p>
    <w:p w14:paraId="58C066C2" w14:textId="77777777" w:rsidR="0092051E" w:rsidRPr="00C21885" w:rsidRDefault="0092051E" w:rsidP="0092051E">
      <w:pPr>
        <w:pStyle w:val="ListParagraph"/>
        <w:keepNext/>
        <w:keepLines/>
        <w:numPr>
          <w:ilvl w:val="0"/>
          <w:numId w:val="7"/>
        </w:numPr>
        <w:spacing w:before="40"/>
        <w:contextualSpacing w:val="0"/>
        <w:outlineLvl w:val="1"/>
        <w:rPr>
          <w:rFonts w:eastAsiaTheme="majorEastAsia" w:cstheme="majorBidi"/>
          <w:b/>
          <w:vanish/>
          <w:color w:val="000000" w:themeColor="text1"/>
          <w:szCs w:val="24"/>
        </w:rPr>
      </w:pPr>
    </w:p>
    <w:p w14:paraId="07C51B13" w14:textId="77777777" w:rsidR="0092051E" w:rsidRPr="00C21885" w:rsidRDefault="0092051E" w:rsidP="0092051E">
      <w:pPr>
        <w:pStyle w:val="ListParagraph"/>
        <w:keepNext/>
        <w:keepLines/>
        <w:numPr>
          <w:ilvl w:val="0"/>
          <w:numId w:val="7"/>
        </w:numPr>
        <w:spacing w:before="40"/>
        <w:contextualSpacing w:val="0"/>
        <w:outlineLvl w:val="1"/>
        <w:rPr>
          <w:rFonts w:eastAsiaTheme="majorEastAsia" w:cstheme="majorBidi"/>
          <w:b/>
          <w:vanish/>
          <w:color w:val="000000" w:themeColor="text1"/>
          <w:szCs w:val="24"/>
        </w:rPr>
      </w:pPr>
    </w:p>
    <w:p w14:paraId="02378A0B" w14:textId="77777777" w:rsidR="0092051E" w:rsidRPr="00C21885" w:rsidRDefault="0092051E" w:rsidP="0092051E">
      <w:pPr>
        <w:pStyle w:val="ListParagraph"/>
        <w:keepNext/>
        <w:keepLines/>
        <w:numPr>
          <w:ilvl w:val="0"/>
          <w:numId w:val="7"/>
        </w:numPr>
        <w:spacing w:before="40"/>
        <w:contextualSpacing w:val="0"/>
        <w:outlineLvl w:val="1"/>
        <w:rPr>
          <w:rFonts w:eastAsiaTheme="majorEastAsia" w:cstheme="majorBidi"/>
          <w:b/>
          <w:vanish/>
          <w:color w:val="000000" w:themeColor="text1"/>
          <w:szCs w:val="24"/>
        </w:rPr>
      </w:pPr>
    </w:p>
    <w:p w14:paraId="38E0668E" w14:textId="2FAC5B4E" w:rsidR="00566D15" w:rsidRPr="00C21885" w:rsidRDefault="00566D15" w:rsidP="006460CC">
      <w:pPr>
        <w:pStyle w:val="Heading2"/>
        <w:ind w:left="360"/>
        <w:rPr>
          <w:szCs w:val="24"/>
        </w:rPr>
      </w:pPr>
      <w:r w:rsidRPr="00C21885">
        <w:rPr>
          <w:szCs w:val="24"/>
        </w:rPr>
        <w:t>Laboratory data</w:t>
      </w:r>
    </w:p>
    <w:p w14:paraId="13CB3606" w14:textId="27B77F25" w:rsidR="00825D42" w:rsidRPr="00C21885" w:rsidRDefault="00566D15" w:rsidP="006460CC">
      <w:pPr>
        <w:pStyle w:val="NoSpacing"/>
        <w:rPr>
          <w:sz w:val="24"/>
          <w:szCs w:val="24"/>
        </w:rPr>
      </w:pPr>
      <w:r w:rsidRPr="00C21885">
        <w:rPr>
          <w:sz w:val="24"/>
          <w:szCs w:val="24"/>
        </w:rPr>
        <w:t xml:space="preserve">Public Health Laboratory (PHL) test results are stored in a vendor-based accessioning system and backup data is warehoused and maintained in a database at PHL. </w:t>
      </w:r>
      <w:r w:rsidR="00AB0CB0" w:rsidRPr="00C21885">
        <w:rPr>
          <w:sz w:val="24"/>
          <w:szCs w:val="24"/>
        </w:rPr>
        <w:t xml:space="preserve">PHL deployed an automated system whereby test results, in text file format, are saved to a secured Microsoft Active Directory network shared folder. </w:t>
      </w:r>
      <w:r w:rsidR="00F85F76" w:rsidRPr="00C21885">
        <w:rPr>
          <w:sz w:val="24"/>
          <w:szCs w:val="24"/>
        </w:rPr>
        <w:t>TBCP uses the CDC-TB-GIMS application to submit information and TB isolates for genotyping service, and to receive genotype results.  Currently, the TBCP imports the genotype results into TRIMS and populates a special form within the patient’s Incident record.</w:t>
      </w:r>
    </w:p>
    <w:p w14:paraId="45957C4B" w14:textId="77777777" w:rsidR="0092051E" w:rsidRPr="00C21885" w:rsidRDefault="0092051E" w:rsidP="00EE3A1C">
      <w:pPr>
        <w:pStyle w:val="NoSpacing"/>
        <w:rPr>
          <w:sz w:val="24"/>
          <w:szCs w:val="24"/>
        </w:rPr>
      </w:pPr>
    </w:p>
    <w:p w14:paraId="75E42EE3" w14:textId="77777777" w:rsidR="00825D42" w:rsidRPr="00C21885" w:rsidRDefault="00825D42" w:rsidP="006460CC">
      <w:pPr>
        <w:pStyle w:val="Heading2"/>
        <w:ind w:left="360"/>
        <w:rPr>
          <w:szCs w:val="24"/>
        </w:rPr>
      </w:pPr>
      <w:r w:rsidRPr="00C21885">
        <w:rPr>
          <w:szCs w:val="24"/>
        </w:rPr>
        <w:t>Fax Server (RightFax)</w:t>
      </w:r>
    </w:p>
    <w:p w14:paraId="18CF7D91" w14:textId="77777777" w:rsidR="00A337EA" w:rsidRDefault="00A172CB" w:rsidP="006460CC">
      <w:pPr>
        <w:pStyle w:val="NoSpacing"/>
        <w:rPr>
          <w:sz w:val="24"/>
          <w:szCs w:val="24"/>
        </w:rPr>
      </w:pPr>
      <w:r w:rsidRPr="00C21885">
        <w:rPr>
          <w:sz w:val="24"/>
          <w:szCs w:val="24"/>
        </w:rPr>
        <w:t xml:space="preserve">In 2018, </w:t>
      </w:r>
      <w:r w:rsidR="0092051E" w:rsidRPr="00C21885">
        <w:rPr>
          <w:sz w:val="24"/>
          <w:szCs w:val="24"/>
        </w:rPr>
        <w:t xml:space="preserve">the TBCP implemented </w:t>
      </w:r>
      <w:r w:rsidRPr="00C21885">
        <w:rPr>
          <w:sz w:val="24"/>
          <w:szCs w:val="24"/>
        </w:rPr>
        <w:t>a</w:t>
      </w:r>
      <w:r w:rsidR="0092051E" w:rsidRPr="00C21885">
        <w:rPr>
          <w:sz w:val="24"/>
          <w:szCs w:val="24"/>
        </w:rPr>
        <w:t xml:space="preserve">n electronic </w:t>
      </w:r>
      <w:r w:rsidRPr="00C21885">
        <w:rPr>
          <w:sz w:val="24"/>
          <w:szCs w:val="24"/>
        </w:rPr>
        <w:t xml:space="preserve">fax server </w:t>
      </w:r>
      <w:r w:rsidR="0092051E" w:rsidRPr="00C21885">
        <w:rPr>
          <w:sz w:val="24"/>
          <w:szCs w:val="24"/>
        </w:rPr>
        <w:t>solution to replace the previous</w:t>
      </w:r>
      <w:r w:rsidRPr="00C21885">
        <w:rPr>
          <w:sz w:val="24"/>
          <w:szCs w:val="24"/>
        </w:rPr>
        <w:t xml:space="preserve"> paper</w:t>
      </w:r>
      <w:r w:rsidR="0092051E" w:rsidRPr="00C21885">
        <w:rPr>
          <w:sz w:val="24"/>
          <w:szCs w:val="24"/>
        </w:rPr>
        <w:t>-based</w:t>
      </w:r>
      <w:r w:rsidRPr="00C21885">
        <w:rPr>
          <w:sz w:val="24"/>
          <w:szCs w:val="24"/>
        </w:rPr>
        <w:t xml:space="preserve"> fax</w:t>
      </w:r>
      <w:r w:rsidR="0092051E" w:rsidRPr="00C21885">
        <w:rPr>
          <w:sz w:val="24"/>
          <w:szCs w:val="24"/>
        </w:rPr>
        <w:t xml:space="preserve"> workflow for receiving </w:t>
      </w:r>
      <w:r w:rsidR="001E1322" w:rsidRPr="00C21885">
        <w:rPr>
          <w:sz w:val="24"/>
          <w:szCs w:val="24"/>
        </w:rPr>
        <w:t>notifiable disease reports from laboratories and health care providers.</w:t>
      </w:r>
      <w:r w:rsidRPr="00C21885">
        <w:rPr>
          <w:sz w:val="24"/>
          <w:szCs w:val="24"/>
        </w:rPr>
        <w:t xml:space="preserve"> </w:t>
      </w:r>
      <w:r w:rsidR="001E1322" w:rsidRPr="00C21885">
        <w:rPr>
          <w:sz w:val="24"/>
          <w:szCs w:val="24"/>
        </w:rPr>
        <w:t>Implementation of the</w:t>
      </w:r>
      <w:r w:rsidRPr="00C21885">
        <w:rPr>
          <w:sz w:val="24"/>
          <w:szCs w:val="24"/>
        </w:rPr>
        <w:t xml:space="preserve"> fax server</w:t>
      </w:r>
      <w:r w:rsidR="001E1322" w:rsidRPr="00C21885">
        <w:rPr>
          <w:sz w:val="24"/>
          <w:szCs w:val="24"/>
        </w:rPr>
        <w:t xml:space="preserve"> solution</w:t>
      </w:r>
      <w:r w:rsidRPr="00C21885">
        <w:rPr>
          <w:sz w:val="24"/>
          <w:szCs w:val="24"/>
        </w:rPr>
        <w:t xml:space="preserve"> transform</w:t>
      </w:r>
      <w:r w:rsidR="001E1322" w:rsidRPr="00C21885">
        <w:rPr>
          <w:sz w:val="24"/>
          <w:szCs w:val="24"/>
        </w:rPr>
        <w:t xml:space="preserve">ed the process of sharing </w:t>
      </w:r>
      <w:r w:rsidRPr="00C21885">
        <w:rPr>
          <w:sz w:val="24"/>
          <w:szCs w:val="24"/>
        </w:rPr>
        <w:t>secure information</w:t>
      </w:r>
      <w:r w:rsidR="001E1322" w:rsidRPr="00C21885">
        <w:rPr>
          <w:sz w:val="24"/>
          <w:szCs w:val="24"/>
        </w:rPr>
        <w:t xml:space="preserve"> between</w:t>
      </w:r>
      <w:r w:rsidRPr="00C21885">
        <w:rPr>
          <w:sz w:val="24"/>
          <w:szCs w:val="24"/>
        </w:rPr>
        <w:t xml:space="preserve"> the </w:t>
      </w:r>
      <w:r w:rsidR="001E1322" w:rsidRPr="00C21885">
        <w:rPr>
          <w:sz w:val="24"/>
          <w:szCs w:val="24"/>
        </w:rPr>
        <w:t>TBCP, public health</w:t>
      </w:r>
      <w:r w:rsidRPr="00C21885">
        <w:rPr>
          <w:sz w:val="24"/>
          <w:szCs w:val="24"/>
        </w:rPr>
        <w:t xml:space="preserve"> districts, and </w:t>
      </w:r>
      <w:r w:rsidR="001E1322" w:rsidRPr="00C21885">
        <w:rPr>
          <w:sz w:val="24"/>
          <w:szCs w:val="24"/>
        </w:rPr>
        <w:t xml:space="preserve">the </w:t>
      </w:r>
      <w:r w:rsidRPr="00C21885">
        <w:rPr>
          <w:sz w:val="24"/>
          <w:szCs w:val="24"/>
        </w:rPr>
        <w:t>communit</w:t>
      </w:r>
      <w:r w:rsidR="001E1322" w:rsidRPr="00C21885">
        <w:rPr>
          <w:sz w:val="24"/>
          <w:szCs w:val="24"/>
        </w:rPr>
        <w:t>y</w:t>
      </w:r>
      <w:r w:rsidRPr="00C21885">
        <w:rPr>
          <w:sz w:val="24"/>
          <w:szCs w:val="24"/>
        </w:rPr>
        <w:t xml:space="preserve"> while minimizing paper consumption and improving workflow efficiency and staff productivity. In addition to providing an added layer of data security for patient information, the fax server solution is a critical component for the </w:t>
      </w:r>
      <w:r w:rsidR="00981F96" w:rsidRPr="00C21885">
        <w:rPr>
          <w:sz w:val="24"/>
          <w:szCs w:val="24"/>
        </w:rPr>
        <w:t>TBCP</w:t>
      </w:r>
      <w:r w:rsidRPr="00C21885">
        <w:rPr>
          <w:sz w:val="24"/>
          <w:szCs w:val="24"/>
        </w:rPr>
        <w:t xml:space="preserve"> </w:t>
      </w:r>
      <w:r w:rsidR="00981F96" w:rsidRPr="00C21885">
        <w:rPr>
          <w:sz w:val="24"/>
          <w:szCs w:val="24"/>
        </w:rPr>
        <w:t>C</w:t>
      </w:r>
      <w:r w:rsidRPr="00C21885">
        <w:rPr>
          <w:sz w:val="24"/>
          <w:szCs w:val="24"/>
        </w:rPr>
        <w:t xml:space="preserve">ontinuity of </w:t>
      </w:r>
      <w:r w:rsidR="00981F96" w:rsidRPr="00C21885">
        <w:rPr>
          <w:sz w:val="24"/>
          <w:szCs w:val="24"/>
        </w:rPr>
        <w:t>O</w:t>
      </w:r>
      <w:r w:rsidRPr="00C21885">
        <w:rPr>
          <w:sz w:val="24"/>
          <w:szCs w:val="24"/>
        </w:rPr>
        <w:t>perations</w:t>
      </w:r>
      <w:r w:rsidR="00981F96" w:rsidRPr="00C21885">
        <w:rPr>
          <w:sz w:val="24"/>
          <w:szCs w:val="24"/>
        </w:rPr>
        <w:t xml:space="preserve"> Plan (COOP)</w:t>
      </w:r>
      <w:r w:rsidRPr="00C21885">
        <w:rPr>
          <w:sz w:val="24"/>
          <w:szCs w:val="24"/>
        </w:rPr>
        <w:t xml:space="preserve"> by ensuring </w:t>
      </w:r>
      <w:r w:rsidR="00981F96" w:rsidRPr="00C21885">
        <w:rPr>
          <w:sz w:val="24"/>
          <w:szCs w:val="24"/>
        </w:rPr>
        <w:t>the delivery</w:t>
      </w:r>
      <w:r w:rsidRPr="00C21885">
        <w:rPr>
          <w:sz w:val="24"/>
          <w:szCs w:val="24"/>
        </w:rPr>
        <w:t xml:space="preserve"> of essential services to the public and other government agencies </w:t>
      </w:r>
      <w:r w:rsidR="00981F96" w:rsidRPr="00C21885">
        <w:rPr>
          <w:sz w:val="24"/>
          <w:szCs w:val="24"/>
        </w:rPr>
        <w:t>in the event of a</w:t>
      </w:r>
      <w:r w:rsidRPr="00C21885">
        <w:rPr>
          <w:sz w:val="24"/>
          <w:szCs w:val="24"/>
        </w:rPr>
        <w:t xml:space="preserve"> disaster situation</w:t>
      </w:r>
      <w:r w:rsidR="00981F96" w:rsidRPr="00C21885">
        <w:rPr>
          <w:sz w:val="24"/>
          <w:szCs w:val="24"/>
        </w:rPr>
        <w:t xml:space="preserve"> where access to the TBCP office facility is prohibited.  The fax server is accessible via a secure HIPAA compliant connection to the DPH information system infrastructure from any internet access point. TBCP </w:t>
      </w:r>
      <w:r w:rsidR="00A87656" w:rsidRPr="00C21885">
        <w:rPr>
          <w:sz w:val="24"/>
          <w:szCs w:val="24"/>
        </w:rPr>
        <w:t xml:space="preserve">personnel </w:t>
      </w:r>
      <w:r w:rsidR="00981F96" w:rsidRPr="00C21885">
        <w:rPr>
          <w:sz w:val="24"/>
          <w:szCs w:val="24"/>
        </w:rPr>
        <w:t xml:space="preserve">can work from other County facilities or telework during </w:t>
      </w:r>
      <w:r w:rsidR="00981F96" w:rsidRPr="00C21885">
        <w:rPr>
          <w:sz w:val="24"/>
          <w:szCs w:val="24"/>
        </w:rPr>
        <w:lastRenderedPageBreak/>
        <w:t>a disaster situation.</w:t>
      </w:r>
      <w:r w:rsidRPr="00C21885">
        <w:rPr>
          <w:sz w:val="24"/>
          <w:szCs w:val="24"/>
        </w:rPr>
        <w:t xml:space="preserve"> </w:t>
      </w:r>
      <w:r w:rsidR="00373B0C" w:rsidRPr="00C21885">
        <w:rPr>
          <w:sz w:val="24"/>
          <w:szCs w:val="24"/>
        </w:rPr>
        <w:t xml:space="preserve">The data collected </w:t>
      </w:r>
      <w:r w:rsidR="00A87656" w:rsidRPr="00C21885">
        <w:rPr>
          <w:sz w:val="24"/>
          <w:szCs w:val="24"/>
        </w:rPr>
        <w:t>via RightFax includes notifiable disease reports</w:t>
      </w:r>
      <w:r w:rsidR="00373B0C" w:rsidRPr="00C21885">
        <w:rPr>
          <w:sz w:val="24"/>
          <w:szCs w:val="24"/>
        </w:rPr>
        <w:t xml:space="preserve">, </w:t>
      </w:r>
      <w:r w:rsidR="00A87656" w:rsidRPr="00C21885">
        <w:rPr>
          <w:sz w:val="24"/>
          <w:szCs w:val="24"/>
        </w:rPr>
        <w:t xml:space="preserve">case management and contact investigation information, some of which is eventually reported to the </w:t>
      </w:r>
      <w:r w:rsidR="00373B0C" w:rsidRPr="00C21885">
        <w:rPr>
          <w:sz w:val="24"/>
          <w:szCs w:val="24"/>
        </w:rPr>
        <w:t>CDC</w:t>
      </w:r>
      <w:r w:rsidR="00A87656" w:rsidRPr="00C21885">
        <w:rPr>
          <w:sz w:val="24"/>
          <w:szCs w:val="24"/>
        </w:rPr>
        <w:t xml:space="preserve"> to meet mandated reporting requirements</w:t>
      </w:r>
      <w:r w:rsidR="00373B0C" w:rsidRPr="00C21885">
        <w:rPr>
          <w:sz w:val="24"/>
          <w:szCs w:val="24"/>
        </w:rPr>
        <w:t>.</w:t>
      </w:r>
    </w:p>
    <w:p w14:paraId="03A9FBD9" w14:textId="77777777" w:rsidR="00A337EA" w:rsidRDefault="00A337EA" w:rsidP="00EE3A1C">
      <w:pPr>
        <w:pStyle w:val="NoSpacing"/>
        <w:rPr>
          <w:sz w:val="24"/>
          <w:szCs w:val="24"/>
        </w:rPr>
      </w:pPr>
    </w:p>
    <w:p w14:paraId="4DE7A8D5" w14:textId="4CF518B5" w:rsidR="00825D42" w:rsidRDefault="00A337EA" w:rsidP="006460CC">
      <w:pPr>
        <w:pStyle w:val="Heading2"/>
        <w:ind w:left="360"/>
      </w:pPr>
      <w:r>
        <w:t>Online Real-time Centralized Health Information Database</w:t>
      </w:r>
      <w:r w:rsidR="00510CC1">
        <w:t xml:space="preserve"> (ORCHID)</w:t>
      </w:r>
    </w:p>
    <w:p w14:paraId="71C1B509" w14:textId="6D0A0E3B" w:rsidR="00510CC1" w:rsidRPr="00510CC1" w:rsidRDefault="00510CC1" w:rsidP="006460CC">
      <w:r>
        <w:t>The DPH and the Department of Health Services deliver outpatient and inpatient TB-related healthcare services. Both departments use an Electronic Health Record system called ORCHID to document patient encounters, including all diagnostic testing and treatment of the patient.  The TBCP Liaison Public Health Nurses assigned to the DHS County hospitals and Jail medical service facilities collect information from ORCHID and store this information in TRIMS</w:t>
      </w:r>
      <w:r w:rsidRPr="00510CC1">
        <w:t xml:space="preserve"> </w:t>
      </w:r>
      <w:r>
        <w:t>to support public health surveillance activities. Similarly, DPH District Public Health Nursing collects information from ORCHID and stores this information in TRIMS and in CMaP</w:t>
      </w:r>
      <w:r w:rsidRPr="00510CC1">
        <w:t xml:space="preserve"> </w:t>
      </w:r>
      <w:r>
        <w:t>to support public health surveillance activities. In the future, ORCHID information will be exchanged electronically with IRIS to support public health surveillance activities.</w:t>
      </w:r>
    </w:p>
    <w:p w14:paraId="21CE5293" w14:textId="2AF8CA85" w:rsidR="00AB0CB0" w:rsidRPr="00C21885" w:rsidRDefault="00AB0CB0" w:rsidP="00A87656">
      <w:pPr>
        <w:pStyle w:val="Heading1"/>
        <w:ind w:left="360"/>
        <w:rPr>
          <w:szCs w:val="24"/>
        </w:rPr>
      </w:pPr>
      <w:r w:rsidRPr="00C21885">
        <w:rPr>
          <w:szCs w:val="24"/>
        </w:rPr>
        <w:t>Data retention</w:t>
      </w:r>
    </w:p>
    <w:p w14:paraId="10CC0DA6" w14:textId="12E72520" w:rsidR="003554AD" w:rsidRDefault="003554AD" w:rsidP="006460CC">
      <w:pPr>
        <w:pStyle w:val="NoSpacing"/>
        <w:rPr>
          <w:sz w:val="24"/>
          <w:szCs w:val="24"/>
        </w:rPr>
      </w:pPr>
      <w:r>
        <w:rPr>
          <w:sz w:val="24"/>
          <w:szCs w:val="24"/>
        </w:rPr>
        <w:t>The TBCP complies with the DPH and LAC policies pertaining to r</w:t>
      </w:r>
      <w:r w:rsidR="00AB0CB0" w:rsidRPr="00C21885">
        <w:rPr>
          <w:sz w:val="24"/>
          <w:szCs w:val="24"/>
        </w:rPr>
        <w:t xml:space="preserve">ecords </w:t>
      </w:r>
      <w:r>
        <w:rPr>
          <w:sz w:val="24"/>
          <w:szCs w:val="24"/>
        </w:rPr>
        <w:t>r</w:t>
      </w:r>
      <w:r w:rsidR="00AB0CB0" w:rsidRPr="00C21885">
        <w:rPr>
          <w:sz w:val="24"/>
          <w:szCs w:val="24"/>
        </w:rPr>
        <w:t>etention</w:t>
      </w:r>
      <w:r>
        <w:rPr>
          <w:sz w:val="24"/>
          <w:szCs w:val="24"/>
        </w:rPr>
        <w:t>, these are:</w:t>
      </w:r>
    </w:p>
    <w:p w14:paraId="4887F20C" w14:textId="77777777" w:rsidR="003435E2" w:rsidRDefault="003435E2" w:rsidP="004B3F6B">
      <w:pPr>
        <w:pStyle w:val="NoSpacing"/>
        <w:ind w:left="360"/>
        <w:rPr>
          <w:sz w:val="24"/>
          <w:szCs w:val="24"/>
        </w:rPr>
      </w:pPr>
    </w:p>
    <w:p w14:paraId="3B6897A0" w14:textId="3BDAF531" w:rsidR="003554AD" w:rsidRDefault="003554AD" w:rsidP="006460CC">
      <w:pPr>
        <w:pStyle w:val="NoSpacing"/>
        <w:numPr>
          <w:ilvl w:val="0"/>
          <w:numId w:val="10"/>
        </w:numPr>
        <w:ind w:left="720"/>
        <w:rPr>
          <w:sz w:val="24"/>
          <w:szCs w:val="24"/>
        </w:rPr>
      </w:pPr>
      <w:r>
        <w:rPr>
          <w:sz w:val="24"/>
          <w:szCs w:val="24"/>
        </w:rPr>
        <w:t xml:space="preserve">DPH </w:t>
      </w:r>
      <w:r w:rsidR="00AB0CB0" w:rsidRPr="00C21885">
        <w:rPr>
          <w:sz w:val="24"/>
          <w:szCs w:val="24"/>
        </w:rPr>
        <w:t xml:space="preserve">Policy No. 343 </w:t>
      </w:r>
      <w:r>
        <w:rPr>
          <w:sz w:val="24"/>
          <w:szCs w:val="24"/>
        </w:rPr>
        <w:t>Records Management Program</w:t>
      </w:r>
    </w:p>
    <w:p w14:paraId="6588B624" w14:textId="77777777" w:rsidR="003435E2" w:rsidRDefault="003435E2" w:rsidP="006460CC">
      <w:pPr>
        <w:pStyle w:val="NoSpacing"/>
        <w:numPr>
          <w:ilvl w:val="0"/>
          <w:numId w:val="10"/>
        </w:numPr>
        <w:ind w:left="720"/>
        <w:rPr>
          <w:sz w:val="24"/>
          <w:szCs w:val="24"/>
        </w:rPr>
      </w:pPr>
      <w:r>
        <w:rPr>
          <w:sz w:val="24"/>
          <w:szCs w:val="24"/>
        </w:rPr>
        <w:t xml:space="preserve">DPH </w:t>
      </w:r>
      <w:r w:rsidR="003554AD">
        <w:rPr>
          <w:sz w:val="24"/>
          <w:szCs w:val="24"/>
        </w:rPr>
        <w:t>Policy No.</w:t>
      </w:r>
      <w:r>
        <w:rPr>
          <w:sz w:val="24"/>
          <w:szCs w:val="24"/>
        </w:rPr>
        <w:t xml:space="preserve"> 343-I LAC General &amp; Departmental Records Retention Schedules</w:t>
      </w:r>
    </w:p>
    <w:p w14:paraId="7262048E" w14:textId="77777777" w:rsidR="003435E2" w:rsidRDefault="003435E2" w:rsidP="006460CC">
      <w:pPr>
        <w:pStyle w:val="NoSpacing"/>
        <w:numPr>
          <w:ilvl w:val="0"/>
          <w:numId w:val="10"/>
        </w:numPr>
        <w:ind w:left="720"/>
        <w:rPr>
          <w:sz w:val="24"/>
          <w:szCs w:val="24"/>
        </w:rPr>
      </w:pPr>
      <w:r>
        <w:rPr>
          <w:sz w:val="24"/>
          <w:szCs w:val="24"/>
        </w:rPr>
        <w:t>DPH Policy No. 343-II Departmental Records Retention Schedule</w:t>
      </w:r>
    </w:p>
    <w:p w14:paraId="7D600471" w14:textId="77777777" w:rsidR="003435E2" w:rsidRDefault="003435E2" w:rsidP="003435E2">
      <w:pPr>
        <w:pStyle w:val="NoSpacing"/>
        <w:ind w:left="360"/>
        <w:rPr>
          <w:sz w:val="24"/>
          <w:szCs w:val="24"/>
        </w:rPr>
      </w:pPr>
    </w:p>
    <w:p w14:paraId="034297B0" w14:textId="225DA3C2" w:rsidR="00AB0CB0" w:rsidRPr="00C21885" w:rsidRDefault="003435E2" w:rsidP="006460CC">
      <w:pPr>
        <w:pStyle w:val="NoSpacing"/>
        <w:rPr>
          <w:sz w:val="24"/>
          <w:szCs w:val="24"/>
        </w:rPr>
      </w:pPr>
      <w:r>
        <w:rPr>
          <w:sz w:val="24"/>
          <w:szCs w:val="24"/>
        </w:rPr>
        <w:t>A</w:t>
      </w:r>
      <w:r w:rsidR="00AB0CB0" w:rsidRPr="00C21885">
        <w:rPr>
          <w:sz w:val="24"/>
          <w:szCs w:val="24"/>
        </w:rPr>
        <w:t xml:space="preserve">ll data generated by and entered into the aforementioned databases will be retained perpetually. Laboratory data and reports are retained per regulatory requirements from CDPH Clinical Laboratory and Evaluation Program and Environmental Laboratory Accreditation Program and per LAC’s Records Retention Schedules. </w:t>
      </w:r>
    </w:p>
    <w:p w14:paraId="2911D118" w14:textId="77777777" w:rsidR="00AB0CB0" w:rsidRPr="00C21885" w:rsidRDefault="00AB0CB0" w:rsidP="004B3F6B">
      <w:pPr>
        <w:pStyle w:val="Heading1"/>
        <w:ind w:left="360"/>
        <w:rPr>
          <w:szCs w:val="24"/>
        </w:rPr>
      </w:pPr>
      <w:r w:rsidRPr="00C21885">
        <w:rPr>
          <w:szCs w:val="24"/>
        </w:rPr>
        <w:t>Data format</w:t>
      </w:r>
    </w:p>
    <w:p w14:paraId="34DEF34E" w14:textId="0B0F7D3B" w:rsidR="00AB0CB0" w:rsidRPr="00C21885" w:rsidRDefault="00AB0CB0" w:rsidP="006460CC">
      <w:pPr>
        <w:pStyle w:val="NoSpacing"/>
        <w:rPr>
          <w:sz w:val="24"/>
          <w:szCs w:val="24"/>
        </w:rPr>
      </w:pPr>
      <w:r w:rsidRPr="00C21885">
        <w:rPr>
          <w:sz w:val="24"/>
          <w:szCs w:val="24"/>
        </w:rPr>
        <w:t xml:space="preserve">TRIMS </w:t>
      </w:r>
      <w:r w:rsidR="000F2E3D" w:rsidRPr="00C21885">
        <w:rPr>
          <w:sz w:val="24"/>
          <w:szCs w:val="24"/>
        </w:rPr>
        <w:t>is</w:t>
      </w:r>
      <w:r w:rsidRPr="00C21885">
        <w:rPr>
          <w:sz w:val="24"/>
          <w:szCs w:val="24"/>
        </w:rPr>
        <w:t xml:space="preserve"> a SQL server backend database and</w:t>
      </w:r>
      <w:r w:rsidR="000F2E3D" w:rsidRPr="00C21885">
        <w:rPr>
          <w:sz w:val="24"/>
          <w:szCs w:val="24"/>
        </w:rPr>
        <w:t xml:space="preserve"> the application uses</w:t>
      </w:r>
      <w:r w:rsidRPr="00C21885">
        <w:rPr>
          <w:sz w:val="24"/>
          <w:szCs w:val="24"/>
        </w:rPr>
        <w:t xml:space="preserve"> classic ASP pages for the front</w:t>
      </w:r>
      <w:r w:rsidR="000F2E3D" w:rsidRPr="00C21885">
        <w:rPr>
          <w:sz w:val="24"/>
          <w:szCs w:val="24"/>
        </w:rPr>
        <w:t>-</w:t>
      </w:r>
      <w:r w:rsidRPr="00C21885">
        <w:rPr>
          <w:sz w:val="24"/>
          <w:szCs w:val="24"/>
        </w:rPr>
        <w:t xml:space="preserve">end user interface. Both the SQL server and the web server are housed in the </w:t>
      </w:r>
      <w:r w:rsidR="00B53F2D">
        <w:rPr>
          <w:sz w:val="24"/>
          <w:szCs w:val="24"/>
        </w:rPr>
        <w:t>PHIS</w:t>
      </w:r>
      <w:r w:rsidRPr="00C21885">
        <w:rPr>
          <w:sz w:val="24"/>
          <w:szCs w:val="24"/>
        </w:rPr>
        <w:t xml:space="preserve"> data center. TRIMS is an </w:t>
      </w:r>
      <w:r w:rsidR="00DD515E" w:rsidRPr="00C21885">
        <w:rPr>
          <w:sz w:val="24"/>
          <w:szCs w:val="24"/>
        </w:rPr>
        <w:t>intranet-based</w:t>
      </w:r>
      <w:r w:rsidRPr="00C21885">
        <w:rPr>
          <w:sz w:val="24"/>
          <w:szCs w:val="24"/>
        </w:rPr>
        <w:t xml:space="preserve"> application and originated as a mainframe application from which the data was imported. Data is extracted from the SQL databases a</w:t>
      </w:r>
      <w:r w:rsidR="00C87802" w:rsidRPr="00C21885">
        <w:rPr>
          <w:sz w:val="24"/>
          <w:szCs w:val="24"/>
        </w:rPr>
        <w:t>re</w:t>
      </w:r>
      <w:r w:rsidRPr="00C21885">
        <w:rPr>
          <w:sz w:val="24"/>
          <w:szCs w:val="24"/>
        </w:rPr>
        <w:t xml:space="preserve"> saved in SAS datasets, Excel files, or Access databases. </w:t>
      </w:r>
      <w:r w:rsidR="00C87802" w:rsidRPr="00C21885">
        <w:rPr>
          <w:sz w:val="24"/>
          <w:szCs w:val="24"/>
        </w:rPr>
        <w:t>Supplementary data are stored in a Microsoft Access database housed on a secured Microsoft Active Directory network share folder</w:t>
      </w:r>
      <w:r w:rsidR="000F2E3D" w:rsidRPr="00C21885">
        <w:rPr>
          <w:sz w:val="24"/>
          <w:szCs w:val="24"/>
        </w:rPr>
        <w:t xml:space="preserve"> managed by </w:t>
      </w:r>
      <w:r w:rsidR="00B53F2D">
        <w:rPr>
          <w:sz w:val="24"/>
          <w:szCs w:val="24"/>
        </w:rPr>
        <w:t>PHIS</w:t>
      </w:r>
      <w:r w:rsidR="000F2E3D" w:rsidRPr="00C21885">
        <w:rPr>
          <w:sz w:val="24"/>
          <w:szCs w:val="24"/>
        </w:rPr>
        <w:t>.</w:t>
      </w:r>
    </w:p>
    <w:p w14:paraId="6828CB41" w14:textId="77777777" w:rsidR="00AB0CB0" w:rsidRPr="00C21885" w:rsidRDefault="00AB0CB0" w:rsidP="004B3F6B">
      <w:pPr>
        <w:pStyle w:val="Heading1"/>
        <w:ind w:left="360"/>
        <w:rPr>
          <w:szCs w:val="24"/>
        </w:rPr>
      </w:pPr>
      <w:r w:rsidRPr="00C21885">
        <w:rPr>
          <w:szCs w:val="24"/>
        </w:rPr>
        <w:t xml:space="preserve">Data </w:t>
      </w:r>
      <w:r w:rsidR="00C87802" w:rsidRPr="00C21885">
        <w:rPr>
          <w:szCs w:val="24"/>
        </w:rPr>
        <w:t>sharing</w:t>
      </w:r>
    </w:p>
    <w:p w14:paraId="000A673E" w14:textId="270C01CF" w:rsidR="00C87802" w:rsidRPr="00C21885" w:rsidRDefault="00735EBB" w:rsidP="006460CC">
      <w:pPr>
        <w:pStyle w:val="NoSpacing"/>
        <w:rPr>
          <w:sz w:val="24"/>
          <w:szCs w:val="24"/>
        </w:rPr>
      </w:pPr>
      <w:r w:rsidRPr="00C21885">
        <w:rPr>
          <w:sz w:val="24"/>
          <w:szCs w:val="24"/>
        </w:rPr>
        <w:t xml:space="preserve">Sharing and dissemination of data are governed by </w:t>
      </w:r>
      <w:r w:rsidR="00B53F2D">
        <w:rPr>
          <w:sz w:val="24"/>
          <w:szCs w:val="24"/>
        </w:rPr>
        <w:t xml:space="preserve">the </w:t>
      </w:r>
      <w:r w:rsidR="00F21139" w:rsidRPr="00C21885">
        <w:rPr>
          <w:sz w:val="24"/>
          <w:szCs w:val="24"/>
        </w:rPr>
        <w:t>LAC</w:t>
      </w:r>
      <w:r w:rsidR="003C5075" w:rsidRPr="00C21885">
        <w:rPr>
          <w:sz w:val="24"/>
          <w:szCs w:val="24"/>
        </w:rPr>
        <w:t xml:space="preserve"> Countywide Data Sharing Handbook.</w:t>
      </w:r>
      <w:r w:rsidR="00F21139" w:rsidRPr="00C21885">
        <w:rPr>
          <w:sz w:val="24"/>
          <w:szCs w:val="24"/>
        </w:rPr>
        <w:t xml:space="preserve"> </w:t>
      </w:r>
      <w:r w:rsidR="003C5075" w:rsidRPr="00C21885">
        <w:rPr>
          <w:sz w:val="24"/>
          <w:szCs w:val="24"/>
        </w:rPr>
        <w:t xml:space="preserve">The handbook provides guidance to all departments on appropriate data sharing, including sharing of legally protected information. </w:t>
      </w:r>
      <w:r w:rsidR="00F21139" w:rsidRPr="00C21885">
        <w:rPr>
          <w:sz w:val="24"/>
          <w:szCs w:val="24"/>
        </w:rPr>
        <w:t xml:space="preserve">Terms include term limits, de-identification procedure of data, HIPAA language, data security plan, and indemnification language. </w:t>
      </w:r>
      <w:r w:rsidR="008F0351" w:rsidRPr="00C21885">
        <w:rPr>
          <w:sz w:val="24"/>
          <w:szCs w:val="24"/>
        </w:rPr>
        <w:t xml:space="preserve">Public requests for data are granted after completion of the data use agreement. De-identification of data will be performed for files to be submitted to CDC. </w:t>
      </w:r>
    </w:p>
    <w:p w14:paraId="41EEB976" w14:textId="77777777" w:rsidR="00992BAC" w:rsidRPr="00C21885" w:rsidRDefault="00992BAC" w:rsidP="00132B5C">
      <w:pPr>
        <w:pStyle w:val="Heading1"/>
        <w:ind w:left="360"/>
        <w:rPr>
          <w:szCs w:val="24"/>
        </w:rPr>
      </w:pPr>
      <w:r w:rsidRPr="00C21885">
        <w:rPr>
          <w:szCs w:val="24"/>
        </w:rPr>
        <w:t>Data security</w:t>
      </w:r>
    </w:p>
    <w:p w14:paraId="59844E32" w14:textId="0C522245" w:rsidR="00E33A99" w:rsidRDefault="00B53F2D" w:rsidP="006460CC">
      <w:pPr>
        <w:pStyle w:val="NoSpacing"/>
        <w:rPr>
          <w:sz w:val="24"/>
          <w:szCs w:val="24"/>
        </w:rPr>
      </w:pPr>
      <w:r>
        <w:rPr>
          <w:sz w:val="24"/>
          <w:szCs w:val="24"/>
        </w:rPr>
        <w:t>The</w:t>
      </w:r>
      <w:r w:rsidR="00992BAC" w:rsidRPr="00C21885">
        <w:rPr>
          <w:sz w:val="24"/>
          <w:szCs w:val="24"/>
        </w:rPr>
        <w:t xml:space="preserve"> DPH provides guidance on data security policies and procedures. Data security procedures compl</w:t>
      </w:r>
      <w:r>
        <w:rPr>
          <w:sz w:val="24"/>
          <w:szCs w:val="24"/>
        </w:rPr>
        <w:t>y</w:t>
      </w:r>
      <w:r w:rsidR="00992BAC" w:rsidRPr="00C21885">
        <w:rPr>
          <w:sz w:val="24"/>
          <w:szCs w:val="24"/>
        </w:rPr>
        <w:t xml:space="preserve"> with the security requirements of all applicable regulatory, compliance, and accreditation sources to secure all electronic data including Protected Health Information (PHI) and other confidential information, including HIPAA protected health information. Confidentiality, integrity, and availability of information assets are protected from unauthorized disclosure, modification, or destruction and safeguarded to the extent permitted by law. Workforce members involved with data comply with the provisions of all relevant data security policies and procedures</w:t>
      </w:r>
      <w:r w:rsidR="00E33A99">
        <w:rPr>
          <w:sz w:val="24"/>
          <w:szCs w:val="24"/>
        </w:rPr>
        <w:t xml:space="preserve">.  </w:t>
      </w:r>
      <w:r w:rsidR="00E33A99" w:rsidRPr="00C21885">
        <w:rPr>
          <w:sz w:val="24"/>
          <w:szCs w:val="24"/>
        </w:rPr>
        <w:t xml:space="preserve">Users are to immediately report any and all suspected breaches of information security and comply with all required security training within the required timeframes. Information assets are limited only to those persons with documented business needs and access authorization. System Managers implement appropriate technical access control safeguards via system activity logging, unique user identification, authentication, approval-based provisions, and rule-based provisions. </w:t>
      </w:r>
    </w:p>
    <w:p w14:paraId="74CD019C" w14:textId="77777777" w:rsidR="00AB0CB0" w:rsidRPr="00C21885" w:rsidRDefault="00AB0CB0" w:rsidP="00C21885">
      <w:pPr>
        <w:pStyle w:val="Heading1"/>
        <w:ind w:left="360"/>
        <w:rPr>
          <w:szCs w:val="24"/>
        </w:rPr>
      </w:pPr>
      <w:r w:rsidRPr="00C21885">
        <w:rPr>
          <w:szCs w:val="24"/>
        </w:rPr>
        <w:t>Archiving and long-term preservation</w:t>
      </w:r>
    </w:p>
    <w:p w14:paraId="77C3C0F1" w14:textId="515E897D" w:rsidR="00AB0CB0" w:rsidRPr="00C21885" w:rsidRDefault="00255BA8" w:rsidP="006460CC">
      <w:pPr>
        <w:pStyle w:val="NoSpacing"/>
        <w:rPr>
          <w:sz w:val="24"/>
          <w:szCs w:val="24"/>
        </w:rPr>
      </w:pPr>
      <w:r w:rsidRPr="00C21885">
        <w:rPr>
          <w:sz w:val="24"/>
          <w:szCs w:val="24"/>
        </w:rPr>
        <w:t xml:space="preserve">PHIS built and currently hosts a centralized data repository </w:t>
      </w:r>
      <w:r w:rsidR="00B53F2D">
        <w:rPr>
          <w:sz w:val="24"/>
          <w:szCs w:val="24"/>
        </w:rPr>
        <w:t>for</w:t>
      </w:r>
      <w:r w:rsidRPr="00C21885">
        <w:rPr>
          <w:sz w:val="24"/>
          <w:szCs w:val="24"/>
        </w:rPr>
        <w:t xml:space="preserve"> existing </w:t>
      </w:r>
      <w:r w:rsidR="00EB2D6A">
        <w:rPr>
          <w:sz w:val="24"/>
          <w:szCs w:val="24"/>
        </w:rPr>
        <w:t xml:space="preserve">DPH </w:t>
      </w:r>
      <w:r w:rsidRPr="00C21885">
        <w:rPr>
          <w:sz w:val="24"/>
          <w:szCs w:val="24"/>
        </w:rPr>
        <w:t>source systems</w:t>
      </w:r>
      <w:r w:rsidR="00B53F2D">
        <w:rPr>
          <w:sz w:val="24"/>
          <w:szCs w:val="24"/>
        </w:rPr>
        <w:t>, including TRIMS</w:t>
      </w:r>
      <w:r w:rsidR="00EB2D6A">
        <w:rPr>
          <w:sz w:val="24"/>
          <w:szCs w:val="24"/>
        </w:rPr>
        <w:t>. The repository is used data</w:t>
      </w:r>
      <w:r w:rsidRPr="00C21885">
        <w:rPr>
          <w:sz w:val="24"/>
          <w:szCs w:val="24"/>
        </w:rPr>
        <w:t xml:space="preserve"> analytics, trend</w:t>
      </w:r>
      <w:r w:rsidR="00EB2D6A">
        <w:rPr>
          <w:sz w:val="24"/>
          <w:szCs w:val="24"/>
        </w:rPr>
        <w:t xml:space="preserve"> analysis</w:t>
      </w:r>
      <w:r w:rsidRPr="00C21885">
        <w:rPr>
          <w:sz w:val="24"/>
          <w:szCs w:val="24"/>
        </w:rPr>
        <w:t xml:space="preserve">, measurement of program performance </w:t>
      </w:r>
      <w:r w:rsidR="00EB2D6A">
        <w:rPr>
          <w:sz w:val="24"/>
          <w:szCs w:val="24"/>
        </w:rPr>
        <w:t xml:space="preserve">indicators </w:t>
      </w:r>
      <w:r w:rsidRPr="00C21885">
        <w:rPr>
          <w:sz w:val="24"/>
          <w:szCs w:val="24"/>
        </w:rPr>
        <w:t>based on NTIP</w:t>
      </w:r>
      <w:r w:rsidR="00EB2D6A">
        <w:rPr>
          <w:sz w:val="24"/>
          <w:szCs w:val="24"/>
        </w:rPr>
        <w:t>, and generation of surveillance reports and the annual CDC progress report</w:t>
      </w:r>
      <w:r w:rsidRPr="00C21885">
        <w:rPr>
          <w:sz w:val="24"/>
          <w:szCs w:val="24"/>
        </w:rPr>
        <w:t>.</w:t>
      </w:r>
      <w:r w:rsidR="008F0351" w:rsidRPr="00C21885">
        <w:rPr>
          <w:sz w:val="24"/>
          <w:szCs w:val="24"/>
        </w:rPr>
        <w:t xml:space="preserve"> Data is stored in a SQL server</w:t>
      </w:r>
      <w:r w:rsidR="00EB2D6A">
        <w:rPr>
          <w:sz w:val="24"/>
          <w:szCs w:val="24"/>
        </w:rPr>
        <w:t>, refreshed daily</w:t>
      </w:r>
      <w:r w:rsidR="00992BAC" w:rsidRPr="00C21885">
        <w:rPr>
          <w:sz w:val="24"/>
          <w:szCs w:val="24"/>
        </w:rPr>
        <w:t>, and retained perpetually</w:t>
      </w:r>
      <w:r w:rsidR="008F0351" w:rsidRPr="00C21885">
        <w:rPr>
          <w:sz w:val="24"/>
          <w:szCs w:val="24"/>
        </w:rPr>
        <w:t xml:space="preserve">. </w:t>
      </w:r>
      <w:r w:rsidR="00B96B08" w:rsidRPr="00C21885">
        <w:rPr>
          <w:sz w:val="24"/>
          <w:szCs w:val="24"/>
        </w:rPr>
        <w:t xml:space="preserve">Other external and routinely used databases and ones associated with publications are archived and preserved in a secured Microsoft Active Directory </w:t>
      </w:r>
      <w:r w:rsidR="00EB2D6A">
        <w:rPr>
          <w:sz w:val="24"/>
          <w:szCs w:val="24"/>
        </w:rPr>
        <w:t xml:space="preserve">Services </w:t>
      </w:r>
      <w:r w:rsidR="00B96B08" w:rsidRPr="00C21885">
        <w:rPr>
          <w:sz w:val="24"/>
          <w:szCs w:val="24"/>
        </w:rPr>
        <w:t xml:space="preserve">network </w:t>
      </w:r>
      <w:r w:rsidR="00EB2D6A">
        <w:rPr>
          <w:sz w:val="24"/>
          <w:szCs w:val="24"/>
        </w:rPr>
        <w:t xml:space="preserve">share </w:t>
      </w:r>
      <w:r w:rsidR="00EB2D6A" w:rsidRPr="00C21885">
        <w:rPr>
          <w:sz w:val="24"/>
          <w:szCs w:val="24"/>
        </w:rPr>
        <w:t xml:space="preserve">folder managed by </w:t>
      </w:r>
      <w:r w:rsidR="00EB2D6A">
        <w:rPr>
          <w:sz w:val="24"/>
          <w:szCs w:val="24"/>
        </w:rPr>
        <w:t>PHIS</w:t>
      </w:r>
      <w:r w:rsidR="00EB2D6A" w:rsidRPr="00C21885">
        <w:rPr>
          <w:sz w:val="24"/>
          <w:szCs w:val="24"/>
        </w:rPr>
        <w:t>.</w:t>
      </w:r>
    </w:p>
    <w:p w14:paraId="77A04789" w14:textId="3C7A2F88" w:rsidR="00674644" w:rsidRDefault="00674644" w:rsidP="00674644">
      <w:pPr>
        <w:pStyle w:val="Heading1"/>
        <w:ind w:left="360"/>
      </w:pPr>
      <w:r>
        <w:t xml:space="preserve">INFORMATION TECHNOLOGY &amp; DATA </w:t>
      </w:r>
      <w:r w:rsidR="00CD6685">
        <w:t>SECURITY</w:t>
      </w:r>
      <w:r>
        <w:t xml:space="preserve"> </w:t>
      </w:r>
      <w:r w:rsidR="00CD6685">
        <w:t xml:space="preserve">and CONFIDENTIALITY </w:t>
      </w:r>
      <w:r>
        <w:t>POLICIES</w:t>
      </w:r>
    </w:p>
    <w:p w14:paraId="3697EFAD" w14:textId="688BD422" w:rsidR="00E33A99" w:rsidRPr="005772AE" w:rsidRDefault="00E33A99" w:rsidP="00E33A99">
      <w:pPr>
        <w:pStyle w:val="NoSpacing"/>
        <w:rPr>
          <w:color w:val="1F3864" w:themeColor="accent1" w:themeShade="80"/>
          <w:sz w:val="24"/>
          <w:szCs w:val="24"/>
        </w:rPr>
      </w:pPr>
      <w:r>
        <w:rPr>
          <w:sz w:val="24"/>
          <w:szCs w:val="24"/>
        </w:rPr>
        <w:t xml:space="preserve">The </w:t>
      </w:r>
      <w:r w:rsidRPr="00C21885">
        <w:rPr>
          <w:sz w:val="24"/>
          <w:szCs w:val="24"/>
        </w:rPr>
        <w:t xml:space="preserve">DPH </w:t>
      </w:r>
      <w:r w:rsidR="006460CC">
        <w:rPr>
          <w:sz w:val="24"/>
          <w:szCs w:val="24"/>
        </w:rPr>
        <w:t xml:space="preserve">maintains an extensive set of </w:t>
      </w:r>
      <w:r w:rsidR="00510CC1">
        <w:rPr>
          <w:sz w:val="24"/>
          <w:szCs w:val="24"/>
        </w:rPr>
        <w:t>p</w:t>
      </w:r>
      <w:r w:rsidRPr="00C21885">
        <w:rPr>
          <w:sz w:val="24"/>
          <w:szCs w:val="24"/>
        </w:rPr>
        <w:t>olic</w:t>
      </w:r>
      <w:r>
        <w:rPr>
          <w:sz w:val="24"/>
          <w:szCs w:val="24"/>
        </w:rPr>
        <w:t>ies</w:t>
      </w:r>
      <w:r w:rsidR="00510CC1">
        <w:rPr>
          <w:sz w:val="24"/>
          <w:szCs w:val="24"/>
        </w:rPr>
        <w:t xml:space="preserve"> pertain</w:t>
      </w:r>
      <w:r w:rsidR="006460CC">
        <w:rPr>
          <w:sz w:val="24"/>
          <w:szCs w:val="24"/>
        </w:rPr>
        <w:t>ing</w:t>
      </w:r>
      <w:r w:rsidR="00510CC1">
        <w:rPr>
          <w:sz w:val="24"/>
          <w:szCs w:val="24"/>
        </w:rPr>
        <w:t xml:space="preserve"> to the use of information technology systems</w:t>
      </w:r>
      <w:r w:rsidR="00CD6685">
        <w:rPr>
          <w:sz w:val="24"/>
          <w:szCs w:val="24"/>
        </w:rPr>
        <w:t>, including</w:t>
      </w:r>
      <w:r w:rsidR="00510CC1">
        <w:rPr>
          <w:sz w:val="24"/>
          <w:szCs w:val="24"/>
        </w:rPr>
        <w:t xml:space="preserve"> </w:t>
      </w:r>
      <w:r w:rsidR="00E822C2">
        <w:rPr>
          <w:sz w:val="24"/>
          <w:szCs w:val="24"/>
        </w:rPr>
        <w:t xml:space="preserve">a number of </w:t>
      </w:r>
      <w:r w:rsidR="00510CC1">
        <w:rPr>
          <w:sz w:val="24"/>
          <w:szCs w:val="24"/>
        </w:rPr>
        <w:t>data</w:t>
      </w:r>
      <w:r w:rsidR="00CD6685">
        <w:rPr>
          <w:sz w:val="24"/>
          <w:szCs w:val="24"/>
        </w:rPr>
        <w:t xml:space="preserve"> security and confidentiality policies,</w:t>
      </w:r>
      <w:r w:rsidR="00510CC1">
        <w:rPr>
          <w:sz w:val="24"/>
          <w:szCs w:val="24"/>
        </w:rPr>
        <w:t xml:space="preserve"> related to the systems described above in Section I.</w:t>
      </w:r>
      <w:r w:rsidR="006460CC">
        <w:rPr>
          <w:sz w:val="24"/>
          <w:szCs w:val="24"/>
        </w:rPr>
        <w:t xml:space="preserve"> </w:t>
      </w:r>
      <w:commentRangeStart w:id="1"/>
      <w:r w:rsidR="006460CC" w:rsidRPr="00CC532A">
        <w:rPr>
          <w:strike/>
          <w:color w:val="FF0000"/>
          <w:sz w:val="24"/>
          <w:szCs w:val="24"/>
        </w:rPr>
        <w:t>A copy of any of the following policies</w:t>
      </w:r>
      <w:r w:rsidR="00EE3A1C" w:rsidRPr="00CC532A">
        <w:rPr>
          <w:strike/>
          <w:color w:val="FF0000"/>
          <w:sz w:val="24"/>
          <w:szCs w:val="24"/>
        </w:rPr>
        <w:t>, or</w:t>
      </w:r>
      <w:r w:rsidR="00E822C2" w:rsidRPr="00CC532A">
        <w:rPr>
          <w:strike/>
          <w:color w:val="FF0000"/>
          <w:sz w:val="24"/>
          <w:szCs w:val="24"/>
        </w:rPr>
        <w:t xml:space="preserve"> policies</w:t>
      </w:r>
      <w:r w:rsidR="00EE3A1C" w:rsidRPr="00CC532A">
        <w:rPr>
          <w:strike/>
          <w:color w:val="FF0000"/>
          <w:sz w:val="24"/>
          <w:szCs w:val="24"/>
        </w:rPr>
        <w:t xml:space="preserve"> described in the sections above, are</w:t>
      </w:r>
      <w:r w:rsidR="006460CC" w:rsidRPr="00CC532A">
        <w:rPr>
          <w:strike/>
          <w:color w:val="FF0000"/>
          <w:sz w:val="24"/>
          <w:szCs w:val="24"/>
        </w:rPr>
        <w:t xml:space="preserve"> available upon request.</w:t>
      </w:r>
      <w:commentRangeEnd w:id="1"/>
      <w:r w:rsidR="00CC532A">
        <w:rPr>
          <w:rStyle w:val="CommentReference"/>
        </w:rPr>
        <w:commentReference w:id="1"/>
      </w:r>
      <w:r w:rsidR="005772AE">
        <w:rPr>
          <w:strike/>
          <w:color w:val="FF0000"/>
          <w:sz w:val="24"/>
          <w:szCs w:val="24"/>
        </w:rPr>
        <w:t xml:space="preserve">  </w:t>
      </w:r>
      <w:r w:rsidR="005772AE">
        <w:rPr>
          <w:color w:val="1F3864" w:themeColor="accent1" w:themeShade="80"/>
          <w:sz w:val="24"/>
          <w:szCs w:val="24"/>
        </w:rPr>
        <w:t>A copy of any of the information technology, data security</w:t>
      </w:r>
      <w:r w:rsidR="00C7318B">
        <w:rPr>
          <w:color w:val="1F3864" w:themeColor="accent1" w:themeShade="80"/>
          <w:sz w:val="24"/>
          <w:szCs w:val="24"/>
        </w:rPr>
        <w:t xml:space="preserve"> and confidentiality policies related to the systems described above and their use is available upon request.</w:t>
      </w:r>
    </w:p>
    <w:p w14:paraId="7DD293FD" w14:textId="77777777" w:rsidR="00E33A99" w:rsidRDefault="00E33A99" w:rsidP="00E33A99">
      <w:pPr>
        <w:pStyle w:val="NoSpacing"/>
        <w:ind w:left="360"/>
        <w:rPr>
          <w:sz w:val="24"/>
          <w:szCs w:val="24"/>
        </w:rPr>
      </w:pPr>
    </w:p>
    <w:p w14:paraId="12845071" w14:textId="7FCA06D2" w:rsidR="00E33A99" w:rsidRPr="00E33A99" w:rsidRDefault="00A91124" w:rsidP="00A91124">
      <w:pPr>
        <w:pStyle w:val="Heading2"/>
        <w:numPr>
          <w:ilvl w:val="0"/>
          <w:numId w:val="11"/>
        </w:numPr>
        <w:ind w:left="360"/>
      </w:pPr>
      <w:r>
        <w:t xml:space="preserve">POLICY SERIES </w:t>
      </w:r>
      <w:r w:rsidR="00E33A99" w:rsidRPr="00E33A99">
        <w:t>1000</w:t>
      </w:r>
      <w:r w:rsidR="00673C04">
        <w:t>:</w:t>
      </w:r>
      <w:r w:rsidR="00E33A99" w:rsidRPr="00E33A99">
        <w:t xml:space="preserve"> INFORMATION TECHNOLOGY</w:t>
      </w:r>
    </w:p>
    <w:p w14:paraId="44C9AC5E" w14:textId="77777777" w:rsidR="00E33A99" w:rsidRDefault="00E33A99" w:rsidP="00E33A99">
      <w:pPr>
        <w:pStyle w:val="NoSpacing"/>
        <w:numPr>
          <w:ilvl w:val="0"/>
          <w:numId w:val="9"/>
        </w:numPr>
        <w:ind w:left="360"/>
        <w:rPr>
          <w:sz w:val="24"/>
          <w:szCs w:val="24"/>
        </w:rPr>
      </w:pPr>
      <w:r>
        <w:rPr>
          <w:sz w:val="24"/>
          <w:szCs w:val="24"/>
        </w:rPr>
        <w:t xml:space="preserve">Policy </w:t>
      </w:r>
      <w:r w:rsidRPr="00C21885">
        <w:rPr>
          <w:sz w:val="24"/>
          <w:szCs w:val="24"/>
        </w:rPr>
        <w:t>No. 1</w:t>
      </w:r>
      <w:r>
        <w:rPr>
          <w:sz w:val="24"/>
          <w:szCs w:val="24"/>
        </w:rPr>
        <w:t xml:space="preserve">000 </w:t>
      </w:r>
      <w:r w:rsidRPr="00C21885">
        <w:rPr>
          <w:sz w:val="24"/>
          <w:szCs w:val="24"/>
        </w:rPr>
        <w:t>P</w:t>
      </w:r>
      <w:r>
        <w:rPr>
          <w:sz w:val="24"/>
          <w:szCs w:val="24"/>
        </w:rPr>
        <w:t>ublic Health Information Technology and Security Policy</w:t>
      </w:r>
    </w:p>
    <w:p w14:paraId="07E67B47" w14:textId="77777777" w:rsidR="00E33A99" w:rsidRDefault="00E33A99" w:rsidP="00E33A99">
      <w:pPr>
        <w:pStyle w:val="NoSpacing"/>
        <w:numPr>
          <w:ilvl w:val="0"/>
          <w:numId w:val="9"/>
        </w:numPr>
        <w:ind w:left="360"/>
        <w:rPr>
          <w:sz w:val="24"/>
          <w:szCs w:val="24"/>
        </w:rPr>
      </w:pPr>
      <w:r>
        <w:rPr>
          <w:sz w:val="24"/>
          <w:szCs w:val="24"/>
        </w:rPr>
        <w:t>Policy No. 1000 Attachment I – Information System Glossary</w:t>
      </w:r>
    </w:p>
    <w:p w14:paraId="30140033" w14:textId="77777777" w:rsidR="00E33A99" w:rsidRDefault="00E33A99" w:rsidP="00E33A99">
      <w:pPr>
        <w:pStyle w:val="NoSpacing"/>
        <w:numPr>
          <w:ilvl w:val="0"/>
          <w:numId w:val="9"/>
        </w:numPr>
        <w:ind w:left="360"/>
        <w:rPr>
          <w:sz w:val="24"/>
          <w:szCs w:val="24"/>
        </w:rPr>
      </w:pPr>
      <w:r>
        <w:rPr>
          <w:sz w:val="24"/>
          <w:szCs w:val="24"/>
        </w:rPr>
        <w:t>Policy No. 1001 Security Management Process – Risk Management Policy</w:t>
      </w:r>
    </w:p>
    <w:p w14:paraId="0A588138" w14:textId="77777777" w:rsidR="00E33A99" w:rsidRDefault="00E33A99" w:rsidP="00E33A99">
      <w:pPr>
        <w:pStyle w:val="NoSpacing"/>
        <w:numPr>
          <w:ilvl w:val="0"/>
          <w:numId w:val="9"/>
        </w:numPr>
        <w:ind w:left="360"/>
        <w:rPr>
          <w:sz w:val="24"/>
          <w:szCs w:val="24"/>
        </w:rPr>
      </w:pPr>
      <w:r>
        <w:rPr>
          <w:sz w:val="24"/>
          <w:szCs w:val="24"/>
        </w:rPr>
        <w:t>Policy No. 1002 Workforce Security Policy</w:t>
      </w:r>
    </w:p>
    <w:p w14:paraId="0061E8E9" w14:textId="77777777" w:rsidR="00E33A99" w:rsidRDefault="00E33A99" w:rsidP="00E33A99">
      <w:pPr>
        <w:pStyle w:val="NoSpacing"/>
        <w:numPr>
          <w:ilvl w:val="0"/>
          <w:numId w:val="9"/>
        </w:numPr>
        <w:ind w:left="360"/>
        <w:rPr>
          <w:sz w:val="24"/>
          <w:szCs w:val="24"/>
        </w:rPr>
      </w:pPr>
      <w:r>
        <w:rPr>
          <w:sz w:val="24"/>
          <w:szCs w:val="24"/>
        </w:rPr>
        <w:t xml:space="preserve">Policy </w:t>
      </w:r>
      <w:r w:rsidRPr="00C21885">
        <w:rPr>
          <w:sz w:val="24"/>
          <w:szCs w:val="24"/>
        </w:rPr>
        <w:t>No. 1</w:t>
      </w:r>
      <w:r>
        <w:rPr>
          <w:sz w:val="24"/>
          <w:szCs w:val="24"/>
        </w:rPr>
        <w:t>003 Information Access Management Policy</w:t>
      </w:r>
    </w:p>
    <w:p w14:paraId="4730E286" w14:textId="77777777" w:rsidR="00E33A99" w:rsidRDefault="00E33A99" w:rsidP="00E33A99">
      <w:pPr>
        <w:pStyle w:val="NoSpacing"/>
        <w:numPr>
          <w:ilvl w:val="0"/>
          <w:numId w:val="9"/>
        </w:numPr>
        <w:ind w:left="360"/>
        <w:rPr>
          <w:sz w:val="24"/>
          <w:szCs w:val="24"/>
        </w:rPr>
      </w:pPr>
      <w:r>
        <w:rPr>
          <w:sz w:val="24"/>
          <w:szCs w:val="24"/>
        </w:rPr>
        <w:t>Policy No. 1004 Security Incident Report and Response Policy</w:t>
      </w:r>
    </w:p>
    <w:p w14:paraId="396F0B25" w14:textId="77777777" w:rsidR="00E33A99" w:rsidRDefault="00E33A99" w:rsidP="00E33A99">
      <w:pPr>
        <w:pStyle w:val="NoSpacing"/>
        <w:numPr>
          <w:ilvl w:val="0"/>
          <w:numId w:val="9"/>
        </w:numPr>
        <w:ind w:left="360"/>
        <w:rPr>
          <w:sz w:val="24"/>
          <w:szCs w:val="24"/>
        </w:rPr>
      </w:pPr>
      <w:r>
        <w:rPr>
          <w:sz w:val="24"/>
          <w:szCs w:val="24"/>
        </w:rPr>
        <w:t>Policy No. 1005 Facility/Program Information Technology (IT) Contingency Plan Policy</w:t>
      </w:r>
    </w:p>
    <w:p w14:paraId="740B51D8" w14:textId="77777777" w:rsidR="00E33A99" w:rsidRDefault="00E33A99" w:rsidP="00E33A99">
      <w:pPr>
        <w:pStyle w:val="NoSpacing"/>
        <w:numPr>
          <w:ilvl w:val="0"/>
          <w:numId w:val="9"/>
        </w:numPr>
        <w:ind w:left="360"/>
        <w:rPr>
          <w:sz w:val="24"/>
          <w:szCs w:val="24"/>
        </w:rPr>
      </w:pPr>
      <w:r>
        <w:rPr>
          <w:sz w:val="24"/>
          <w:szCs w:val="24"/>
        </w:rPr>
        <w:t>Policy No. 1006 Security Compliance Evaluation Policy</w:t>
      </w:r>
    </w:p>
    <w:p w14:paraId="714FCFA4" w14:textId="77777777" w:rsidR="00E33A99" w:rsidRDefault="00E33A99" w:rsidP="00E33A99">
      <w:pPr>
        <w:pStyle w:val="NoSpacing"/>
        <w:numPr>
          <w:ilvl w:val="0"/>
          <w:numId w:val="9"/>
        </w:numPr>
        <w:ind w:left="360"/>
        <w:rPr>
          <w:sz w:val="24"/>
          <w:szCs w:val="24"/>
        </w:rPr>
      </w:pPr>
      <w:r w:rsidRPr="00387768">
        <w:rPr>
          <w:sz w:val="24"/>
          <w:szCs w:val="24"/>
        </w:rPr>
        <w:t>Policy No. 1007 Facility Access Control Policy</w:t>
      </w:r>
    </w:p>
    <w:p w14:paraId="1DDDB04E" w14:textId="77777777" w:rsidR="00E33A99" w:rsidRPr="00387768" w:rsidRDefault="00E33A99" w:rsidP="00E33A99">
      <w:pPr>
        <w:pStyle w:val="NoSpacing"/>
        <w:numPr>
          <w:ilvl w:val="0"/>
          <w:numId w:val="9"/>
        </w:numPr>
        <w:ind w:left="360"/>
        <w:rPr>
          <w:sz w:val="24"/>
          <w:szCs w:val="24"/>
        </w:rPr>
      </w:pPr>
      <w:r w:rsidRPr="00387768">
        <w:rPr>
          <w:sz w:val="24"/>
          <w:szCs w:val="24"/>
        </w:rPr>
        <w:t>Policy No. 1008 Workstation Use and Security</w:t>
      </w:r>
    </w:p>
    <w:p w14:paraId="5CC15F33" w14:textId="77777777" w:rsidR="00E33A99" w:rsidRDefault="00E33A99" w:rsidP="00E33A99">
      <w:pPr>
        <w:pStyle w:val="NoSpacing"/>
        <w:numPr>
          <w:ilvl w:val="0"/>
          <w:numId w:val="9"/>
        </w:numPr>
        <w:ind w:left="360"/>
        <w:rPr>
          <w:sz w:val="24"/>
          <w:szCs w:val="24"/>
        </w:rPr>
      </w:pPr>
      <w:r>
        <w:rPr>
          <w:sz w:val="24"/>
          <w:szCs w:val="24"/>
        </w:rPr>
        <w:t>Policy No. 1009 Device and Media Control Policy</w:t>
      </w:r>
    </w:p>
    <w:p w14:paraId="016E1095" w14:textId="77777777" w:rsidR="00E33A99" w:rsidRDefault="00E33A99" w:rsidP="00E33A99">
      <w:pPr>
        <w:pStyle w:val="NoSpacing"/>
        <w:numPr>
          <w:ilvl w:val="0"/>
          <w:numId w:val="9"/>
        </w:numPr>
        <w:ind w:left="360"/>
        <w:rPr>
          <w:sz w:val="24"/>
          <w:szCs w:val="24"/>
        </w:rPr>
      </w:pPr>
      <w:r w:rsidRPr="00C21885">
        <w:rPr>
          <w:sz w:val="24"/>
          <w:szCs w:val="24"/>
        </w:rPr>
        <w:t>Policy No. 10</w:t>
      </w:r>
      <w:r>
        <w:rPr>
          <w:sz w:val="24"/>
          <w:szCs w:val="24"/>
        </w:rPr>
        <w:t>10 System Access Control</w:t>
      </w:r>
    </w:p>
    <w:p w14:paraId="767ECA90" w14:textId="77777777" w:rsidR="00E33A99" w:rsidRDefault="00E33A99" w:rsidP="00E33A99">
      <w:pPr>
        <w:pStyle w:val="NoSpacing"/>
        <w:numPr>
          <w:ilvl w:val="0"/>
          <w:numId w:val="9"/>
        </w:numPr>
        <w:ind w:left="360"/>
        <w:rPr>
          <w:sz w:val="24"/>
          <w:szCs w:val="24"/>
        </w:rPr>
      </w:pPr>
      <w:r>
        <w:rPr>
          <w:sz w:val="24"/>
          <w:szCs w:val="24"/>
        </w:rPr>
        <w:t>Policy No. 1011 Public Health System Audit Controls</w:t>
      </w:r>
    </w:p>
    <w:p w14:paraId="792DFD7B" w14:textId="77777777" w:rsidR="00E33A99" w:rsidRDefault="00E33A99" w:rsidP="00E33A99">
      <w:pPr>
        <w:pStyle w:val="NoSpacing"/>
        <w:numPr>
          <w:ilvl w:val="0"/>
          <w:numId w:val="9"/>
        </w:numPr>
        <w:ind w:left="360"/>
        <w:rPr>
          <w:sz w:val="24"/>
          <w:szCs w:val="24"/>
        </w:rPr>
      </w:pPr>
      <w:r w:rsidRPr="00C21885">
        <w:rPr>
          <w:sz w:val="24"/>
          <w:szCs w:val="24"/>
        </w:rPr>
        <w:t>Policy No. 10</w:t>
      </w:r>
      <w:r>
        <w:rPr>
          <w:sz w:val="24"/>
          <w:szCs w:val="24"/>
        </w:rPr>
        <w:t>12 Information Integrity</w:t>
      </w:r>
    </w:p>
    <w:p w14:paraId="74625722" w14:textId="77777777" w:rsidR="00E33A99" w:rsidRDefault="00E33A99" w:rsidP="00E33A99">
      <w:pPr>
        <w:pStyle w:val="NoSpacing"/>
        <w:numPr>
          <w:ilvl w:val="0"/>
          <w:numId w:val="9"/>
        </w:numPr>
        <w:ind w:left="360"/>
        <w:rPr>
          <w:sz w:val="24"/>
          <w:szCs w:val="24"/>
        </w:rPr>
      </w:pPr>
      <w:r>
        <w:rPr>
          <w:sz w:val="24"/>
          <w:szCs w:val="24"/>
        </w:rPr>
        <w:t>Policy No. 1013 Person or Entity Authentication</w:t>
      </w:r>
    </w:p>
    <w:p w14:paraId="7BB5B280" w14:textId="77777777" w:rsidR="00E33A99" w:rsidRDefault="00E33A99" w:rsidP="00E33A99">
      <w:pPr>
        <w:pStyle w:val="NoSpacing"/>
        <w:numPr>
          <w:ilvl w:val="0"/>
          <w:numId w:val="9"/>
        </w:numPr>
        <w:ind w:left="360"/>
        <w:rPr>
          <w:sz w:val="24"/>
          <w:szCs w:val="24"/>
        </w:rPr>
      </w:pPr>
      <w:r>
        <w:rPr>
          <w:sz w:val="24"/>
          <w:szCs w:val="24"/>
        </w:rPr>
        <w:t>Policy No. 1014 Data Transmission Security</w:t>
      </w:r>
    </w:p>
    <w:p w14:paraId="048DE226" w14:textId="77777777" w:rsidR="00E33A99" w:rsidRDefault="00E33A99" w:rsidP="00E33A99">
      <w:pPr>
        <w:pStyle w:val="NoSpacing"/>
        <w:numPr>
          <w:ilvl w:val="0"/>
          <w:numId w:val="9"/>
        </w:numPr>
        <w:ind w:left="360"/>
        <w:rPr>
          <w:sz w:val="24"/>
          <w:szCs w:val="24"/>
        </w:rPr>
      </w:pPr>
      <w:r>
        <w:rPr>
          <w:sz w:val="24"/>
          <w:szCs w:val="24"/>
        </w:rPr>
        <w:t>Policy No. 1015 Data Security Documentation Requirement</w:t>
      </w:r>
    </w:p>
    <w:p w14:paraId="522972D7" w14:textId="77777777" w:rsidR="00E33A99" w:rsidRDefault="00E33A99" w:rsidP="00E33A99">
      <w:pPr>
        <w:pStyle w:val="NoSpacing"/>
        <w:numPr>
          <w:ilvl w:val="0"/>
          <w:numId w:val="9"/>
        </w:numPr>
        <w:ind w:left="360"/>
        <w:rPr>
          <w:sz w:val="24"/>
          <w:szCs w:val="24"/>
        </w:rPr>
      </w:pPr>
      <w:r w:rsidRPr="00C21885">
        <w:rPr>
          <w:sz w:val="24"/>
          <w:szCs w:val="24"/>
        </w:rPr>
        <w:t>Policy No. 1016 Acceptable Use Policy for County Information Technology Resources</w:t>
      </w:r>
    </w:p>
    <w:p w14:paraId="1B27944C" w14:textId="77777777" w:rsidR="00E33A99" w:rsidRDefault="00E33A99" w:rsidP="00E33A99">
      <w:pPr>
        <w:pStyle w:val="NoSpacing"/>
        <w:numPr>
          <w:ilvl w:val="0"/>
          <w:numId w:val="9"/>
        </w:numPr>
        <w:ind w:left="360"/>
        <w:rPr>
          <w:sz w:val="24"/>
          <w:szCs w:val="24"/>
        </w:rPr>
      </w:pPr>
      <w:r>
        <w:rPr>
          <w:sz w:val="24"/>
          <w:szCs w:val="24"/>
        </w:rPr>
        <w:t>Policy No. 1016 Attachment I – Annual Agreement for Acceptable Use and Confidentiality of County Information Technology Resources</w:t>
      </w:r>
    </w:p>
    <w:p w14:paraId="5870FA8E" w14:textId="77777777" w:rsidR="00E33A99" w:rsidRDefault="00E33A99" w:rsidP="00E33A99">
      <w:pPr>
        <w:pStyle w:val="NoSpacing"/>
        <w:numPr>
          <w:ilvl w:val="0"/>
          <w:numId w:val="9"/>
        </w:numPr>
        <w:ind w:left="360"/>
        <w:rPr>
          <w:sz w:val="24"/>
          <w:szCs w:val="24"/>
        </w:rPr>
      </w:pPr>
      <w:r>
        <w:rPr>
          <w:sz w:val="24"/>
          <w:szCs w:val="24"/>
        </w:rPr>
        <w:t>Policy No. 1017 Departmental Computer Configuration Standards Compliance</w:t>
      </w:r>
    </w:p>
    <w:p w14:paraId="0148F65A" w14:textId="77777777" w:rsidR="00E33A99" w:rsidRDefault="00E33A99" w:rsidP="00E33A99">
      <w:pPr>
        <w:pStyle w:val="NoSpacing"/>
        <w:numPr>
          <w:ilvl w:val="0"/>
          <w:numId w:val="9"/>
        </w:numPr>
        <w:ind w:left="360"/>
        <w:rPr>
          <w:sz w:val="24"/>
          <w:szCs w:val="24"/>
        </w:rPr>
      </w:pPr>
      <w:r>
        <w:rPr>
          <w:sz w:val="24"/>
          <w:szCs w:val="24"/>
        </w:rPr>
        <w:t>Policy No. 1030 Information Technology Purchases</w:t>
      </w:r>
    </w:p>
    <w:p w14:paraId="671F8939" w14:textId="77777777" w:rsidR="00E33A99" w:rsidRDefault="00E33A99" w:rsidP="00E33A99">
      <w:pPr>
        <w:pStyle w:val="NoSpacing"/>
        <w:numPr>
          <w:ilvl w:val="0"/>
          <w:numId w:val="9"/>
        </w:numPr>
        <w:ind w:left="360"/>
        <w:rPr>
          <w:sz w:val="24"/>
          <w:szCs w:val="24"/>
        </w:rPr>
      </w:pPr>
      <w:r>
        <w:rPr>
          <w:sz w:val="24"/>
          <w:szCs w:val="24"/>
        </w:rPr>
        <w:t>Policy No. 1031 Administration of Public Health Data Network</w:t>
      </w:r>
    </w:p>
    <w:p w14:paraId="3FE04831" w14:textId="77777777" w:rsidR="00E33A99" w:rsidRDefault="00E33A99" w:rsidP="00E33A99">
      <w:pPr>
        <w:pStyle w:val="NoSpacing"/>
        <w:numPr>
          <w:ilvl w:val="0"/>
          <w:numId w:val="9"/>
        </w:numPr>
        <w:ind w:left="360"/>
        <w:rPr>
          <w:sz w:val="24"/>
          <w:szCs w:val="24"/>
        </w:rPr>
      </w:pPr>
      <w:r>
        <w:rPr>
          <w:sz w:val="24"/>
          <w:szCs w:val="24"/>
        </w:rPr>
        <w:t>Policy No. 1032 Information Technology Budget Requests/Adjustments, Grant Applications, and Grant Budget Adjustments</w:t>
      </w:r>
    </w:p>
    <w:p w14:paraId="1A3E681B" w14:textId="77777777" w:rsidR="00E33A99" w:rsidRDefault="00E33A99" w:rsidP="00E33A99">
      <w:pPr>
        <w:pStyle w:val="NoSpacing"/>
        <w:numPr>
          <w:ilvl w:val="0"/>
          <w:numId w:val="9"/>
        </w:numPr>
        <w:ind w:left="360"/>
        <w:rPr>
          <w:sz w:val="24"/>
          <w:szCs w:val="24"/>
        </w:rPr>
      </w:pPr>
      <w:r>
        <w:rPr>
          <w:sz w:val="24"/>
          <w:szCs w:val="24"/>
        </w:rPr>
        <w:t>Policy No. 1033 Electronic Mail (EMAIL) Retention</w:t>
      </w:r>
    </w:p>
    <w:p w14:paraId="672C814A" w14:textId="77777777" w:rsidR="00E33A99" w:rsidRDefault="00E33A99" w:rsidP="00E33A99">
      <w:pPr>
        <w:pStyle w:val="NoSpacing"/>
        <w:rPr>
          <w:sz w:val="24"/>
          <w:szCs w:val="24"/>
        </w:rPr>
      </w:pPr>
    </w:p>
    <w:p w14:paraId="3168D78A" w14:textId="03A346DF" w:rsidR="00E33A99" w:rsidRPr="00673C04" w:rsidRDefault="00673C04" w:rsidP="00673C04">
      <w:pPr>
        <w:pStyle w:val="Heading2"/>
        <w:numPr>
          <w:ilvl w:val="0"/>
          <w:numId w:val="11"/>
        </w:numPr>
        <w:ind w:left="360"/>
        <w:rPr>
          <w:szCs w:val="24"/>
        </w:rPr>
      </w:pPr>
      <w:r>
        <w:rPr>
          <w:bCs/>
          <w:szCs w:val="24"/>
        </w:rPr>
        <w:t xml:space="preserve">POLICY SERIES </w:t>
      </w:r>
      <w:r w:rsidR="00E33A99" w:rsidRPr="00673C04">
        <w:rPr>
          <w:bCs/>
          <w:szCs w:val="24"/>
        </w:rPr>
        <w:t>1200</w:t>
      </w:r>
      <w:r>
        <w:rPr>
          <w:bCs/>
          <w:szCs w:val="24"/>
        </w:rPr>
        <w:t>:</w:t>
      </w:r>
      <w:r w:rsidR="00E33A99" w:rsidRPr="00673C04">
        <w:rPr>
          <w:bCs/>
          <w:szCs w:val="24"/>
        </w:rPr>
        <w:t xml:space="preserve"> HIPAA</w:t>
      </w:r>
      <w:r w:rsidR="00E33A99" w:rsidRPr="00673C04">
        <w:rPr>
          <w:szCs w:val="24"/>
        </w:rPr>
        <w:t xml:space="preserve"> (</w:t>
      </w:r>
      <w:r w:rsidR="00E33A99" w:rsidRPr="00673C04">
        <w:rPr>
          <w:bCs/>
          <w:szCs w:val="24"/>
        </w:rPr>
        <w:t>HEALTH INSURANCE PORTABILITY AND PRIVACY ACT)</w:t>
      </w:r>
    </w:p>
    <w:p w14:paraId="1E2192F1" w14:textId="77777777" w:rsidR="00E33A99" w:rsidRDefault="00E33A99" w:rsidP="00E33A99">
      <w:pPr>
        <w:pStyle w:val="NoSpacing"/>
        <w:numPr>
          <w:ilvl w:val="0"/>
          <w:numId w:val="9"/>
        </w:numPr>
        <w:ind w:left="360"/>
        <w:rPr>
          <w:sz w:val="24"/>
          <w:szCs w:val="24"/>
        </w:rPr>
      </w:pPr>
      <w:r>
        <w:rPr>
          <w:sz w:val="24"/>
          <w:szCs w:val="24"/>
        </w:rPr>
        <w:t xml:space="preserve">Policy </w:t>
      </w:r>
      <w:r w:rsidRPr="00C21885">
        <w:rPr>
          <w:sz w:val="24"/>
          <w:szCs w:val="24"/>
        </w:rPr>
        <w:t>No. 1201</w:t>
      </w:r>
      <w:r>
        <w:rPr>
          <w:sz w:val="24"/>
          <w:szCs w:val="24"/>
        </w:rPr>
        <w:t xml:space="preserve"> </w:t>
      </w:r>
      <w:r w:rsidRPr="00C21885">
        <w:rPr>
          <w:sz w:val="24"/>
          <w:szCs w:val="24"/>
        </w:rPr>
        <w:t>Privacy and Security Compliance Program</w:t>
      </w:r>
    </w:p>
    <w:p w14:paraId="090ED7CF" w14:textId="77777777" w:rsidR="00E33A99" w:rsidRDefault="00E33A99" w:rsidP="00E33A99">
      <w:pPr>
        <w:pStyle w:val="NoSpacing"/>
        <w:numPr>
          <w:ilvl w:val="0"/>
          <w:numId w:val="9"/>
        </w:numPr>
        <w:ind w:left="360"/>
        <w:rPr>
          <w:sz w:val="24"/>
          <w:szCs w:val="24"/>
        </w:rPr>
      </w:pPr>
      <w:r>
        <w:rPr>
          <w:sz w:val="24"/>
          <w:szCs w:val="24"/>
        </w:rPr>
        <w:t>Policy No. 1202 Notice of Privacy Practices</w:t>
      </w:r>
    </w:p>
    <w:p w14:paraId="1979D2C7" w14:textId="77777777" w:rsidR="00E33A99" w:rsidRDefault="00E33A99" w:rsidP="00E33A99">
      <w:pPr>
        <w:pStyle w:val="NoSpacing"/>
        <w:numPr>
          <w:ilvl w:val="0"/>
          <w:numId w:val="9"/>
        </w:numPr>
        <w:ind w:left="360"/>
        <w:rPr>
          <w:sz w:val="24"/>
          <w:szCs w:val="24"/>
        </w:rPr>
      </w:pPr>
      <w:r>
        <w:rPr>
          <w:sz w:val="24"/>
          <w:szCs w:val="24"/>
        </w:rPr>
        <w:t>Policy No. 1202 Attachment I – Notice of Privacy Practices</w:t>
      </w:r>
    </w:p>
    <w:p w14:paraId="7197E712" w14:textId="77777777" w:rsidR="00E33A99" w:rsidRDefault="00E33A99" w:rsidP="00E33A99">
      <w:pPr>
        <w:pStyle w:val="NoSpacing"/>
        <w:numPr>
          <w:ilvl w:val="0"/>
          <w:numId w:val="9"/>
        </w:numPr>
        <w:ind w:left="360"/>
        <w:rPr>
          <w:sz w:val="24"/>
          <w:szCs w:val="24"/>
        </w:rPr>
      </w:pPr>
      <w:r>
        <w:rPr>
          <w:sz w:val="24"/>
          <w:szCs w:val="24"/>
        </w:rPr>
        <w:t>Policy No. 1202 Attachment II – Acknowledgement of Receipt Form</w:t>
      </w:r>
    </w:p>
    <w:p w14:paraId="6B888204" w14:textId="77777777" w:rsidR="00E33A99" w:rsidRDefault="00E33A99" w:rsidP="00E33A99">
      <w:pPr>
        <w:pStyle w:val="NoSpacing"/>
        <w:numPr>
          <w:ilvl w:val="0"/>
          <w:numId w:val="9"/>
        </w:numPr>
        <w:ind w:left="360"/>
        <w:rPr>
          <w:sz w:val="24"/>
          <w:szCs w:val="24"/>
        </w:rPr>
      </w:pPr>
      <w:r>
        <w:rPr>
          <w:sz w:val="24"/>
          <w:szCs w:val="24"/>
        </w:rPr>
        <w:t>Policy No. 1203 Use and Disclosure of Protected Health Information Without Authorization</w:t>
      </w:r>
    </w:p>
    <w:p w14:paraId="6EF0C39E" w14:textId="77777777" w:rsidR="00E33A99" w:rsidRDefault="00E33A99" w:rsidP="00E33A99">
      <w:pPr>
        <w:pStyle w:val="NoSpacing"/>
        <w:numPr>
          <w:ilvl w:val="0"/>
          <w:numId w:val="9"/>
        </w:numPr>
        <w:ind w:left="360"/>
        <w:rPr>
          <w:sz w:val="24"/>
          <w:szCs w:val="24"/>
        </w:rPr>
      </w:pPr>
      <w:r>
        <w:rPr>
          <w:sz w:val="24"/>
          <w:szCs w:val="24"/>
        </w:rPr>
        <w:t>Policy No. 1204 Uses and Disclosures of Protected Health Information (PHI) Requiring Authorization</w:t>
      </w:r>
    </w:p>
    <w:p w14:paraId="258D8175" w14:textId="77777777" w:rsidR="00E33A99" w:rsidRDefault="00E33A99" w:rsidP="00E33A99">
      <w:pPr>
        <w:pStyle w:val="NoSpacing"/>
        <w:numPr>
          <w:ilvl w:val="0"/>
          <w:numId w:val="9"/>
        </w:numPr>
        <w:ind w:left="360"/>
        <w:rPr>
          <w:sz w:val="24"/>
          <w:szCs w:val="24"/>
        </w:rPr>
      </w:pPr>
      <w:r>
        <w:rPr>
          <w:sz w:val="24"/>
          <w:szCs w:val="24"/>
        </w:rPr>
        <w:t>Policy No. 1205 Right to Request Restrictions on the Uses and Disclosures of Protected Health Information (PHI)</w:t>
      </w:r>
    </w:p>
    <w:p w14:paraId="40AC1F20" w14:textId="77777777" w:rsidR="00E33A99" w:rsidRDefault="00E33A99" w:rsidP="00E33A99">
      <w:pPr>
        <w:pStyle w:val="NoSpacing"/>
        <w:numPr>
          <w:ilvl w:val="0"/>
          <w:numId w:val="9"/>
        </w:numPr>
        <w:ind w:left="360"/>
        <w:rPr>
          <w:sz w:val="24"/>
          <w:szCs w:val="24"/>
        </w:rPr>
      </w:pPr>
      <w:r>
        <w:rPr>
          <w:sz w:val="24"/>
          <w:szCs w:val="24"/>
        </w:rPr>
        <w:t>Policy No. 1206 Right to Request Confidential Communications of Protected Health Information (PHI)</w:t>
      </w:r>
    </w:p>
    <w:p w14:paraId="2632DC41" w14:textId="77777777" w:rsidR="00E33A99" w:rsidRDefault="00E33A99" w:rsidP="00E33A99">
      <w:pPr>
        <w:pStyle w:val="NoSpacing"/>
        <w:numPr>
          <w:ilvl w:val="0"/>
          <w:numId w:val="9"/>
        </w:numPr>
        <w:ind w:left="360"/>
        <w:rPr>
          <w:sz w:val="24"/>
          <w:szCs w:val="24"/>
        </w:rPr>
      </w:pPr>
      <w:r>
        <w:rPr>
          <w:sz w:val="24"/>
          <w:szCs w:val="24"/>
        </w:rPr>
        <w:t>Policy No. 1207 Opportunity for an Individual to Agree or Object to the Use and Disclosure of Certain Protected Health Information</w:t>
      </w:r>
    </w:p>
    <w:p w14:paraId="083863FC" w14:textId="77777777" w:rsidR="00E33A99" w:rsidRDefault="00E33A99" w:rsidP="00E33A99">
      <w:pPr>
        <w:pStyle w:val="NoSpacing"/>
        <w:numPr>
          <w:ilvl w:val="0"/>
          <w:numId w:val="9"/>
        </w:numPr>
        <w:ind w:left="360"/>
        <w:rPr>
          <w:sz w:val="24"/>
          <w:szCs w:val="24"/>
        </w:rPr>
      </w:pPr>
      <w:r>
        <w:rPr>
          <w:sz w:val="24"/>
          <w:szCs w:val="24"/>
        </w:rPr>
        <w:t>Policy No. 1208 Minimum Necessary Requirements for Uses and Disclosures of Protected Health Information (PHI)</w:t>
      </w:r>
    </w:p>
    <w:p w14:paraId="76608120" w14:textId="77777777" w:rsidR="00E33A99" w:rsidRDefault="00E33A99" w:rsidP="00E33A99">
      <w:pPr>
        <w:pStyle w:val="NoSpacing"/>
        <w:numPr>
          <w:ilvl w:val="0"/>
          <w:numId w:val="9"/>
        </w:numPr>
        <w:ind w:left="360"/>
        <w:rPr>
          <w:sz w:val="24"/>
          <w:szCs w:val="24"/>
        </w:rPr>
      </w:pPr>
      <w:r>
        <w:rPr>
          <w:sz w:val="24"/>
          <w:szCs w:val="24"/>
        </w:rPr>
        <w:t>Policy No. 1209 Incident Uses and Disclosure of Protect Health Information (PHI)</w:t>
      </w:r>
    </w:p>
    <w:p w14:paraId="6F46ACDF" w14:textId="1B82D882" w:rsidR="00E33A99" w:rsidRDefault="00E33A99" w:rsidP="00E33A99">
      <w:pPr>
        <w:pStyle w:val="NoSpacing"/>
        <w:numPr>
          <w:ilvl w:val="0"/>
          <w:numId w:val="9"/>
        </w:numPr>
        <w:ind w:left="360"/>
        <w:rPr>
          <w:sz w:val="24"/>
          <w:szCs w:val="24"/>
        </w:rPr>
      </w:pPr>
      <w:r>
        <w:rPr>
          <w:sz w:val="24"/>
          <w:szCs w:val="24"/>
        </w:rPr>
        <w:t>Policy No. 1210 Disciplinary Actions/San</w:t>
      </w:r>
      <w:r w:rsidR="00D75F73">
        <w:rPr>
          <w:sz w:val="24"/>
          <w:szCs w:val="24"/>
        </w:rPr>
        <w:t>c</w:t>
      </w:r>
      <w:r>
        <w:rPr>
          <w:sz w:val="24"/>
          <w:szCs w:val="24"/>
        </w:rPr>
        <w:t>tions for Failure to Comply with Privacy Policies and Procedures</w:t>
      </w:r>
    </w:p>
    <w:p w14:paraId="0562D7C8" w14:textId="77777777" w:rsidR="00E33A99" w:rsidRDefault="00E33A99" w:rsidP="00E33A99">
      <w:pPr>
        <w:pStyle w:val="NoSpacing"/>
        <w:numPr>
          <w:ilvl w:val="0"/>
          <w:numId w:val="9"/>
        </w:numPr>
        <w:ind w:left="360"/>
        <w:rPr>
          <w:sz w:val="24"/>
          <w:szCs w:val="24"/>
        </w:rPr>
      </w:pPr>
      <w:r>
        <w:rPr>
          <w:sz w:val="24"/>
          <w:szCs w:val="24"/>
        </w:rPr>
        <w:t>Policy No. 1211 Complaints Related to the Privacy of Protected Health Information (PHI)</w:t>
      </w:r>
    </w:p>
    <w:p w14:paraId="3BFCD55E" w14:textId="77777777" w:rsidR="00E33A99" w:rsidRDefault="00E33A99" w:rsidP="00E33A99">
      <w:pPr>
        <w:pStyle w:val="NoSpacing"/>
        <w:numPr>
          <w:ilvl w:val="0"/>
          <w:numId w:val="9"/>
        </w:numPr>
        <w:ind w:left="360"/>
        <w:rPr>
          <w:sz w:val="24"/>
          <w:szCs w:val="24"/>
        </w:rPr>
      </w:pPr>
      <w:r>
        <w:rPr>
          <w:sz w:val="24"/>
          <w:szCs w:val="24"/>
        </w:rPr>
        <w:t>Policy No. 1211 Attachment I – Breach of Protected Health Information Risk Assessment Tool</w:t>
      </w:r>
    </w:p>
    <w:p w14:paraId="6D925C73" w14:textId="77777777" w:rsidR="00E33A99" w:rsidRDefault="00E33A99" w:rsidP="00E33A99">
      <w:pPr>
        <w:pStyle w:val="NoSpacing"/>
        <w:numPr>
          <w:ilvl w:val="0"/>
          <w:numId w:val="9"/>
        </w:numPr>
        <w:ind w:left="360"/>
        <w:rPr>
          <w:sz w:val="24"/>
          <w:szCs w:val="24"/>
        </w:rPr>
      </w:pPr>
      <w:r>
        <w:rPr>
          <w:sz w:val="24"/>
          <w:szCs w:val="24"/>
        </w:rPr>
        <w:t>Policy No. 1212 Waiver of Rights</w:t>
      </w:r>
    </w:p>
    <w:p w14:paraId="22F197CC" w14:textId="77777777" w:rsidR="00E33A99" w:rsidRDefault="00E33A99" w:rsidP="00E33A99">
      <w:pPr>
        <w:pStyle w:val="NoSpacing"/>
        <w:numPr>
          <w:ilvl w:val="0"/>
          <w:numId w:val="9"/>
        </w:numPr>
        <w:ind w:left="360"/>
        <w:rPr>
          <w:sz w:val="24"/>
          <w:szCs w:val="24"/>
        </w:rPr>
      </w:pPr>
      <w:r>
        <w:rPr>
          <w:sz w:val="24"/>
          <w:szCs w:val="24"/>
        </w:rPr>
        <w:t>Policy No. 1213 Non-Retaliation</w:t>
      </w:r>
    </w:p>
    <w:p w14:paraId="295935DE" w14:textId="77777777" w:rsidR="00E33A99" w:rsidRDefault="00E33A99" w:rsidP="00E33A99">
      <w:pPr>
        <w:pStyle w:val="NoSpacing"/>
        <w:numPr>
          <w:ilvl w:val="0"/>
          <w:numId w:val="9"/>
        </w:numPr>
        <w:ind w:left="360"/>
        <w:rPr>
          <w:sz w:val="24"/>
          <w:szCs w:val="24"/>
        </w:rPr>
      </w:pPr>
      <w:r>
        <w:rPr>
          <w:sz w:val="24"/>
          <w:szCs w:val="24"/>
        </w:rPr>
        <w:t>Policy No. 1214 Designated Record Set</w:t>
      </w:r>
    </w:p>
    <w:p w14:paraId="5E74476F" w14:textId="77777777" w:rsidR="00E33A99" w:rsidRDefault="00E33A99" w:rsidP="00E33A99">
      <w:pPr>
        <w:pStyle w:val="NoSpacing"/>
        <w:numPr>
          <w:ilvl w:val="0"/>
          <w:numId w:val="9"/>
        </w:numPr>
        <w:ind w:left="360"/>
        <w:rPr>
          <w:sz w:val="24"/>
          <w:szCs w:val="24"/>
        </w:rPr>
      </w:pPr>
      <w:r>
        <w:rPr>
          <w:sz w:val="24"/>
          <w:szCs w:val="24"/>
        </w:rPr>
        <w:t>Policy No. 1215 Access of Individuals to Protected Health Information (PHI) Designated Record Set</w:t>
      </w:r>
    </w:p>
    <w:p w14:paraId="2DE55999" w14:textId="77777777" w:rsidR="00E33A99" w:rsidRDefault="00E33A99" w:rsidP="00E33A99">
      <w:pPr>
        <w:pStyle w:val="NoSpacing"/>
        <w:ind w:left="360"/>
        <w:rPr>
          <w:sz w:val="24"/>
          <w:szCs w:val="24"/>
        </w:rPr>
      </w:pPr>
      <w:r>
        <w:rPr>
          <w:sz w:val="24"/>
          <w:szCs w:val="24"/>
        </w:rPr>
        <w:t>Attachment A – Patient’s Request for Access to Health Information</w:t>
      </w:r>
    </w:p>
    <w:p w14:paraId="52AB081D" w14:textId="77777777" w:rsidR="00E33A99" w:rsidRDefault="00E33A99" w:rsidP="00E33A99">
      <w:pPr>
        <w:pStyle w:val="NoSpacing"/>
        <w:ind w:left="360"/>
        <w:rPr>
          <w:sz w:val="24"/>
          <w:szCs w:val="24"/>
        </w:rPr>
      </w:pPr>
      <w:r>
        <w:rPr>
          <w:sz w:val="24"/>
          <w:szCs w:val="24"/>
        </w:rPr>
        <w:t>Attachment B – Letter Responding to Request for Access to PHI</w:t>
      </w:r>
    </w:p>
    <w:p w14:paraId="06632FF5" w14:textId="77777777" w:rsidR="00E33A99" w:rsidRDefault="00E33A99" w:rsidP="00E33A99">
      <w:pPr>
        <w:pStyle w:val="NoSpacing"/>
        <w:ind w:left="360"/>
        <w:rPr>
          <w:sz w:val="24"/>
          <w:szCs w:val="24"/>
        </w:rPr>
      </w:pPr>
      <w:r>
        <w:rPr>
          <w:sz w:val="24"/>
          <w:szCs w:val="24"/>
        </w:rPr>
        <w:t>Attachment C – Request for Review of Denial of Access to PHI</w:t>
      </w:r>
    </w:p>
    <w:p w14:paraId="2633814E" w14:textId="77777777" w:rsidR="00E33A99" w:rsidRDefault="00E33A99" w:rsidP="00E33A99">
      <w:pPr>
        <w:pStyle w:val="NoSpacing"/>
        <w:ind w:left="360"/>
        <w:rPr>
          <w:sz w:val="24"/>
          <w:szCs w:val="24"/>
        </w:rPr>
      </w:pPr>
      <w:r>
        <w:rPr>
          <w:sz w:val="24"/>
          <w:szCs w:val="24"/>
        </w:rPr>
        <w:t>Attachment D – Final Letter of Response for Review of Denial to Access to PHI</w:t>
      </w:r>
    </w:p>
    <w:p w14:paraId="20F442C3" w14:textId="77777777" w:rsidR="00E33A99" w:rsidRDefault="00E33A99" w:rsidP="00E33A99">
      <w:pPr>
        <w:pStyle w:val="NoSpacing"/>
        <w:numPr>
          <w:ilvl w:val="0"/>
          <w:numId w:val="9"/>
        </w:numPr>
        <w:ind w:left="360"/>
        <w:rPr>
          <w:sz w:val="24"/>
          <w:szCs w:val="24"/>
        </w:rPr>
      </w:pPr>
      <w:r>
        <w:rPr>
          <w:sz w:val="24"/>
          <w:szCs w:val="24"/>
        </w:rPr>
        <w:t>Policy No. 1216 Verification of Identify and Authority of Individuals Requesting Protected Health Information</w:t>
      </w:r>
    </w:p>
    <w:p w14:paraId="55B1F9DF" w14:textId="77777777" w:rsidR="00E33A99" w:rsidRDefault="00E33A99" w:rsidP="00E33A99">
      <w:pPr>
        <w:pStyle w:val="NoSpacing"/>
        <w:numPr>
          <w:ilvl w:val="0"/>
          <w:numId w:val="9"/>
        </w:numPr>
        <w:ind w:left="360"/>
        <w:rPr>
          <w:sz w:val="24"/>
          <w:szCs w:val="24"/>
        </w:rPr>
      </w:pPr>
      <w:r w:rsidRPr="00C2788B">
        <w:rPr>
          <w:sz w:val="24"/>
          <w:szCs w:val="24"/>
        </w:rPr>
        <w:t>Policy No. 1217 Use and Disclosure of Protected Health Information of Deceased Individuals and Minors Making Disclosure</w:t>
      </w:r>
      <w:r>
        <w:rPr>
          <w:sz w:val="24"/>
          <w:szCs w:val="24"/>
        </w:rPr>
        <w:t xml:space="preserve"> to Personal Representatives</w:t>
      </w:r>
    </w:p>
    <w:p w14:paraId="27CBC158" w14:textId="77777777" w:rsidR="00E33A99" w:rsidRDefault="00E33A99" w:rsidP="00E33A99">
      <w:pPr>
        <w:pStyle w:val="NoSpacing"/>
        <w:numPr>
          <w:ilvl w:val="0"/>
          <w:numId w:val="9"/>
        </w:numPr>
        <w:ind w:left="360"/>
        <w:rPr>
          <w:sz w:val="24"/>
          <w:szCs w:val="24"/>
        </w:rPr>
      </w:pPr>
      <w:r>
        <w:rPr>
          <w:sz w:val="24"/>
          <w:szCs w:val="24"/>
        </w:rPr>
        <w:t>Policy No. 1218 Amendment of Protected Health Information (PHI) Designated Record Set</w:t>
      </w:r>
    </w:p>
    <w:p w14:paraId="4EC524EF" w14:textId="77777777" w:rsidR="00E33A99" w:rsidRDefault="00E33A99" w:rsidP="00E33A99">
      <w:pPr>
        <w:pStyle w:val="NoSpacing"/>
        <w:numPr>
          <w:ilvl w:val="0"/>
          <w:numId w:val="9"/>
        </w:numPr>
        <w:ind w:left="360"/>
        <w:rPr>
          <w:sz w:val="24"/>
          <w:szCs w:val="24"/>
        </w:rPr>
      </w:pPr>
      <w:r>
        <w:rPr>
          <w:sz w:val="24"/>
          <w:szCs w:val="24"/>
        </w:rPr>
        <w:t>Policy No. 1219 De-Identification of Protect Health Information/Limited Data Sets</w:t>
      </w:r>
    </w:p>
    <w:p w14:paraId="7C26C81A" w14:textId="77777777" w:rsidR="00E33A99" w:rsidRDefault="00E33A99" w:rsidP="00E33A99">
      <w:pPr>
        <w:pStyle w:val="NoSpacing"/>
        <w:numPr>
          <w:ilvl w:val="0"/>
          <w:numId w:val="9"/>
        </w:numPr>
        <w:ind w:left="360"/>
        <w:rPr>
          <w:sz w:val="24"/>
          <w:szCs w:val="24"/>
        </w:rPr>
      </w:pPr>
      <w:r>
        <w:rPr>
          <w:sz w:val="24"/>
          <w:szCs w:val="24"/>
        </w:rPr>
        <w:t>Policy No. 1220 Business Associate Agreement</w:t>
      </w:r>
    </w:p>
    <w:p w14:paraId="76D78122" w14:textId="77777777" w:rsidR="00E33A99" w:rsidRDefault="00E33A99" w:rsidP="00E33A99">
      <w:pPr>
        <w:pStyle w:val="NoSpacing"/>
        <w:ind w:left="360"/>
        <w:rPr>
          <w:sz w:val="24"/>
          <w:szCs w:val="24"/>
        </w:rPr>
      </w:pPr>
      <w:r>
        <w:rPr>
          <w:sz w:val="24"/>
          <w:szCs w:val="24"/>
        </w:rPr>
        <w:t>Attachment A – Business Associate Agreement under HIPAA</w:t>
      </w:r>
    </w:p>
    <w:p w14:paraId="4481E093" w14:textId="77777777" w:rsidR="00E33A99" w:rsidRDefault="00E33A99" w:rsidP="00E33A99">
      <w:pPr>
        <w:pStyle w:val="NoSpacing"/>
        <w:ind w:left="360"/>
        <w:rPr>
          <w:sz w:val="24"/>
          <w:szCs w:val="24"/>
        </w:rPr>
      </w:pPr>
      <w:r>
        <w:rPr>
          <w:sz w:val="24"/>
          <w:szCs w:val="24"/>
        </w:rPr>
        <w:t>Attachment B – Compliance with HIPAA of 1996 – Providers of Patient Care Services</w:t>
      </w:r>
    </w:p>
    <w:p w14:paraId="45913E8B" w14:textId="77777777" w:rsidR="00E33A99" w:rsidRDefault="00E33A99" w:rsidP="00E33A99">
      <w:pPr>
        <w:pStyle w:val="NoSpacing"/>
        <w:ind w:left="360"/>
        <w:rPr>
          <w:sz w:val="24"/>
          <w:szCs w:val="24"/>
        </w:rPr>
      </w:pPr>
      <w:r>
        <w:rPr>
          <w:sz w:val="24"/>
          <w:szCs w:val="24"/>
        </w:rPr>
        <w:t>Attachment C – Inadvertent Medical Record Access</w:t>
      </w:r>
    </w:p>
    <w:p w14:paraId="70193DD9" w14:textId="77777777" w:rsidR="00E33A99" w:rsidRDefault="00E33A99" w:rsidP="00E33A99">
      <w:pPr>
        <w:pStyle w:val="NoSpacing"/>
        <w:numPr>
          <w:ilvl w:val="0"/>
          <w:numId w:val="9"/>
        </w:numPr>
        <w:ind w:left="360"/>
        <w:rPr>
          <w:sz w:val="24"/>
          <w:szCs w:val="24"/>
        </w:rPr>
      </w:pPr>
      <w:r>
        <w:rPr>
          <w:sz w:val="24"/>
          <w:szCs w:val="24"/>
        </w:rPr>
        <w:t>Policy No. 1221 Accounting of Disclosures</w:t>
      </w:r>
    </w:p>
    <w:p w14:paraId="1366A87E" w14:textId="77777777" w:rsidR="00E33A99" w:rsidRDefault="00E33A99" w:rsidP="00E33A99">
      <w:pPr>
        <w:pStyle w:val="NoSpacing"/>
        <w:numPr>
          <w:ilvl w:val="0"/>
          <w:numId w:val="9"/>
        </w:numPr>
        <w:ind w:left="360"/>
        <w:rPr>
          <w:sz w:val="24"/>
          <w:szCs w:val="24"/>
        </w:rPr>
      </w:pPr>
      <w:r>
        <w:rPr>
          <w:sz w:val="24"/>
          <w:szCs w:val="24"/>
        </w:rPr>
        <w:t>Policy No. 1222 Implementing Changes to Privacy Policies</w:t>
      </w:r>
    </w:p>
    <w:p w14:paraId="645AAA96" w14:textId="77777777" w:rsidR="00E33A99" w:rsidRDefault="00E33A99" w:rsidP="00E33A99">
      <w:pPr>
        <w:pStyle w:val="NoSpacing"/>
        <w:numPr>
          <w:ilvl w:val="0"/>
          <w:numId w:val="9"/>
        </w:numPr>
        <w:ind w:left="360"/>
        <w:rPr>
          <w:sz w:val="24"/>
          <w:szCs w:val="24"/>
        </w:rPr>
      </w:pPr>
      <w:r>
        <w:rPr>
          <w:sz w:val="24"/>
          <w:szCs w:val="24"/>
        </w:rPr>
        <w:t>Policy No. 1223 Safeguards of Protected Health Information (PHI)</w:t>
      </w:r>
    </w:p>
    <w:p w14:paraId="054F1AE8" w14:textId="77777777" w:rsidR="00E33A99" w:rsidRDefault="00E33A99" w:rsidP="00E33A99">
      <w:pPr>
        <w:pStyle w:val="NoSpacing"/>
        <w:numPr>
          <w:ilvl w:val="0"/>
          <w:numId w:val="9"/>
        </w:numPr>
        <w:ind w:left="360"/>
        <w:rPr>
          <w:sz w:val="24"/>
          <w:szCs w:val="24"/>
        </w:rPr>
      </w:pPr>
      <w:r>
        <w:rPr>
          <w:sz w:val="24"/>
          <w:szCs w:val="24"/>
        </w:rPr>
        <w:t>Policy No. 1224 Privacy and Security Awareness Training</w:t>
      </w:r>
    </w:p>
    <w:p w14:paraId="46C7E4A9" w14:textId="77777777" w:rsidR="00E33A99" w:rsidRDefault="00E33A99" w:rsidP="00E33A99">
      <w:pPr>
        <w:pStyle w:val="NoSpacing"/>
        <w:numPr>
          <w:ilvl w:val="0"/>
          <w:numId w:val="9"/>
        </w:numPr>
        <w:ind w:left="360"/>
        <w:rPr>
          <w:sz w:val="24"/>
          <w:szCs w:val="24"/>
        </w:rPr>
      </w:pPr>
      <w:r>
        <w:rPr>
          <w:sz w:val="24"/>
          <w:szCs w:val="24"/>
        </w:rPr>
        <w:t>Policy No. 1225 Disclosure of Protected Health Information (PHI) by Whistleblowers Without Patient’s Authorization</w:t>
      </w:r>
    </w:p>
    <w:p w14:paraId="7D9C11F0" w14:textId="77777777" w:rsidR="00E33A99" w:rsidRDefault="00E33A99" w:rsidP="00E33A99">
      <w:pPr>
        <w:pStyle w:val="NoSpacing"/>
        <w:numPr>
          <w:ilvl w:val="0"/>
          <w:numId w:val="9"/>
        </w:numPr>
        <w:ind w:left="360"/>
        <w:rPr>
          <w:sz w:val="24"/>
          <w:szCs w:val="24"/>
        </w:rPr>
      </w:pPr>
      <w:r>
        <w:rPr>
          <w:sz w:val="24"/>
          <w:szCs w:val="24"/>
        </w:rPr>
        <w:t>Policy No. 1226 Mitigation</w:t>
      </w:r>
    </w:p>
    <w:p w14:paraId="67692FA1" w14:textId="77777777" w:rsidR="00E33A99" w:rsidRDefault="00E33A99" w:rsidP="00E33A99">
      <w:pPr>
        <w:pStyle w:val="NoSpacing"/>
        <w:numPr>
          <w:ilvl w:val="0"/>
          <w:numId w:val="9"/>
        </w:numPr>
        <w:ind w:left="360"/>
        <w:rPr>
          <w:sz w:val="24"/>
          <w:szCs w:val="24"/>
        </w:rPr>
      </w:pPr>
      <w:r>
        <w:rPr>
          <w:sz w:val="24"/>
          <w:szCs w:val="24"/>
        </w:rPr>
        <w:t>Policy No. 1227 Use and Disclosure of Protected Health Information for Research Purposes</w:t>
      </w:r>
    </w:p>
    <w:p w14:paraId="49550EAD" w14:textId="77777777" w:rsidR="00E33A99" w:rsidRDefault="00E33A99" w:rsidP="00E33A99">
      <w:pPr>
        <w:pStyle w:val="NoSpacing"/>
        <w:numPr>
          <w:ilvl w:val="0"/>
          <w:numId w:val="9"/>
        </w:numPr>
        <w:ind w:left="360"/>
        <w:rPr>
          <w:sz w:val="24"/>
          <w:szCs w:val="24"/>
        </w:rPr>
      </w:pPr>
      <w:r>
        <w:rPr>
          <w:sz w:val="24"/>
          <w:szCs w:val="24"/>
        </w:rPr>
        <w:t>Policy No. 1228 Use and Disclosure of Protected Health Information for Fundraising</w:t>
      </w:r>
    </w:p>
    <w:p w14:paraId="5F20DEDC" w14:textId="77777777" w:rsidR="00E33A99" w:rsidRDefault="00E33A99" w:rsidP="00E33A99">
      <w:pPr>
        <w:pStyle w:val="NoSpacing"/>
        <w:numPr>
          <w:ilvl w:val="0"/>
          <w:numId w:val="9"/>
        </w:numPr>
        <w:ind w:left="360"/>
        <w:rPr>
          <w:sz w:val="24"/>
          <w:szCs w:val="24"/>
        </w:rPr>
      </w:pPr>
      <w:r>
        <w:rPr>
          <w:sz w:val="24"/>
          <w:szCs w:val="24"/>
        </w:rPr>
        <w:t>Policy No. 1229 Use and Disclosure of Protected Health Information for Marketing Purposes</w:t>
      </w:r>
    </w:p>
    <w:p w14:paraId="7019587B" w14:textId="77777777" w:rsidR="00E33A99" w:rsidRDefault="00E33A99" w:rsidP="00E33A99">
      <w:pPr>
        <w:pStyle w:val="NoSpacing"/>
        <w:numPr>
          <w:ilvl w:val="0"/>
          <w:numId w:val="9"/>
        </w:numPr>
        <w:ind w:left="360"/>
        <w:rPr>
          <w:sz w:val="24"/>
          <w:szCs w:val="24"/>
        </w:rPr>
      </w:pPr>
      <w:r>
        <w:rPr>
          <w:sz w:val="24"/>
          <w:szCs w:val="24"/>
        </w:rPr>
        <w:t>Policy No. 1230 Disclosure of Protected Health Information (PHI) by Workforce Crime Victims Without Patient’s Authorization</w:t>
      </w:r>
    </w:p>
    <w:p w14:paraId="0973B29D" w14:textId="3E0A4B41" w:rsidR="00E33A99" w:rsidRDefault="00E33A99" w:rsidP="00E33A99">
      <w:pPr>
        <w:pStyle w:val="NoSpacing"/>
        <w:numPr>
          <w:ilvl w:val="0"/>
          <w:numId w:val="9"/>
        </w:numPr>
        <w:ind w:left="360"/>
        <w:rPr>
          <w:sz w:val="24"/>
          <w:szCs w:val="24"/>
        </w:rPr>
      </w:pPr>
      <w:r w:rsidRPr="00E33A99">
        <w:rPr>
          <w:sz w:val="24"/>
          <w:szCs w:val="24"/>
        </w:rPr>
        <w:t>Policy No. 1231 Disclosure of Protected Health Information (PHI) Without Patient’s Authorization for Public Health Activities</w:t>
      </w:r>
    </w:p>
    <w:p w14:paraId="2BF5CD3D" w14:textId="1D220AA1" w:rsidR="00336754" w:rsidRDefault="00752689" w:rsidP="00E33A99">
      <w:pPr>
        <w:pStyle w:val="NoSpacing"/>
        <w:numPr>
          <w:ilvl w:val="0"/>
          <w:numId w:val="9"/>
        </w:numPr>
        <w:ind w:left="360"/>
        <w:rPr>
          <w:sz w:val="24"/>
          <w:szCs w:val="24"/>
        </w:rPr>
      </w:pPr>
      <w:r>
        <w:rPr>
          <w:sz w:val="24"/>
          <w:szCs w:val="24"/>
        </w:rPr>
        <w:t>Policy No. 1232 Permitted Uses and Disclosures of Protected Health Information for Treatment, Payment, or Health Care Operations Without Patient Authorization</w:t>
      </w:r>
    </w:p>
    <w:p w14:paraId="3DFE8566" w14:textId="58A4C4D8" w:rsidR="00752689" w:rsidRDefault="00752689" w:rsidP="00E33A99">
      <w:pPr>
        <w:pStyle w:val="NoSpacing"/>
        <w:numPr>
          <w:ilvl w:val="0"/>
          <w:numId w:val="9"/>
        </w:numPr>
        <w:ind w:left="360"/>
        <w:rPr>
          <w:sz w:val="24"/>
          <w:szCs w:val="24"/>
        </w:rPr>
      </w:pPr>
      <w:r>
        <w:rPr>
          <w:sz w:val="24"/>
          <w:szCs w:val="24"/>
        </w:rPr>
        <w:t>Policy No. 1233 Disclosure of Patient’s Protected Health Information (PHI) to His or Her Family Member, Close Personal Friend, or Personal Representative Without Authorization</w:t>
      </w:r>
    </w:p>
    <w:p w14:paraId="44207047" w14:textId="5076A595" w:rsidR="00752689" w:rsidRDefault="00752689" w:rsidP="00E33A99">
      <w:pPr>
        <w:pStyle w:val="NoSpacing"/>
        <w:numPr>
          <w:ilvl w:val="0"/>
          <w:numId w:val="9"/>
        </w:numPr>
        <w:ind w:left="360"/>
        <w:rPr>
          <w:sz w:val="24"/>
          <w:szCs w:val="24"/>
        </w:rPr>
      </w:pPr>
      <w:r>
        <w:rPr>
          <w:sz w:val="24"/>
          <w:szCs w:val="24"/>
        </w:rPr>
        <w:t>Policy No. 1234 Permitted Uses and Disclosures of Protected Health Information for Law Enforcement Requests Without Authorization</w:t>
      </w:r>
    </w:p>
    <w:p w14:paraId="72BB2C4D" w14:textId="7A5FDFAF" w:rsidR="00752689" w:rsidRDefault="00752689" w:rsidP="00E33A99">
      <w:pPr>
        <w:pStyle w:val="NoSpacing"/>
        <w:numPr>
          <w:ilvl w:val="0"/>
          <w:numId w:val="9"/>
        </w:numPr>
        <w:ind w:left="360"/>
        <w:rPr>
          <w:sz w:val="24"/>
          <w:szCs w:val="24"/>
        </w:rPr>
      </w:pPr>
      <w:r>
        <w:rPr>
          <w:sz w:val="24"/>
          <w:szCs w:val="24"/>
        </w:rPr>
        <w:t>Policy No. 1235 Permitted Uses and Disclosures of Protected Health Information for Court Order and Subpoena Requests</w:t>
      </w:r>
    </w:p>
    <w:p w14:paraId="4B152FD0" w14:textId="231526BC" w:rsidR="00752689" w:rsidRDefault="00752689" w:rsidP="00E33A99">
      <w:pPr>
        <w:pStyle w:val="NoSpacing"/>
        <w:numPr>
          <w:ilvl w:val="0"/>
          <w:numId w:val="9"/>
        </w:numPr>
        <w:ind w:left="360"/>
        <w:rPr>
          <w:sz w:val="24"/>
          <w:szCs w:val="24"/>
        </w:rPr>
      </w:pPr>
      <w:r>
        <w:rPr>
          <w:sz w:val="24"/>
          <w:szCs w:val="24"/>
        </w:rPr>
        <w:t>Policy No. 1236 Privacy &amp; Security Breach Notification Policy</w:t>
      </w:r>
    </w:p>
    <w:p w14:paraId="7D7BAE85" w14:textId="7A9ED59D" w:rsidR="00752689" w:rsidRDefault="00752689" w:rsidP="00752689">
      <w:pPr>
        <w:pStyle w:val="NoSpacing"/>
        <w:ind w:left="360"/>
        <w:rPr>
          <w:sz w:val="24"/>
          <w:szCs w:val="24"/>
        </w:rPr>
      </w:pPr>
      <w:r>
        <w:rPr>
          <w:sz w:val="24"/>
          <w:szCs w:val="24"/>
        </w:rPr>
        <w:t>Attachment A – Breach of Protected Health/Personal Information Risk Assessment Tool</w:t>
      </w:r>
    </w:p>
    <w:p w14:paraId="3A75EAB6" w14:textId="02E85EB8" w:rsidR="00752689" w:rsidRDefault="00752689" w:rsidP="00752689">
      <w:pPr>
        <w:pStyle w:val="NoSpacing"/>
        <w:ind w:left="360"/>
        <w:rPr>
          <w:sz w:val="24"/>
          <w:szCs w:val="24"/>
        </w:rPr>
      </w:pPr>
      <w:r>
        <w:rPr>
          <w:sz w:val="24"/>
          <w:szCs w:val="24"/>
        </w:rPr>
        <w:t>Attachment B – Information Security Incident Report</w:t>
      </w:r>
    </w:p>
    <w:p w14:paraId="278666C7" w14:textId="777F157B" w:rsidR="00752689" w:rsidRPr="00E33A99" w:rsidRDefault="00752689" w:rsidP="00752689">
      <w:pPr>
        <w:pStyle w:val="NoSpacing"/>
        <w:ind w:left="360"/>
        <w:rPr>
          <w:sz w:val="24"/>
          <w:szCs w:val="24"/>
        </w:rPr>
      </w:pPr>
      <w:r>
        <w:rPr>
          <w:sz w:val="24"/>
          <w:szCs w:val="24"/>
        </w:rPr>
        <w:t>Attachment C – Unsecured Protected Health/Personal Information Breach Reporting Form</w:t>
      </w:r>
    </w:p>
    <w:sectPr w:rsidR="00752689" w:rsidRPr="00E33A99">
      <w:headerReference w:type="default" r:id="rId10"/>
      <w:footerReference w:type="default" r:id="rId11"/>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 w:author="Stuart McMullen" w:date="2020-05-18T16:42:00Z" w:initials="SM">
    <w:p w14:paraId="280BDA56" w14:textId="5B4642E5" w:rsidR="00CC532A" w:rsidRDefault="00CC532A">
      <w:pPr>
        <w:pStyle w:val="CommentText"/>
      </w:pPr>
      <w:r>
        <w:rPr>
          <w:rStyle w:val="CommentReference"/>
        </w:rPr>
        <w:annotationRef/>
      </w:r>
      <w:r>
        <w:t>If TBCP decides to eliminate the list of policies, I suggest deleting this sentence and inserting the “blue lettered sentence”.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80BDA5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80BDA56" w16cid:durableId="227A026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08ABE1" w14:textId="77777777" w:rsidR="005828EF" w:rsidRDefault="005828EF" w:rsidP="005828EF">
      <w:pPr>
        <w:spacing w:line="240" w:lineRule="auto"/>
      </w:pPr>
      <w:r>
        <w:separator/>
      </w:r>
    </w:p>
  </w:endnote>
  <w:endnote w:type="continuationSeparator" w:id="0">
    <w:p w14:paraId="328E0FB6" w14:textId="77777777" w:rsidR="005828EF" w:rsidRDefault="005828EF" w:rsidP="005828E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97354447"/>
      <w:docPartObj>
        <w:docPartGallery w:val="Page Numbers (Bottom of Page)"/>
        <w:docPartUnique/>
      </w:docPartObj>
    </w:sdtPr>
    <w:sdtEndPr/>
    <w:sdtContent>
      <w:sdt>
        <w:sdtPr>
          <w:id w:val="-1769616900"/>
          <w:docPartObj>
            <w:docPartGallery w:val="Page Numbers (Top of Page)"/>
            <w:docPartUnique/>
          </w:docPartObj>
        </w:sdtPr>
        <w:sdtEndPr/>
        <w:sdtContent>
          <w:p w14:paraId="20419A15" w14:textId="7FD33152" w:rsidR="00C21885" w:rsidRDefault="00C21885" w:rsidP="00C21885">
            <w:pPr>
              <w:pStyle w:val="Footer"/>
              <w:tabs>
                <w:tab w:val="clear" w:pos="9360"/>
              </w:tabs>
              <w:ind w:right="-720"/>
              <w:jc w:val="right"/>
            </w:pPr>
            <w:r>
              <w:t xml:space="preserve">Page </w:t>
            </w:r>
            <w:r>
              <w:rPr>
                <w:b/>
                <w:bCs/>
                <w:szCs w:val="24"/>
              </w:rPr>
              <w:fldChar w:fldCharType="begin"/>
            </w:r>
            <w:r>
              <w:rPr>
                <w:b/>
                <w:bCs/>
              </w:rPr>
              <w:instrText xml:space="preserve"> PAGE </w:instrText>
            </w:r>
            <w:r>
              <w:rPr>
                <w:b/>
                <w:bCs/>
                <w:szCs w:val="24"/>
              </w:rPr>
              <w:fldChar w:fldCharType="separate"/>
            </w:r>
            <w:r w:rsidR="00CA730D">
              <w:rPr>
                <w:b/>
                <w:bCs/>
                <w:noProof/>
              </w:rPr>
              <w:t>5</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CA730D">
              <w:rPr>
                <w:b/>
                <w:bCs/>
                <w:noProof/>
              </w:rPr>
              <w:t>7</w:t>
            </w:r>
            <w:r>
              <w:rPr>
                <w:b/>
                <w:bCs/>
                <w:szCs w:val="24"/>
              </w:rPr>
              <w:fldChar w:fldCharType="end"/>
            </w:r>
          </w:p>
        </w:sdtContent>
      </w:sdt>
    </w:sdtContent>
  </w:sdt>
  <w:p w14:paraId="58E91473" w14:textId="77777777" w:rsidR="00C21885" w:rsidRDefault="00C218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E93324" w14:textId="77777777" w:rsidR="005828EF" w:rsidRDefault="005828EF" w:rsidP="005828EF">
      <w:pPr>
        <w:spacing w:line="240" w:lineRule="auto"/>
      </w:pPr>
      <w:r>
        <w:separator/>
      </w:r>
    </w:p>
  </w:footnote>
  <w:footnote w:type="continuationSeparator" w:id="0">
    <w:p w14:paraId="1D946C4F" w14:textId="77777777" w:rsidR="005828EF" w:rsidRDefault="005828EF" w:rsidP="005828E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B5A5ED" w14:textId="1669FABF" w:rsidR="005828EF" w:rsidRPr="0096409B" w:rsidRDefault="005828EF" w:rsidP="005828EF">
    <w:pPr>
      <w:ind w:left="-720" w:right="-810"/>
      <w:rPr>
        <w:b/>
        <w:sz w:val="20"/>
        <w:szCs w:val="20"/>
        <w:lang w:eastAsia="ar-SA"/>
      </w:rPr>
    </w:pPr>
    <w:r w:rsidRPr="0096409B">
      <w:rPr>
        <w:b/>
        <w:sz w:val="20"/>
        <w:szCs w:val="20"/>
        <w:lang w:eastAsia="ar-SA"/>
      </w:rPr>
      <w:t>COUNTY OF LOS ANGELES – DEPARTMENT OF PUBLIC HEALTH</w:t>
    </w:r>
    <w:r w:rsidRPr="0096409B">
      <w:rPr>
        <w:b/>
        <w:sz w:val="20"/>
        <w:szCs w:val="20"/>
        <w:lang w:eastAsia="ar-SA"/>
      </w:rPr>
      <w:tab/>
    </w:r>
    <w:r w:rsidRPr="0096409B">
      <w:rPr>
        <w:b/>
        <w:sz w:val="20"/>
        <w:szCs w:val="20"/>
        <w:lang w:eastAsia="ar-SA"/>
      </w:rPr>
      <w:tab/>
    </w:r>
    <w:r w:rsidRPr="0096409B">
      <w:rPr>
        <w:b/>
        <w:sz w:val="20"/>
        <w:szCs w:val="20"/>
        <w:lang w:eastAsia="ar-SA"/>
      </w:rPr>
      <w:tab/>
      <w:t xml:space="preserve">            </w:t>
    </w:r>
    <w:r>
      <w:rPr>
        <w:b/>
        <w:sz w:val="20"/>
        <w:szCs w:val="20"/>
        <w:lang w:eastAsia="ar-SA"/>
      </w:rPr>
      <w:t xml:space="preserve">  </w:t>
    </w:r>
    <w:r w:rsidRPr="0096409B">
      <w:rPr>
        <w:b/>
        <w:sz w:val="20"/>
        <w:szCs w:val="20"/>
        <w:lang w:eastAsia="ar-SA"/>
      </w:rPr>
      <w:t>TUBERCULOSIS CONTROL PROGRAM</w:t>
    </w:r>
  </w:p>
  <w:p w14:paraId="10AB5502" w14:textId="7FCCB630" w:rsidR="005828EF" w:rsidRPr="0096409B" w:rsidRDefault="005828EF" w:rsidP="005828EF">
    <w:pPr>
      <w:ind w:left="-720" w:right="-720"/>
      <w:rPr>
        <w:b/>
        <w:sz w:val="20"/>
        <w:szCs w:val="20"/>
        <w:lang w:eastAsia="ar-SA"/>
      </w:rPr>
    </w:pPr>
    <w:r w:rsidRPr="0096409B">
      <w:rPr>
        <w:b/>
        <w:sz w:val="20"/>
        <w:szCs w:val="20"/>
        <w:lang w:eastAsia="ar-SA"/>
      </w:rPr>
      <w:t xml:space="preserve">ANNOUNCEMENT:  </w:t>
    </w:r>
    <w:r w:rsidRPr="0096409B">
      <w:rPr>
        <w:b/>
        <w:sz w:val="20"/>
        <w:szCs w:val="20"/>
        <w:lang w:val="x-none" w:eastAsia="ar-SA"/>
      </w:rPr>
      <w:t>CDC-RFA-PS</w:t>
    </w:r>
    <w:r w:rsidRPr="0096409B">
      <w:rPr>
        <w:b/>
        <w:sz w:val="20"/>
        <w:szCs w:val="20"/>
        <w:lang w:eastAsia="ar-SA"/>
      </w:rPr>
      <w:t>20</w:t>
    </w:r>
    <w:r w:rsidRPr="0096409B">
      <w:rPr>
        <w:b/>
        <w:sz w:val="20"/>
        <w:szCs w:val="20"/>
        <w:lang w:val="x-none" w:eastAsia="ar-SA"/>
      </w:rPr>
      <w:t>-</w:t>
    </w:r>
    <w:r w:rsidRPr="0096409B">
      <w:rPr>
        <w:b/>
        <w:sz w:val="20"/>
        <w:szCs w:val="20"/>
        <w:lang w:eastAsia="ar-SA"/>
      </w:rPr>
      <w:t>2001</w:t>
    </w:r>
    <w:r w:rsidRPr="0096409B">
      <w:rPr>
        <w:b/>
        <w:sz w:val="20"/>
        <w:szCs w:val="20"/>
        <w:lang w:eastAsia="ar-SA"/>
      </w:rPr>
      <w:tab/>
    </w:r>
    <w:r w:rsidRPr="0096409B">
      <w:rPr>
        <w:b/>
        <w:sz w:val="20"/>
        <w:szCs w:val="20"/>
        <w:lang w:eastAsia="ar-SA"/>
      </w:rPr>
      <w:tab/>
    </w:r>
    <w:r w:rsidRPr="0096409B">
      <w:rPr>
        <w:b/>
        <w:sz w:val="20"/>
        <w:szCs w:val="20"/>
        <w:lang w:eastAsia="ar-SA"/>
      </w:rPr>
      <w:tab/>
    </w:r>
    <w:r w:rsidRPr="0096409B">
      <w:rPr>
        <w:b/>
        <w:sz w:val="20"/>
        <w:szCs w:val="20"/>
        <w:lang w:eastAsia="ar-SA"/>
      </w:rPr>
      <w:tab/>
    </w:r>
    <w:r w:rsidRPr="0096409B">
      <w:rPr>
        <w:b/>
        <w:sz w:val="20"/>
        <w:szCs w:val="20"/>
        <w:lang w:eastAsia="ar-SA"/>
      </w:rPr>
      <w:tab/>
    </w:r>
    <w:r w:rsidRPr="0096409B">
      <w:rPr>
        <w:b/>
        <w:sz w:val="20"/>
        <w:szCs w:val="20"/>
        <w:lang w:eastAsia="ar-SA"/>
      </w:rPr>
      <w:tab/>
    </w:r>
    <w:r w:rsidRPr="0096409B">
      <w:rPr>
        <w:b/>
        <w:sz w:val="20"/>
        <w:szCs w:val="20"/>
        <w:lang w:eastAsia="ar-SA"/>
      </w:rPr>
      <w:tab/>
      <w:t xml:space="preserve">        </w:t>
    </w:r>
  </w:p>
  <w:p w14:paraId="48834F57" w14:textId="1CDC0776" w:rsidR="005828EF" w:rsidRPr="005828EF" w:rsidRDefault="005828EF" w:rsidP="005828EF">
    <w:pPr>
      <w:spacing w:after="60"/>
      <w:ind w:left="-720" w:right="-810"/>
      <w:rPr>
        <w:b/>
        <w:sz w:val="20"/>
        <w:szCs w:val="20"/>
        <w:lang w:eastAsia="ar-SA"/>
      </w:rPr>
    </w:pPr>
    <w:r w:rsidRPr="0096409B">
      <w:rPr>
        <w:b/>
        <w:sz w:val="20"/>
        <w:szCs w:val="20"/>
        <w:lang w:eastAsia="ar-SA"/>
      </w:rPr>
      <w:t>APPLICANT:  NU52PS</w:t>
    </w:r>
    <w:r>
      <w:rPr>
        <w:b/>
        <w:sz w:val="20"/>
        <w:szCs w:val="20"/>
        <w:lang w:eastAsia="ar-SA"/>
      </w:rPr>
      <w:t>910203</w:t>
    </w:r>
    <w:r>
      <w:rPr>
        <w:b/>
        <w:sz w:val="20"/>
        <w:szCs w:val="20"/>
        <w:lang w:eastAsia="ar-SA"/>
      </w:rPr>
      <w:tab/>
    </w:r>
    <w:r>
      <w:rPr>
        <w:b/>
        <w:sz w:val="20"/>
        <w:szCs w:val="20"/>
        <w:lang w:eastAsia="ar-SA"/>
      </w:rPr>
      <w:tab/>
    </w:r>
    <w:r>
      <w:rPr>
        <w:b/>
        <w:sz w:val="20"/>
        <w:szCs w:val="20"/>
        <w:lang w:eastAsia="ar-SA"/>
      </w:rPr>
      <w:tab/>
    </w:r>
    <w:r>
      <w:rPr>
        <w:b/>
        <w:sz w:val="20"/>
        <w:szCs w:val="20"/>
        <w:lang w:eastAsia="ar-SA"/>
      </w:rPr>
      <w:tab/>
    </w:r>
    <w:r>
      <w:rPr>
        <w:b/>
        <w:sz w:val="20"/>
        <w:szCs w:val="20"/>
        <w:lang w:eastAsia="ar-SA"/>
      </w:rPr>
      <w:tab/>
    </w:r>
    <w:r>
      <w:rPr>
        <w:b/>
        <w:sz w:val="20"/>
        <w:szCs w:val="20"/>
        <w:lang w:eastAsia="ar-SA"/>
      </w:rPr>
      <w:tab/>
    </w:r>
    <w:r>
      <w:rPr>
        <w:b/>
        <w:sz w:val="20"/>
        <w:szCs w:val="20"/>
        <w:lang w:eastAsia="ar-SA"/>
      </w:rPr>
      <w:tab/>
    </w:r>
    <w:r>
      <w:rPr>
        <w:b/>
        <w:sz w:val="20"/>
        <w:szCs w:val="20"/>
        <w:lang w:eastAsia="ar-SA"/>
      </w:rPr>
      <w:tab/>
      <w:t xml:space="preserve">               DATA MANAGEMENT PLAN</w:t>
    </w:r>
  </w:p>
  <w:p w14:paraId="4621818E" w14:textId="77777777" w:rsidR="005828EF" w:rsidRDefault="005828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8D02F9"/>
    <w:multiLevelType w:val="hybridMultilevel"/>
    <w:tmpl w:val="3C3C316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A880353"/>
    <w:multiLevelType w:val="hybridMultilevel"/>
    <w:tmpl w:val="99F0F2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3842D9D"/>
    <w:multiLevelType w:val="hybridMultilevel"/>
    <w:tmpl w:val="482665D4"/>
    <w:lvl w:ilvl="0" w:tplc="7F52F80A">
      <w:start w:val="1"/>
      <w:numFmt w:val="upperLetter"/>
      <w:pStyle w:val="Heading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460EBB"/>
    <w:multiLevelType w:val="hybridMultilevel"/>
    <w:tmpl w:val="EF10CBA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6FD7954"/>
    <w:multiLevelType w:val="hybridMultilevel"/>
    <w:tmpl w:val="55CE0FD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932FA5"/>
    <w:multiLevelType w:val="hybridMultilevel"/>
    <w:tmpl w:val="39B2ECDE"/>
    <w:lvl w:ilvl="0" w:tplc="AFCCB56A">
      <w:start w:val="1"/>
      <w:numFmt w:val="upperRoman"/>
      <w:lvlText w:val="%1."/>
      <w:lvlJc w:val="left"/>
      <w:pPr>
        <w:ind w:left="1080" w:hanging="720"/>
      </w:pPr>
      <w:rPr>
        <w:rFonts w:hint="default"/>
        <w:color w:val="000000" w:themeColor="text1"/>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9B45DF7"/>
    <w:multiLevelType w:val="hybridMultilevel"/>
    <w:tmpl w:val="179063B4"/>
    <w:lvl w:ilvl="0" w:tplc="CA2ECE0A">
      <w:start w:val="1"/>
      <w:numFmt w:val="upperRoman"/>
      <w:pStyle w:val="Heading1"/>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F5B3DEE"/>
    <w:multiLevelType w:val="hybridMultilevel"/>
    <w:tmpl w:val="D83E781C"/>
    <w:lvl w:ilvl="0" w:tplc="F67C9D4C">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1E07122"/>
    <w:multiLevelType w:val="hybridMultilevel"/>
    <w:tmpl w:val="F4F03366"/>
    <w:lvl w:ilvl="0" w:tplc="B49C5B2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F331402"/>
    <w:multiLevelType w:val="hybridMultilevel"/>
    <w:tmpl w:val="6E22ACD0"/>
    <w:lvl w:ilvl="0" w:tplc="04090001">
      <w:start w:val="1"/>
      <w:numFmt w:val="bullet"/>
      <w:lvlText w:val=""/>
      <w:lvlJc w:val="left"/>
      <w:pPr>
        <w:ind w:left="1128" w:hanging="360"/>
      </w:pPr>
      <w:rPr>
        <w:rFonts w:ascii="Symbol" w:hAnsi="Symbol" w:hint="default"/>
      </w:rPr>
    </w:lvl>
    <w:lvl w:ilvl="1" w:tplc="04090003" w:tentative="1">
      <w:start w:val="1"/>
      <w:numFmt w:val="bullet"/>
      <w:lvlText w:val="o"/>
      <w:lvlJc w:val="left"/>
      <w:pPr>
        <w:ind w:left="1848" w:hanging="360"/>
      </w:pPr>
      <w:rPr>
        <w:rFonts w:ascii="Courier New" w:hAnsi="Courier New" w:cs="Courier New" w:hint="default"/>
      </w:rPr>
    </w:lvl>
    <w:lvl w:ilvl="2" w:tplc="04090005" w:tentative="1">
      <w:start w:val="1"/>
      <w:numFmt w:val="bullet"/>
      <w:lvlText w:val=""/>
      <w:lvlJc w:val="left"/>
      <w:pPr>
        <w:ind w:left="2568" w:hanging="360"/>
      </w:pPr>
      <w:rPr>
        <w:rFonts w:ascii="Wingdings" w:hAnsi="Wingdings" w:hint="default"/>
      </w:rPr>
    </w:lvl>
    <w:lvl w:ilvl="3" w:tplc="04090001" w:tentative="1">
      <w:start w:val="1"/>
      <w:numFmt w:val="bullet"/>
      <w:lvlText w:val=""/>
      <w:lvlJc w:val="left"/>
      <w:pPr>
        <w:ind w:left="3288" w:hanging="360"/>
      </w:pPr>
      <w:rPr>
        <w:rFonts w:ascii="Symbol" w:hAnsi="Symbol" w:hint="default"/>
      </w:rPr>
    </w:lvl>
    <w:lvl w:ilvl="4" w:tplc="04090003" w:tentative="1">
      <w:start w:val="1"/>
      <w:numFmt w:val="bullet"/>
      <w:lvlText w:val="o"/>
      <w:lvlJc w:val="left"/>
      <w:pPr>
        <w:ind w:left="4008" w:hanging="360"/>
      </w:pPr>
      <w:rPr>
        <w:rFonts w:ascii="Courier New" w:hAnsi="Courier New" w:cs="Courier New" w:hint="default"/>
      </w:rPr>
    </w:lvl>
    <w:lvl w:ilvl="5" w:tplc="04090005" w:tentative="1">
      <w:start w:val="1"/>
      <w:numFmt w:val="bullet"/>
      <w:lvlText w:val=""/>
      <w:lvlJc w:val="left"/>
      <w:pPr>
        <w:ind w:left="4728" w:hanging="360"/>
      </w:pPr>
      <w:rPr>
        <w:rFonts w:ascii="Wingdings" w:hAnsi="Wingdings" w:hint="default"/>
      </w:rPr>
    </w:lvl>
    <w:lvl w:ilvl="6" w:tplc="04090001" w:tentative="1">
      <w:start w:val="1"/>
      <w:numFmt w:val="bullet"/>
      <w:lvlText w:val=""/>
      <w:lvlJc w:val="left"/>
      <w:pPr>
        <w:ind w:left="5448" w:hanging="360"/>
      </w:pPr>
      <w:rPr>
        <w:rFonts w:ascii="Symbol" w:hAnsi="Symbol" w:hint="default"/>
      </w:rPr>
    </w:lvl>
    <w:lvl w:ilvl="7" w:tplc="04090003" w:tentative="1">
      <w:start w:val="1"/>
      <w:numFmt w:val="bullet"/>
      <w:lvlText w:val="o"/>
      <w:lvlJc w:val="left"/>
      <w:pPr>
        <w:ind w:left="6168" w:hanging="360"/>
      </w:pPr>
      <w:rPr>
        <w:rFonts w:ascii="Courier New" w:hAnsi="Courier New" w:cs="Courier New" w:hint="default"/>
      </w:rPr>
    </w:lvl>
    <w:lvl w:ilvl="8" w:tplc="04090005" w:tentative="1">
      <w:start w:val="1"/>
      <w:numFmt w:val="bullet"/>
      <w:lvlText w:val=""/>
      <w:lvlJc w:val="left"/>
      <w:pPr>
        <w:ind w:left="6888" w:hanging="360"/>
      </w:pPr>
      <w:rPr>
        <w:rFonts w:ascii="Wingdings" w:hAnsi="Wingdings" w:hint="default"/>
      </w:rPr>
    </w:lvl>
  </w:abstractNum>
  <w:num w:numId="1">
    <w:abstractNumId w:val="8"/>
  </w:num>
  <w:num w:numId="2">
    <w:abstractNumId w:val="0"/>
  </w:num>
  <w:num w:numId="3">
    <w:abstractNumId w:val="7"/>
  </w:num>
  <w:num w:numId="4">
    <w:abstractNumId w:val="3"/>
  </w:num>
  <w:num w:numId="5">
    <w:abstractNumId w:val="5"/>
  </w:num>
  <w:num w:numId="6">
    <w:abstractNumId w:val="4"/>
  </w:num>
  <w:num w:numId="7">
    <w:abstractNumId w:val="2"/>
  </w:num>
  <w:num w:numId="8">
    <w:abstractNumId w:val="6"/>
  </w:num>
  <w:num w:numId="9">
    <w:abstractNumId w:val="1"/>
  </w:num>
  <w:num w:numId="10">
    <w:abstractNumId w:val="9"/>
  </w:num>
  <w:num w:numId="11">
    <w:abstractNumId w:val="2"/>
    <w:lvlOverride w:ilvl="0">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tuart McMullen">
    <w15:presenceInfo w15:providerId="None" w15:userId="Stuart McMull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activeWritingStyle w:appName="MSWord" w:lang="en-US" w:vendorID="64" w:dllVersion="6" w:nlCheck="1" w:checkStyle="0"/>
  <w:activeWritingStyle w:appName="MSWord" w:lang="en-US" w:vendorID="64" w:dllVersion="0" w:nlCheck="1" w:checkStyle="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7F5"/>
    <w:rsid w:val="000C156B"/>
    <w:rsid w:val="000F2E3D"/>
    <w:rsid w:val="00132B5C"/>
    <w:rsid w:val="001E1322"/>
    <w:rsid w:val="00255BA8"/>
    <w:rsid w:val="002F382D"/>
    <w:rsid w:val="003117DD"/>
    <w:rsid w:val="00336754"/>
    <w:rsid w:val="003435E2"/>
    <w:rsid w:val="003554AD"/>
    <w:rsid w:val="00373B0C"/>
    <w:rsid w:val="003777F5"/>
    <w:rsid w:val="00387768"/>
    <w:rsid w:val="003A2109"/>
    <w:rsid w:val="003C5075"/>
    <w:rsid w:val="0041568E"/>
    <w:rsid w:val="00444C2B"/>
    <w:rsid w:val="004B3F6B"/>
    <w:rsid w:val="00504623"/>
    <w:rsid w:val="00510CC1"/>
    <w:rsid w:val="005169B6"/>
    <w:rsid w:val="00566D15"/>
    <w:rsid w:val="005772AE"/>
    <w:rsid w:val="005828EF"/>
    <w:rsid w:val="00582D4C"/>
    <w:rsid w:val="00644693"/>
    <w:rsid w:val="006460CC"/>
    <w:rsid w:val="00651DEB"/>
    <w:rsid w:val="00673C04"/>
    <w:rsid w:val="00674644"/>
    <w:rsid w:val="006D7A4F"/>
    <w:rsid w:val="007357B4"/>
    <w:rsid w:val="00735EBB"/>
    <w:rsid w:val="00752689"/>
    <w:rsid w:val="007B3431"/>
    <w:rsid w:val="00825D42"/>
    <w:rsid w:val="008917D6"/>
    <w:rsid w:val="008F0351"/>
    <w:rsid w:val="0092051E"/>
    <w:rsid w:val="00981F96"/>
    <w:rsid w:val="00992BAC"/>
    <w:rsid w:val="00995311"/>
    <w:rsid w:val="009B0658"/>
    <w:rsid w:val="009C6984"/>
    <w:rsid w:val="00A172CB"/>
    <w:rsid w:val="00A337EA"/>
    <w:rsid w:val="00A87656"/>
    <w:rsid w:val="00A91124"/>
    <w:rsid w:val="00AB0CB0"/>
    <w:rsid w:val="00AC1867"/>
    <w:rsid w:val="00AC4BFF"/>
    <w:rsid w:val="00AE2CFB"/>
    <w:rsid w:val="00B53F2D"/>
    <w:rsid w:val="00B96B08"/>
    <w:rsid w:val="00BF56C5"/>
    <w:rsid w:val="00C21885"/>
    <w:rsid w:val="00C2788B"/>
    <w:rsid w:val="00C7318B"/>
    <w:rsid w:val="00C87802"/>
    <w:rsid w:val="00CA730D"/>
    <w:rsid w:val="00CC532A"/>
    <w:rsid w:val="00CD6685"/>
    <w:rsid w:val="00D75F73"/>
    <w:rsid w:val="00DD515E"/>
    <w:rsid w:val="00DE4BCB"/>
    <w:rsid w:val="00E33A99"/>
    <w:rsid w:val="00E822C2"/>
    <w:rsid w:val="00E95D33"/>
    <w:rsid w:val="00EB2D6A"/>
    <w:rsid w:val="00EE08EF"/>
    <w:rsid w:val="00EE3A1C"/>
    <w:rsid w:val="00F21139"/>
    <w:rsid w:val="00F36F01"/>
    <w:rsid w:val="00F50E54"/>
    <w:rsid w:val="00F85F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2A929"/>
  <w15:chartTrackingRefBased/>
  <w15:docId w15:val="{BC2B9847-379F-49EF-9ADA-64A8FCC7E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885"/>
    <w:pPr>
      <w:spacing w:after="0" w:line="256" w:lineRule="auto"/>
    </w:pPr>
    <w:rPr>
      <w:sz w:val="24"/>
    </w:rPr>
  </w:style>
  <w:style w:type="paragraph" w:styleId="Heading1">
    <w:name w:val="heading 1"/>
    <w:basedOn w:val="Normal"/>
    <w:next w:val="Normal"/>
    <w:link w:val="Heading1Char"/>
    <w:uiPriority w:val="9"/>
    <w:qFormat/>
    <w:rsid w:val="00A87656"/>
    <w:pPr>
      <w:keepNext/>
      <w:keepLines/>
      <w:numPr>
        <w:numId w:val="8"/>
      </w:numPr>
      <w:spacing w:before="240"/>
      <w:outlineLvl w:val="0"/>
    </w:pPr>
    <w:rPr>
      <w:rFonts w:eastAsiaTheme="majorEastAsia" w:cstheme="majorBidi"/>
      <w:b/>
      <w:caps/>
      <w:color w:val="000000" w:themeColor="text1"/>
      <w:szCs w:val="32"/>
    </w:rPr>
  </w:style>
  <w:style w:type="paragraph" w:styleId="Heading2">
    <w:name w:val="heading 2"/>
    <w:basedOn w:val="Normal"/>
    <w:next w:val="Normal"/>
    <w:link w:val="Heading2Char"/>
    <w:uiPriority w:val="9"/>
    <w:unhideWhenUsed/>
    <w:qFormat/>
    <w:rsid w:val="00EE08EF"/>
    <w:pPr>
      <w:keepNext/>
      <w:keepLines/>
      <w:numPr>
        <w:numId w:val="7"/>
      </w:numPr>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777F5"/>
    <w:pPr>
      <w:spacing w:after="0" w:line="240" w:lineRule="auto"/>
    </w:pPr>
  </w:style>
  <w:style w:type="paragraph" w:styleId="ListParagraph">
    <w:name w:val="List Paragraph"/>
    <w:basedOn w:val="Normal"/>
    <w:uiPriority w:val="34"/>
    <w:qFormat/>
    <w:rsid w:val="00566D15"/>
    <w:pPr>
      <w:ind w:left="720"/>
      <w:contextualSpacing/>
    </w:pPr>
  </w:style>
  <w:style w:type="paragraph" w:styleId="Header">
    <w:name w:val="header"/>
    <w:basedOn w:val="Normal"/>
    <w:link w:val="HeaderChar"/>
    <w:uiPriority w:val="99"/>
    <w:unhideWhenUsed/>
    <w:rsid w:val="005828EF"/>
    <w:pPr>
      <w:tabs>
        <w:tab w:val="center" w:pos="4680"/>
        <w:tab w:val="right" w:pos="9360"/>
      </w:tabs>
      <w:spacing w:line="240" w:lineRule="auto"/>
    </w:pPr>
  </w:style>
  <w:style w:type="character" w:customStyle="1" w:styleId="HeaderChar">
    <w:name w:val="Header Char"/>
    <w:basedOn w:val="DefaultParagraphFont"/>
    <w:link w:val="Header"/>
    <w:uiPriority w:val="99"/>
    <w:rsid w:val="005828EF"/>
  </w:style>
  <w:style w:type="paragraph" w:styleId="Footer">
    <w:name w:val="footer"/>
    <w:basedOn w:val="Normal"/>
    <w:link w:val="FooterChar"/>
    <w:uiPriority w:val="99"/>
    <w:unhideWhenUsed/>
    <w:rsid w:val="005828EF"/>
    <w:pPr>
      <w:tabs>
        <w:tab w:val="center" w:pos="4680"/>
        <w:tab w:val="right" w:pos="9360"/>
      </w:tabs>
      <w:spacing w:line="240" w:lineRule="auto"/>
    </w:pPr>
  </w:style>
  <w:style w:type="character" w:customStyle="1" w:styleId="FooterChar">
    <w:name w:val="Footer Char"/>
    <w:basedOn w:val="DefaultParagraphFont"/>
    <w:link w:val="Footer"/>
    <w:uiPriority w:val="99"/>
    <w:rsid w:val="005828EF"/>
  </w:style>
  <w:style w:type="character" w:customStyle="1" w:styleId="Heading1Char">
    <w:name w:val="Heading 1 Char"/>
    <w:basedOn w:val="DefaultParagraphFont"/>
    <w:link w:val="Heading1"/>
    <w:uiPriority w:val="9"/>
    <w:rsid w:val="00A87656"/>
    <w:rPr>
      <w:rFonts w:eastAsiaTheme="majorEastAsia" w:cstheme="majorBidi"/>
      <w:b/>
      <w:caps/>
      <w:color w:val="000000" w:themeColor="text1"/>
      <w:sz w:val="24"/>
      <w:szCs w:val="32"/>
    </w:rPr>
  </w:style>
  <w:style w:type="character" w:customStyle="1" w:styleId="Heading2Char">
    <w:name w:val="Heading 2 Char"/>
    <w:basedOn w:val="DefaultParagraphFont"/>
    <w:link w:val="Heading2"/>
    <w:uiPriority w:val="9"/>
    <w:rsid w:val="00EE08EF"/>
    <w:rPr>
      <w:rFonts w:eastAsiaTheme="majorEastAsia" w:cstheme="majorBidi"/>
      <w:b/>
      <w:color w:val="000000" w:themeColor="text1"/>
      <w:sz w:val="24"/>
      <w:szCs w:val="26"/>
    </w:rPr>
  </w:style>
  <w:style w:type="character" w:styleId="CommentReference">
    <w:name w:val="annotation reference"/>
    <w:basedOn w:val="DefaultParagraphFont"/>
    <w:uiPriority w:val="99"/>
    <w:semiHidden/>
    <w:unhideWhenUsed/>
    <w:rsid w:val="00CC532A"/>
    <w:rPr>
      <w:sz w:val="16"/>
      <w:szCs w:val="16"/>
    </w:rPr>
  </w:style>
  <w:style w:type="paragraph" w:styleId="CommentText">
    <w:name w:val="annotation text"/>
    <w:basedOn w:val="Normal"/>
    <w:link w:val="CommentTextChar"/>
    <w:uiPriority w:val="99"/>
    <w:semiHidden/>
    <w:unhideWhenUsed/>
    <w:rsid w:val="00CC532A"/>
    <w:pPr>
      <w:spacing w:line="240" w:lineRule="auto"/>
    </w:pPr>
    <w:rPr>
      <w:sz w:val="20"/>
      <w:szCs w:val="20"/>
    </w:rPr>
  </w:style>
  <w:style w:type="character" w:customStyle="1" w:styleId="CommentTextChar">
    <w:name w:val="Comment Text Char"/>
    <w:basedOn w:val="DefaultParagraphFont"/>
    <w:link w:val="CommentText"/>
    <w:uiPriority w:val="99"/>
    <w:semiHidden/>
    <w:rsid w:val="00CC532A"/>
    <w:rPr>
      <w:sz w:val="20"/>
      <w:szCs w:val="20"/>
    </w:rPr>
  </w:style>
  <w:style w:type="paragraph" w:styleId="CommentSubject">
    <w:name w:val="annotation subject"/>
    <w:basedOn w:val="CommentText"/>
    <w:next w:val="CommentText"/>
    <w:link w:val="CommentSubjectChar"/>
    <w:uiPriority w:val="99"/>
    <w:semiHidden/>
    <w:unhideWhenUsed/>
    <w:rsid w:val="00CC532A"/>
    <w:rPr>
      <w:b/>
      <w:bCs/>
    </w:rPr>
  </w:style>
  <w:style w:type="character" w:customStyle="1" w:styleId="CommentSubjectChar">
    <w:name w:val="Comment Subject Char"/>
    <w:basedOn w:val="CommentTextChar"/>
    <w:link w:val="CommentSubject"/>
    <w:uiPriority w:val="99"/>
    <w:semiHidden/>
    <w:rsid w:val="00CC532A"/>
    <w:rPr>
      <w:b/>
      <w:bCs/>
      <w:sz w:val="20"/>
      <w:szCs w:val="20"/>
    </w:rPr>
  </w:style>
  <w:style w:type="paragraph" w:styleId="BalloonText">
    <w:name w:val="Balloon Text"/>
    <w:basedOn w:val="Normal"/>
    <w:link w:val="BalloonTextChar"/>
    <w:uiPriority w:val="99"/>
    <w:semiHidden/>
    <w:unhideWhenUsed/>
    <w:rsid w:val="00CC532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53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0356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2495</Words>
  <Characters>14228</Characters>
  <Application>Microsoft Office Word</Application>
  <DocSecurity>4</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Lan</dc:creator>
  <cp:keywords/>
  <dc:description/>
  <cp:lastModifiedBy>Jennifer</cp:lastModifiedBy>
  <cp:revision>2</cp:revision>
  <dcterms:created xsi:type="dcterms:W3CDTF">2020-05-28T13:28:00Z</dcterms:created>
  <dcterms:modified xsi:type="dcterms:W3CDTF">2020-05-28T13:28:00Z</dcterms:modified>
</cp:coreProperties>
</file>