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043" w:rsidRDefault="00B07043" w:rsidP="00B07043">
      <w:pPr>
        <w:spacing w:after="0" w:line="240" w:lineRule="auto"/>
        <w:rPr>
          <w:b/>
          <w:sz w:val="24"/>
          <w:szCs w:val="24"/>
          <w:u w:val="single"/>
        </w:rPr>
      </w:pPr>
      <w:bookmarkStart w:id="0" w:name="_GoBack"/>
      <w:bookmarkEnd w:id="0"/>
    </w:p>
    <w:p w:rsidR="00195FD9" w:rsidRPr="002063D8" w:rsidRDefault="00195FD9" w:rsidP="00B07043">
      <w:pPr>
        <w:spacing w:after="0" w:line="240" w:lineRule="auto"/>
        <w:rPr>
          <w:b/>
          <w:sz w:val="24"/>
          <w:szCs w:val="24"/>
          <w:u w:val="single"/>
        </w:rPr>
      </w:pPr>
      <w:r w:rsidRPr="002063D8">
        <w:rPr>
          <w:b/>
          <w:sz w:val="24"/>
          <w:szCs w:val="24"/>
          <w:u w:val="single"/>
        </w:rPr>
        <w:t>National TB Indicators Project (NT</w:t>
      </w:r>
      <w:r w:rsidR="00BA5387">
        <w:rPr>
          <w:b/>
          <w:sz w:val="24"/>
          <w:szCs w:val="24"/>
          <w:u w:val="single"/>
        </w:rPr>
        <w:t xml:space="preserve">IP)—Tennessee Performance, 2015 – 2019 </w:t>
      </w:r>
    </w:p>
    <w:p w:rsidR="00195FD9" w:rsidRDefault="00195FD9" w:rsidP="00B07043">
      <w:pPr>
        <w:spacing w:after="0" w:line="240" w:lineRule="auto"/>
        <w:rPr>
          <w:b/>
          <w:sz w:val="24"/>
          <w:szCs w:val="24"/>
        </w:rPr>
      </w:pPr>
    </w:p>
    <w:p w:rsidR="00BA5387" w:rsidRPr="00BA5387" w:rsidRDefault="00BA5387" w:rsidP="00B07043">
      <w:pPr>
        <w:spacing w:after="0" w:line="240" w:lineRule="auto"/>
        <w:rPr>
          <w:b/>
          <w:sz w:val="24"/>
          <w:szCs w:val="24"/>
        </w:rPr>
      </w:pPr>
      <w:r>
        <w:rPr>
          <w:b/>
          <w:sz w:val="24"/>
          <w:szCs w:val="24"/>
        </w:rPr>
        <w:t xml:space="preserve">Table 1.  National TB Indicators Project (NTIP)—Tennessee Performance, 2015 – 2019 </w:t>
      </w:r>
    </w:p>
    <w:tbl>
      <w:tblPr>
        <w:tblStyle w:val="TableGrid"/>
        <w:tblW w:w="0" w:type="auto"/>
        <w:tblLook w:val="04A0" w:firstRow="1" w:lastRow="0" w:firstColumn="1" w:lastColumn="0" w:noHBand="0" w:noVBand="1"/>
      </w:tblPr>
      <w:tblGrid>
        <w:gridCol w:w="3518"/>
        <w:gridCol w:w="996"/>
        <w:gridCol w:w="996"/>
        <w:gridCol w:w="954"/>
        <w:gridCol w:w="954"/>
        <w:gridCol w:w="978"/>
        <w:gridCol w:w="1180"/>
      </w:tblGrid>
      <w:tr w:rsidR="00195FD9" w:rsidRPr="009A12E0" w:rsidTr="00702B67">
        <w:tc>
          <w:tcPr>
            <w:tcW w:w="3551" w:type="dxa"/>
            <w:tcBorders>
              <w:bottom w:val="single" w:sz="4" w:space="0" w:color="auto"/>
            </w:tcBorders>
            <w:shd w:val="clear" w:color="auto" w:fill="BFBFBF" w:themeFill="background1" w:themeFillShade="BF"/>
            <w:vAlign w:val="center"/>
          </w:tcPr>
          <w:p w:rsidR="00195FD9" w:rsidRPr="009A12E0" w:rsidRDefault="00195FD9" w:rsidP="00702B67">
            <w:pPr>
              <w:jc w:val="center"/>
              <w:rPr>
                <w:b/>
                <w:sz w:val="24"/>
                <w:szCs w:val="24"/>
              </w:rPr>
            </w:pPr>
            <w:r w:rsidRPr="009A12E0">
              <w:rPr>
                <w:b/>
                <w:sz w:val="24"/>
                <w:szCs w:val="24"/>
              </w:rPr>
              <w:t>National TB Program Objective</w:t>
            </w:r>
          </w:p>
        </w:tc>
        <w:tc>
          <w:tcPr>
            <w:tcW w:w="1000" w:type="dxa"/>
            <w:tcBorders>
              <w:bottom w:val="single" w:sz="4" w:space="0" w:color="auto"/>
            </w:tcBorders>
            <w:shd w:val="clear" w:color="auto" w:fill="BFBFBF" w:themeFill="background1" w:themeFillShade="BF"/>
            <w:vAlign w:val="center"/>
          </w:tcPr>
          <w:p w:rsidR="00195FD9" w:rsidRPr="009A12E0" w:rsidRDefault="00195FD9" w:rsidP="00702B67">
            <w:pPr>
              <w:jc w:val="center"/>
              <w:rPr>
                <w:b/>
                <w:sz w:val="24"/>
                <w:szCs w:val="24"/>
              </w:rPr>
            </w:pPr>
            <w:r w:rsidRPr="009A12E0">
              <w:rPr>
                <w:b/>
                <w:sz w:val="24"/>
                <w:szCs w:val="24"/>
              </w:rPr>
              <w:t>2015</w:t>
            </w:r>
          </w:p>
        </w:tc>
        <w:tc>
          <w:tcPr>
            <w:tcW w:w="1000" w:type="dxa"/>
            <w:tcBorders>
              <w:bottom w:val="single" w:sz="4" w:space="0" w:color="auto"/>
            </w:tcBorders>
            <w:shd w:val="clear" w:color="auto" w:fill="BFBFBF" w:themeFill="background1" w:themeFillShade="BF"/>
            <w:vAlign w:val="center"/>
          </w:tcPr>
          <w:p w:rsidR="00195FD9" w:rsidRPr="009A12E0" w:rsidRDefault="00195FD9" w:rsidP="00702B67">
            <w:pPr>
              <w:jc w:val="center"/>
              <w:rPr>
                <w:b/>
                <w:sz w:val="24"/>
                <w:szCs w:val="24"/>
              </w:rPr>
            </w:pPr>
            <w:r w:rsidRPr="009A12E0">
              <w:rPr>
                <w:b/>
                <w:sz w:val="24"/>
                <w:szCs w:val="24"/>
              </w:rPr>
              <w:t>2016</w:t>
            </w:r>
          </w:p>
        </w:tc>
        <w:tc>
          <w:tcPr>
            <w:tcW w:w="957" w:type="dxa"/>
            <w:tcBorders>
              <w:bottom w:val="single" w:sz="4" w:space="0" w:color="auto"/>
            </w:tcBorders>
            <w:shd w:val="clear" w:color="auto" w:fill="BFBFBF" w:themeFill="background1" w:themeFillShade="BF"/>
            <w:vAlign w:val="center"/>
          </w:tcPr>
          <w:p w:rsidR="00195FD9" w:rsidRPr="009A12E0" w:rsidRDefault="00195FD9" w:rsidP="00702B67">
            <w:pPr>
              <w:jc w:val="center"/>
              <w:rPr>
                <w:b/>
                <w:sz w:val="24"/>
                <w:szCs w:val="24"/>
              </w:rPr>
            </w:pPr>
            <w:r w:rsidRPr="009A12E0">
              <w:rPr>
                <w:b/>
                <w:sz w:val="24"/>
                <w:szCs w:val="24"/>
              </w:rPr>
              <w:t>2017</w:t>
            </w:r>
          </w:p>
        </w:tc>
        <w:tc>
          <w:tcPr>
            <w:tcW w:w="925" w:type="dxa"/>
            <w:tcBorders>
              <w:bottom w:val="single" w:sz="4" w:space="0" w:color="auto"/>
            </w:tcBorders>
            <w:shd w:val="clear" w:color="auto" w:fill="BFBFBF" w:themeFill="background1" w:themeFillShade="BF"/>
            <w:vAlign w:val="center"/>
          </w:tcPr>
          <w:p w:rsidR="00195FD9" w:rsidRPr="009A12E0" w:rsidRDefault="00195FD9" w:rsidP="00702B67">
            <w:pPr>
              <w:jc w:val="center"/>
              <w:rPr>
                <w:b/>
                <w:sz w:val="24"/>
                <w:szCs w:val="24"/>
              </w:rPr>
            </w:pPr>
            <w:r w:rsidRPr="009A12E0">
              <w:rPr>
                <w:b/>
                <w:sz w:val="24"/>
                <w:szCs w:val="24"/>
              </w:rPr>
              <w:t>2018</w:t>
            </w:r>
          </w:p>
        </w:tc>
        <w:tc>
          <w:tcPr>
            <w:tcW w:w="957" w:type="dxa"/>
            <w:tcBorders>
              <w:bottom w:val="single" w:sz="4" w:space="0" w:color="auto"/>
            </w:tcBorders>
            <w:shd w:val="clear" w:color="auto" w:fill="BFBFBF" w:themeFill="background1" w:themeFillShade="BF"/>
            <w:vAlign w:val="center"/>
          </w:tcPr>
          <w:p w:rsidR="00195FD9" w:rsidRPr="009A12E0" w:rsidRDefault="00195FD9" w:rsidP="00702B67">
            <w:pPr>
              <w:jc w:val="center"/>
              <w:rPr>
                <w:b/>
                <w:sz w:val="24"/>
                <w:szCs w:val="24"/>
                <w:vertAlign w:val="superscript"/>
              </w:rPr>
            </w:pPr>
            <w:r w:rsidRPr="009A12E0">
              <w:rPr>
                <w:b/>
                <w:sz w:val="24"/>
                <w:szCs w:val="24"/>
              </w:rPr>
              <w:t>2019</w:t>
            </w:r>
            <w:r>
              <w:rPr>
                <w:b/>
                <w:sz w:val="24"/>
                <w:szCs w:val="24"/>
                <w:vertAlign w:val="superscript"/>
              </w:rPr>
              <w:t>*</w:t>
            </w:r>
          </w:p>
        </w:tc>
        <w:tc>
          <w:tcPr>
            <w:tcW w:w="1186" w:type="dxa"/>
            <w:tcBorders>
              <w:bottom w:val="single" w:sz="4" w:space="0" w:color="auto"/>
            </w:tcBorders>
            <w:shd w:val="clear" w:color="auto" w:fill="BFBFBF" w:themeFill="background1" w:themeFillShade="BF"/>
            <w:vAlign w:val="center"/>
          </w:tcPr>
          <w:p w:rsidR="00195FD9" w:rsidRPr="009A12E0" w:rsidRDefault="00195FD9" w:rsidP="00702B67">
            <w:pPr>
              <w:jc w:val="center"/>
              <w:rPr>
                <w:b/>
                <w:sz w:val="24"/>
                <w:szCs w:val="24"/>
              </w:rPr>
            </w:pPr>
            <w:r w:rsidRPr="009A12E0">
              <w:rPr>
                <w:b/>
                <w:sz w:val="24"/>
                <w:szCs w:val="24"/>
              </w:rPr>
              <w:t>2020 Target</w:t>
            </w:r>
          </w:p>
        </w:tc>
      </w:tr>
      <w:tr w:rsidR="00195FD9" w:rsidRPr="009A12E0" w:rsidTr="00702B67">
        <w:tc>
          <w:tcPr>
            <w:tcW w:w="13176" w:type="dxa"/>
            <w:gridSpan w:val="7"/>
            <w:shd w:val="clear" w:color="auto" w:fill="D9D9D9" w:themeFill="background1" w:themeFillShade="D9"/>
          </w:tcPr>
          <w:p w:rsidR="00195FD9" w:rsidRPr="009A12E0" w:rsidRDefault="00195FD9" w:rsidP="00CE4BED">
            <w:pPr>
              <w:jc w:val="center"/>
              <w:rPr>
                <w:sz w:val="24"/>
                <w:szCs w:val="24"/>
              </w:rPr>
            </w:pPr>
            <w:r w:rsidRPr="009A12E0">
              <w:rPr>
                <w:b/>
                <w:sz w:val="24"/>
                <w:szCs w:val="24"/>
              </w:rPr>
              <w:t>TB Incident Rates (cases/100,000 population)</w:t>
            </w:r>
          </w:p>
        </w:tc>
      </w:tr>
      <w:tr w:rsidR="00195FD9" w:rsidRPr="009A12E0" w:rsidTr="00702B67">
        <w:tc>
          <w:tcPr>
            <w:tcW w:w="5598" w:type="dxa"/>
          </w:tcPr>
          <w:p w:rsidR="00195FD9" w:rsidRPr="009A12E0" w:rsidRDefault="00195FD9" w:rsidP="00702B67">
            <w:pPr>
              <w:rPr>
                <w:sz w:val="24"/>
                <w:szCs w:val="24"/>
              </w:rPr>
            </w:pPr>
            <w:r>
              <w:rPr>
                <w:sz w:val="24"/>
                <w:szCs w:val="24"/>
              </w:rPr>
              <w:t>TB incidence rate</w:t>
            </w:r>
          </w:p>
        </w:tc>
        <w:tc>
          <w:tcPr>
            <w:tcW w:w="1260" w:type="dxa"/>
          </w:tcPr>
          <w:p w:rsidR="00195FD9" w:rsidRPr="009A12E0" w:rsidRDefault="00195FD9" w:rsidP="00702B67">
            <w:pPr>
              <w:jc w:val="center"/>
              <w:rPr>
                <w:sz w:val="24"/>
                <w:szCs w:val="24"/>
              </w:rPr>
            </w:pPr>
            <w:r>
              <w:rPr>
                <w:sz w:val="24"/>
                <w:szCs w:val="24"/>
              </w:rPr>
              <w:t>2.0</w:t>
            </w:r>
          </w:p>
        </w:tc>
        <w:tc>
          <w:tcPr>
            <w:tcW w:w="1260" w:type="dxa"/>
          </w:tcPr>
          <w:p w:rsidR="00195FD9" w:rsidRPr="009A12E0" w:rsidRDefault="00195FD9" w:rsidP="00702B67">
            <w:pPr>
              <w:jc w:val="center"/>
              <w:rPr>
                <w:sz w:val="24"/>
                <w:szCs w:val="24"/>
              </w:rPr>
            </w:pPr>
            <w:r>
              <w:rPr>
                <w:sz w:val="24"/>
                <w:szCs w:val="24"/>
              </w:rPr>
              <w:t>1.5</w:t>
            </w:r>
          </w:p>
        </w:tc>
        <w:tc>
          <w:tcPr>
            <w:tcW w:w="1170" w:type="dxa"/>
          </w:tcPr>
          <w:p w:rsidR="00195FD9" w:rsidRPr="009A12E0" w:rsidRDefault="00195FD9" w:rsidP="00702B67">
            <w:pPr>
              <w:jc w:val="center"/>
              <w:rPr>
                <w:sz w:val="24"/>
                <w:szCs w:val="24"/>
              </w:rPr>
            </w:pPr>
            <w:r>
              <w:rPr>
                <w:sz w:val="24"/>
                <w:szCs w:val="24"/>
              </w:rPr>
              <w:t>1.8</w:t>
            </w:r>
          </w:p>
        </w:tc>
        <w:tc>
          <w:tcPr>
            <w:tcW w:w="1170" w:type="dxa"/>
          </w:tcPr>
          <w:p w:rsidR="00195FD9" w:rsidRPr="009A12E0" w:rsidRDefault="00195FD9" w:rsidP="00702B67">
            <w:pPr>
              <w:jc w:val="center"/>
              <w:rPr>
                <w:sz w:val="24"/>
                <w:szCs w:val="24"/>
              </w:rPr>
            </w:pPr>
            <w:r>
              <w:rPr>
                <w:sz w:val="24"/>
                <w:szCs w:val="24"/>
              </w:rPr>
              <w:t>2.1</w:t>
            </w:r>
          </w:p>
        </w:tc>
        <w:tc>
          <w:tcPr>
            <w:tcW w:w="1170" w:type="dxa"/>
          </w:tcPr>
          <w:p w:rsidR="00195FD9" w:rsidRDefault="00195FD9" w:rsidP="00702B67">
            <w:pPr>
              <w:jc w:val="center"/>
              <w:rPr>
                <w:sz w:val="24"/>
                <w:szCs w:val="24"/>
              </w:rPr>
            </w:pPr>
            <w:r>
              <w:rPr>
                <w:sz w:val="24"/>
                <w:szCs w:val="24"/>
              </w:rPr>
              <w:t>NA</w:t>
            </w:r>
          </w:p>
        </w:tc>
        <w:tc>
          <w:tcPr>
            <w:tcW w:w="1548" w:type="dxa"/>
          </w:tcPr>
          <w:p w:rsidR="00195FD9" w:rsidRPr="009A12E0" w:rsidRDefault="00195FD9" w:rsidP="00702B67">
            <w:pPr>
              <w:jc w:val="center"/>
              <w:rPr>
                <w:b/>
                <w:sz w:val="24"/>
                <w:szCs w:val="24"/>
              </w:rPr>
            </w:pPr>
            <w:r>
              <w:rPr>
                <w:b/>
                <w:sz w:val="24"/>
                <w:szCs w:val="24"/>
              </w:rPr>
              <w:t>1.4</w:t>
            </w:r>
          </w:p>
        </w:tc>
      </w:tr>
      <w:tr w:rsidR="00195FD9" w:rsidRPr="009A12E0" w:rsidTr="00702B67">
        <w:tc>
          <w:tcPr>
            <w:tcW w:w="5598" w:type="dxa"/>
          </w:tcPr>
          <w:p w:rsidR="00195FD9" w:rsidRPr="009A12E0" w:rsidRDefault="00195FD9" w:rsidP="00702B67">
            <w:pPr>
              <w:rPr>
                <w:sz w:val="24"/>
                <w:szCs w:val="24"/>
              </w:rPr>
            </w:pPr>
            <w:r w:rsidRPr="009A12E0">
              <w:rPr>
                <w:sz w:val="24"/>
                <w:szCs w:val="24"/>
              </w:rPr>
              <w:t>U.S.-born persons</w:t>
            </w:r>
          </w:p>
        </w:tc>
        <w:tc>
          <w:tcPr>
            <w:tcW w:w="1260" w:type="dxa"/>
          </w:tcPr>
          <w:p w:rsidR="00195FD9" w:rsidRPr="009A12E0" w:rsidRDefault="00195FD9" w:rsidP="00702B67">
            <w:pPr>
              <w:jc w:val="center"/>
              <w:rPr>
                <w:sz w:val="24"/>
                <w:szCs w:val="24"/>
              </w:rPr>
            </w:pPr>
            <w:r w:rsidRPr="009A12E0">
              <w:rPr>
                <w:sz w:val="24"/>
                <w:szCs w:val="24"/>
              </w:rPr>
              <w:t>1.1</w:t>
            </w:r>
          </w:p>
        </w:tc>
        <w:tc>
          <w:tcPr>
            <w:tcW w:w="1260" w:type="dxa"/>
          </w:tcPr>
          <w:p w:rsidR="00195FD9" w:rsidRPr="009A12E0" w:rsidRDefault="00195FD9" w:rsidP="00702B67">
            <w:pPr>
              <w:jc w:val="center"/>
              <w:rPr>
                <w:sz w:val="24"/>
                <w:szCs w:val="24"/>
              </w:rPr>
            </w:pPr>
            <w:r w:rsidRPr="009A12E0">
              <w:rPr>
                <w:sz w:val="24"/>
                <w:szCs w:val="24"/>
              </w:rPr>
              <w:t>1.0</w:t>
            </w:r>
          </w:p>
        </w:tc>
        <w:tc>
          <w:tcPr>
            <w:tcW w:w="1170" w:type="dxa"/>
          </w:tcPr>
          <w:p w:rsidR="00195FD9" w:rsidRPr="009A12E0" w:rsidRDefault="00195FD9" w:rsidP="00702B67">
            <w:pPr>
              <w:jc w:val="center"/>
              <w:rPr>
                <w:sz w:val="24"/>
                <w:szCs w:val="24"/>
              </w:rPr>
            </w:pPr>
            <w:r w:rsidRPr="009A12E0">
              <w:rPr>
                <w:sz w:val="24"/>
                <w:szCs w:val="24"/>
              </w:rPr>
              <w:t>1.0</w:t>
            </w:r>
          </w:p>
        </w:tc>
        <w:tc>
          <w:tcPr>
            <w:tcW w:w="1170" w:type="dxa"/>
          </w:tcPr>
          <w:p w:rsidR="00195FD9" w:rsidRPr="009A12E0" w:rsidRDefault="00195FD9" w:rsidP="00702B67">
            <w:pPr>
              <w:jc w:val="center"/>
              <w:rPr>
                <w:sz w:val="24"/>
                <w:szCs w:val="24"/>
              </w:rPr>
            </w:pPr>
            <w:r w:rsidRPr="009A12E0">
              <w:rPr>
                <w:sz w:val="24"/>
                <w:szCs w:val="24"/>
              </w:rPr>
              <w:t>1.2</w:t>
            </w:r>
          </w:p>
        </w:tc>
        <w:tc>
          <w:tcPr>
            <w:tcW w:w="1170" w:type="dxa"/>
          </w:tcPr>
          <w:p w:rsidR="00195FD9" w:rsidRPr="009A12E0" w:rsidRDefault="00195FD9" w:rsidP="00702B67">
            <w:pPr>
              <w:jc w:val="center"/>
              <w:rPr>
                <w:sz w:val="24"/>
                <w:szCs w:val="24"/>
              </w:rPr>
            </w:pPr>
            <w:r>
              <w:rPr>
                <w:sz w:val="24"/>
                <w:szCs w:val="24"/>
              </w:rPr>
              <w:t>NA</w:t>
            </w:r>
          </w:p>
        </w:tc>
        <w:tc>
          <w:tcPr>
            <w:tcW w:w="1548" w:type="dxa"/>
          </w:tcPr>
          <w:p w:rsidR="00195FD9" w:rsidRPr="009A12E0" w:rsidRDefault="00195FD9" w:rsidP="00702B67">
            <w:pPr>
              <w:jc w:val="center"/>
              <w:rPr>
                <w:b/>
                <w:sz w:val="24"/>
                <w:szCs w:val="24"/>
              </w:rPr>
            </w:pPr>
            <w:r w:rsidRPr="009A12E0">
              <w:rPr>
                <w:b/>
                <w:sz w:val="24"/>
                <w:szCs w:val="24"/>
              </w:rPr>
              <w:t>0.4</w:t>
            </w:r>
          </w:p>
        </w:tc>
      </w:tr>
      <w:tr w:rsidR="00195FD9" w:rsidRPr="009A12E0" w:rsidTr="00702B67">
        <w:tc>
          <w:tcPr>
            <w:tcW w:w="5598" w:type="dxa"/>
          </w:tcPr>
          <w:p w:rsidR="00195FD9" w:rsidRPr="009A12E0" w:rsidRDefault="00195FD9" w:rsidP="00702B67">
            <w:pPr>
              <w:rPr>
                <w:sz w:val="24"/>
                <w:szCs w:val="24"/>
              </w:rPr>
            </w:pPr>
            <w:r w:rsidRPr="009A12E0">
              <w:rPr>
                <w:sz w:val="24"/>
                <w:szCs w:val="24"/>
              </w:rPr>
              <w:t>Non-U.S.-born persons</w:t>
            </w:r>
          </w:p>
        </w:tc>
        <w:tc>
          <w:tcPr>
            <w:tcW w:w="1260" w:type="dxa"/>
          </w:tcPr>
          <w:p w:rsidR="00195FD9" w:rsidRPr="009A12E0" w:rsidRDefault="00195FD9" w:rsidP="00702B67">
            <w:pPr>
              <w:jc w:val="center"/>
              <w:rPr>
                <w:sz w:val="24"/>
                <w:szCs w:val="24"/>
              </w:rPr>
            </w:pPr>
            <w:r w:rsidRPr="009A12E0">
              <w:rPr>
                <w:sz w:val="24"/>
                <w:szCs w:val="24"/>
              </w:rPr>
              <w:t>18.3</w:t>
            </w:r>
          </w:p>
        </w:tc>
        <w:tc>
          <w:tcPr>
            <w:tcW w:w="1260" w:type="dxa"/>
          </w:tcPr>
          <w:p w:rsidR="00195FD9" w:rsidRPr="009A12E0" w:rsidRDefault="00195FD9" w:rsidP="00702B67">
            <w:pPr>
              <w:jc w:val="center"/>
              <w:rPr>
                <w:sz w:val="24"/>
                <w:szCs w:val="24"/>
              </w:rPr>
            </w:pPr>
            <w:r w:rsidRPr="009A12E0">
              <w:rPr>
                <w:sz w:val="24"/>
                <w:szCs w:val="24"/>
              </w:rPr>
              <w:t>12.1</w:t>
            </w:r>
          </w:p>
        </w:tc>
        <w:tc>
          <w:tcPr>
            <w:tcW w:w="1170" w:type="dxa"/>
          </w:tcPr>
          <w:p w:rsidR="00195FD9" w:rsidRPr="009A12E0" w:rsidRDefault="00195FD9" w:rsidP="00702B67">
            <w:pPr>
              <w:jc w:val="center"/>
              <w:rPr>
                <w:sz w:val="24"/>
                <w:szCs w:val="24"/>
              </w:rPr>
            </w:pPr>
            <w:r w:rsidRPr="009A12E0">
              <w:rPr>
                <w:sz w:val="24"/>
                <w:szCs w:val="24"/>
              </w:rPr>
              <w:t>17.3</w:t>
            </w:r>
          </w:p>
        </w:tc>
        <w:tc>
          <w:tcPr>
            <w:tcW w:w="1170" w:type="dxa"/>
          </w:tcPr>
          <w:p w:rsidR="00195FD9" w:rsidRPr="009A12E0" w:rsidRDefault="00195FD9" w:rsidP="00702B67">
            <w:pPr>
              <w:jc w:val="center"/>
              <w:rPr>
                <w:sz w:val="24"/>
                <w:szCs w:val="24"/>
              </w:rPr>
            </w:pPr>
            <w:r w:rsidRPr="009A12E0">
              <w:rPr>
                <w:sz w:val="24"/>
                <w:szCs w:val="24"/>
              </w:rPr>
              <w:t>18.8</w:t>
            </w:r>
          </w:p>
        </w:tc>
        <w:tc>
          <w:tcPr>
            <w:tcW w:w="1170" w:type="dxa"/>
          </w:tcPr>
          <w:p w:rsidR="00195FD9" w:rsidRPr="009A12E0" w:rsidRDefault="00195FD9" w:rsidP="00702B67">
            <w:pPr>
              <w:jc w:val="center"/>
              <w:rPr>
                <w:sz w:val="24"/>
                <w:szCs w:val="24"/>
              </w:rPr>
            </w:pPr>
            <w:r>
              <w:rPr>
                <w:sz w:val="24"/>
                <w:szCs w:val="24"/>
              </w:rPr>
              <w:t>NA</w:t>
            </w:r>
          </w:p>
        </w:tc>
        <w:tc>
          <w:tcPr>
            <w:tcW w:w="1548" w:type="dxa"/>
          </w:tcPr>
          <w:p w:rsidR="00195FD9" w:rsidRPr="009A12E0" w:rsidRDefault="00195FD9" w:rsidP="00702B67">
            <w:pPr>
              <w:jc w:val="center"/>
              <w:rPr>
                <w:b/>
                <w:sz w:val="24"/>
                <w:szCs w:val="24"/>
              </w:rPr>
            </w:pPr>
            <w:r w:rsidRPr="009A12E0">
              <w:rPr>
                <w:b/>
                <w:sz w:val="24"/>
                <w:szCs w:val="24"/>
              </w:rPr>
              <w:t>11.1</w:t>
            </w:r>
          </w:p>
        </w:tc>
      </w:tr>
      <w:tr w:rsidR="00195FD9" w:rsidRPr="009A12E0" w:rsidTr="00702B67">
        <w:tc>
          <w:tcPr>
            <w:tcW w:w="5598" w:type="dxa"/>
          </w:tcPr>
          <w:p w:rsidR="00195FD9" w:rsidRPr="009A12E0" w:rsidRDefault="00195FD9" w:rsidP="00702B67">
            <w:pPr>
              <w:rPr>
                <w:sz w:val="24"/>
                <w:szCs w:val="24"/>
              </w:rPr>
            </w:pPr>
            <w:r w:rsidRPr="009A12E0">
              <w:rPr>
                <w:sz w:val="24"/>
                <w:szCs w:val="24"/>
              </w:rPr>
              <w:t>U.S.-born, non-Hispanic blacks</w:t>
            </w:r>
          </w:p>
        </w:tc>
        <w:tc>
          <w:tcPr>
            <w:tcW w:w="1260" w:type="dxa"/>
          </w:tcPr>
          <w:p w:rsidR="00195FD9" w:rsidRPr="009A12E0" w:rsidRDefault="00195FD9" w:rsidP="00702B67">
            <w:pPr>
              <w:jc w:val="center"/>
              <w:rPr>
                <w:sz w:val="24"/>
                <w:szCs w:val="24"/>
              </w:rPr>
            </w:pPr>
            <w:r w:rsidRPr="009A12E0">
              <w:rPr>
                <w:sz w:val="24"/>
                <w:szCs w:val="24"/>
              </w:rPr>
              <w:t>3.1</w:t>
            </w:r>
          </w:p>
        </w:tc>
        <w:tc>
          <w:tcPr>
            <w:tcW w:w="1260" w:type="dxa"/>
          </w:tcPr>
          <w:p w:rsidR="00195FD9" w:rsidRPr="009A12E0" w:rsidRDefault="00195FD9" w:rsidP="00702B67">
            <w:pPr>
              <w:jc w:val="center"/>
              <w:rPr>
                <w:sz w:val="24"/>
                <w:szCs w:val="24"/>
              </w:rPr>
            </w:pPr>
            <w:r w:rsidRPr="009A12E0">
              <w:rPr>
                <w:sz w:val="24"/>
                <w:szCs w:val="24"/>
              </w:rPr>
              <w:t>3.4</w:t>
            </w:r>
          </w:p>
        </w:tc>
        <w:tc>
          <w:tcPr>
            <w:tcW w:w="1170" w:type="dxa"/>
          </w:tcPr>
          <w:p w:rsidR="00195FD9" w:rsidRPr="009A12E0" w:rsidRDefault="00195FD9" w:rsidP="00702B67">
            <w:pPr>
              <w:jc w:val="center"/>
              <w:rPr>
                <w:sz w:val="24"/>
                <w:szCs w:val="24"/>
              </w:rPr>
            </w:pPr>
            <w:r w:rsidRPr="009A12E0">
              <w:rPr>
                <w:sz w:val="24"/>
                <w:szCs w:val="24"/>
              </w:rPr>
              <w:t>3.0</w:t>
            </w:r>
          </w:p>
        </w:tc>
        <w:tc>
          <w:tcPr>
            <w:tcW w:w="1170" w:type="dxa"/>
          </w:tcPr>
          <w:p w:rsidR="00195FD9" w:rsidRPr="009A12E0" w:rsidRDefault="00195FD9" w:rsidP="00702B67">
            <w:pPr>
              <w:jc w:val="center"/>
              <w:rPr>
                <w:sz w:val="24"/>
                <w:szCs w:val="24"/>
              </w:rPr>
            </w:pPr>
            <w:r w:rsidRPr="009A12E0">
              <w:rPr>
                <w:sz w:val="24"/>
                <w:szCs w:val="24"/>
              </w:rPr>
              <w:t>3.7</w:t>
            </w:r>
          </w:p>
        </w:tc>
        <w:tc>
          <w:tcPr>
            <w:tcW w:w="1170" w:type="dxa"/>
          </w:tcPr>
          <w:p w:rsidR="00195FD9" w:rsidRPr="009A12E0" w:rsidRDefault="00195FD9" w:rsidP="00702B67">
            <w:pPr>
              <w:jc w:val="center"/>
              <w:rPr>
                <w:sz w:val="24"/>
                <w:szCs w:val="24"/>
              </w:rPr>
            </w:pPr>
            <w:r>
              <w:rPr>
                <w:sz w:val="24"/>
                <w:szCs w:val="24"/>
              </w:rPr>
              <w:t>NA</w:t>
            </w:r>
          </w:p>
        </w:tc>
        <w:tc>
          <w:tcPr>
            <w:tcW w:w="1548" w:type="dxa"/>
          </w:tcPr>
          <w:p w:rsidR="00195FD9" w:rsidRPr="009A12E0" w:rsidRDefault="00195FD9" w:rsidP="00702B67">
            <w:pPr>
              <w:jc w:val="center"/>
              <w:rPr>
                <w:b/>
                <w:sz w:val="24"/>
                <w:szCs w:val="24"/>
              </w:rPr>
            </w:pPr>
            <w:r w:rsidRPr="009A12E0">
              <w:rPr>
                <w:b/>
                <w:sz w:val="24"/>
                <w:szCs w:val="24"/>
              </w:rPr>
              <w:t>1.5</w:t>
            </w:r>
          </w:p>
        </w:tc>
      </w:tr>
      <w:tr w:rsidR="00195FD9" w:rsidRPr="009A12E0" w:rsidTr="00702B67">
        <w:tc>
          <w:tcPr>
            <w:tcW w:w="5598" w:type="dxa"/>
            <w:tcBorders>
              <w:bottom w:val="single" w:sz="4" w:space="0" w:color="auto"/>
            </w:tcBorders>
          </w:tcPr>
          <w:p w:rsidR="00195FD9" w:rsidRPr="009A12E0" w:rsidRDefault="00195FD9" w:rsidP="00702B67">
            <w:pPr>
              <w:rPr>
                <w:sz w:val="24"/>
                <w:szCs w:val="24"/>
              </w:rPr>
            </w:pPr>
            <w:r w:rsidRPr="009A12E0">
              <w:rPr>
                <w:sz w:val="24"/>
                <w:szCs w:val="24"/>
              </w:rPr>
              <w:t>Children younger than 5 years of age</w:t>
            </w:r>
          </w:p>
        </w:tc>
        <w:tc>
          <w:tcPr>
            <w:tcW w:w="1260" w:type="dxa"/>
            <w:tcBorders>
              <w:bottom w:val="single" w:sz="4" w:space="0" w:color="auto"/>
            </w:tcBorders>
            <w:vAlign w:val="center"/>
          </w:tcPr>
          <w:p w:rsidR="00195FD9" w:rsidRPr="009A12E0" w:rsidRDefault="00195FD9" w:rsidP="00702B67">
            <w:pPr>
              <w:jc w:val="center"/>
              <w:rPr>
                <w:sz w:val="24"/>
                <w:szCs w:val="24"/>
              </w:rPr>
            </w:pPr>
            <w:r w:rsidRPr="009A12E0">
              <w:rPr>
                <w:sz w:val="24"/>
                <w:szCs w:val="24"/>
              </w:rPr>
              <w:t>1.5</w:t>
            </w:r>
          </w:p>
        </w:tc>
        <w:tc>
          <w:tcPr>
            <w:tcW w:w="1260" w:type="dxa"/>
            <w:tcBorders>
              <w:bottom w:val="single" w:sz="4" w:space="0" w:color="auto"/>
            </w:tcBorders>
            <w:vAlign w:val="center"/>
          </w:tcPr>
          <w:p w:rsidR="00195FD9" w:rsidRPr="009A12E0" w:rsidRDefault="00195FD9" w:rsidP="00702B67">
            <w:pPr>
              <w:jc w:val="center"/>
              <w:rPr>
                <w:sz w:val="24"/>
                <w:szCs w:val="24"/>
              </w:rPr>
            </w:pPr>
            <w:r w:rsidRPr="009A12E0">
              <w:rPr>
                <w:sz w:val="24"/>
                <w:szCs w:val="24"/>
              </w:rPr>
              <w:t>1.0</w:t>
            </w:r>
          </w:p>
        </w:tc>
        <w:tc>
          <w:tcPr>
            <w:tcW w:w="1170" w:type="dxa"/>
            <w:tcBorders>
              <w:bottom w:val="single" w:sz="4" w:space="0" w:color="auto"/>
            </w:tcBorders>
            <w:vAlign w:val="center"/>
          </w:tcPr>
          <w:p w:rsidR="00195FD9" w:rsidRPr="009A12E0" w:rsidRDefault="00195FD9" w:rsidP="00702B67">
            <w:pPr>
              <w:jc w:val="center"/>
              <w:rPr>
                <w:sz w:val="24"/>
                <w:szCs w:val="24"/>
              </w:rPr>
            </w:pPr>
            <w:r w:rsidRPr="009A12E0">
              <w:rPr>
                <w:sz w:val="24"/>
                <w:szCs w:val="24"/>
              </w:rPr>
              <w:t>1.2</w:t>
            </w:r>
          </w:p>
        </w:tc>
        <w:tc>
          <w:tcPr>
            <w:tcW w:w="1170" w:type="dxa"/>
            <w:tcBorders>
              <w:bottom w:val="single" w:sz="4" w:space="0" w:color="auto"/>
            </w:tcBorders>
            <w:vAlign w:val="center"/>
          </w:tcPr>
          <w:p w:rsidR="00195FD9" w:rsidRPr="009A12E0" w:rsidRDefault="00195FD9" w:rsidP="00702B67">
            <w:pPr>
              <w:jc w:val="center"/>
              <w:rPr>
                <w:sz w:val="24"/>
                <w:szCs w:val="24"/>
              </w:rPr>
            </w:pPr>
            <w:r w:rsidRPr="009A12E0">
              <w:rPr>
                <w:sz w:val="24"/>
                <w:szCs w:val="24"/>
              </w:rPr>
              <w:t>1.0</w:t>
            </w:r>
          </w:p>
        </w:tc>
        <w:tc>
          <w:tcPr>
            <w:tcW w:w="1170" w:type="dxa"/>
            <w:tcBorders>
              <w:bottom w:val="single" w:sz="4" w:space="0" w:color="auto"/>
            </w:tcBorders>
            <w:vAlign w:val="center"/>
          </w:tcPr>
          <w:p w:rsidR="00195FD9" w:rsidRPr="009A12E0" w:rsidRDefault="00195FD9" w:rsidP="00702B67">
            <w:pPr>
              <w:jc w:val="center"/>
              <w:rPr>
                <w:sz w:val="24"/>
                <w:szCs w:val="24"/>
              </w:rPr>
            </w:pPr>
            <w:r>
              <w:rPr>
                <w:sz w:val="24"/>
                <w:szCs w:val="24"/>
              </w:rPr>
              <w:t>NA</w:t>
            </w:r>
          </w:p>
        </w:tc>
        <w:tc>
          <w:tcPr>
            <w:tcW w:w="1548" w:type="dxa"/>
            <w:tcBorders>
              <w:bottom w:val="single" w:sz="4" w:space="0" w:color="auto"/>
            </w:tcBorders>
            <w:vAlign w:val="center"/>
          </w:tcPr>
          <w:p w:rsidR="00195FD9" w:rsidRPr="009A12E0" w:rsidRDefault="00195FD9" w:rsidP="00702B67">
            <w:pPr>
              <w:jc w:val="center"/>
              <w:rPr>
                <w:b/>
                <w:sz w:val="24"/>
                <w:szCs w:val="24"/>
              </w:rPr>
            </w:pPr>
            <w:r w:rsidRPr="009A12E0">
              <w:rPr>
                <w:b/>
                <w:sz w:val="24"/>
                <w:szCs w:val="24"/>
              </w:rPr>
              <w:t>0.3</w:t>
            </w:r>
          </w:p>
        </w:tc>
      </w:tr>
      <w:tr w:rsidR="00195FD9" w:rsidRPr="009A12E0" w:rsidTr="00702B67">
        <w:tc>
          <w:tcPr>
            <w:tcW w:w="13176" w:type="dxa"/>
            <w:gridSpan w:val="7"/>
            <w:shd w:val="clear" w:color="auto" w:fill="D9D9D9" w:themeFill="background1" w:themeFillShade="D9"/>
          </w:tcPr>
          <w:p w:rsidR="00195FD9" w:rsidRPr="009A12E0" w:rsidRDefault="00195FD9" w:rsidP="00CE4BED">
            <w:pPr>
              <w:jc w:val="center"/>
              <w:rPr>
                <w:b/>
                <w:sz w:val="24"/>
                <w:szCs w:val="24"/>
              </w:rPr>
            </w:pPr>
            <w:r w:rsidRPr="009A12E0">
              <w:rPr>
                <w:b/>
                <w:sz w:val="24"/>
                <w:szCs w:val="24"/>
              </w:rPr>
              <w:t>Indicators for Case Management (%)</w:t>
            </w:r>
          </w:p>
        </w:tc>
      </w:tr>
      <w:tr w:rsidR="00195FD9" w:rsidRPr="009A12E0" w:rsidTr="00702B67">
        <w:tc>
          <w:tcPr>
            <w:tcW w:w="5598" w:type="dxa"/>
          </w:tcPr>
          <w:p w:rsidR="00195FD9" w:rsidRPr="009A12E0" w:rsidRDefault="00195FD9" w:rsidP="00702B67">
            <w:pPr>
              <w:rPr>
                <w:sz w:val="24"/>
                <w:szCs w:val="24"/>
              </w:rPr>
            </w:pPr>
            <w:r w:rsidRPr="009A12E0">
              <w:rPr>
                <w:sz w:val="24"/>
                <w:szCs w:val="24"/>
              </w:rPr>
              <w:t>Known HIV status</w:t>
            </w:r>
          </w:p>
        </w:tc>
        <w:tc>
          <w:tcPr>
            <w:tcW w:w="1260" w:type="dxa"/>
          </w:tcPr>
          <w:p w:rsidR="00195FD9" w:rsidRPr="009A12E0" w:rsidRDefault="00195FD9" w:rsidP="00702B67">
            <w:pPr>
              <w:jc w:val="center"/>
              <w:rPr>
                <w:sz w:val="24"/>
                <w:szCs w:val="24"/>
              </w:rPr>
            </w:pPr>
            <w:r w:rsidRPr="009A12E0">
              <w:rPr>
                <w:sz w:val="24"/>
                <w:szCs w:val="24"/>
              </w:rPr>
              <w:t>98.4</w:t>
            </w:r>
          </w:p>
        </w:tc>
        <w:tc>
          <w:tcPr>
            <w:tcW w:w="1260" w:type="dxa"/>
          </w:tcPr>
          <w:p w:rsidR="00195FD9" w:rsidRPr="009A12E0" w:rsidRDefault="00195FD9" w:rsidP="00702B67">
            <w:pPr>
              <w:jc w:val="center"/>
              <w:rPr>
                <w:sz w:val="24"/>
                <w:szCs w:val="24"/>
              </w:rPr>
            </w:pPr>
            <w:r w:rsidRPr="009A12E0">
              <w:rPr>
                <w:sz w:val="24"/>
                <w:szCs w:val="24"/>
              </w:rPr>
              <w:t>97.0</w:t>
            </w:r>
          </w:p>
        </w:tc>
        <w:tc>
          <w:tcPr>
            <w:tcW w:w="1170" w:type="dxa"/>
          </w:tcPr>
          <w:p w:rsidR="00195FD9" w:rsidRPr="009A12E0" w:rsidRDefault="00195FD9" w:rsidP="00702B67">
            <w:pPr>
              <w:jc w:val="center"/>
              <w:rPr>
                <w:sz w:val="24"/>
                <w:szCs w:val="24"/>
              </w:rPr>
            </w:pPr>
            <w:r w:rsidRPr="009A12E0">
              <w:rPr>
                <w:sz w:val="24"/>
                <w:szCs w:val="24"/>
              </w:rPr>
              <w:t>97.5</w:t>
            </w:r>
          </w:p>
        </w:tc>
        <w:tc>
          <w:tcPr>
            <w:tcW w:w="1170" w:type="dxa"/>
          </w:tcPr>
          <w:p w:rsidR="00195FD9" w:rsidRPr="009A12E0" w:rsidRDefault="00195FD9" w:rsidP="00702B67">
            <w:pPr>
              <w:jc w:val="center"/>
              <w:rPr>
                <w:sz w:val="24"/>
                <w:szCs w:val="24"/>
              </w:rPr>
            </w:pPr>
            <w:r w:rsidRPr="009A12E0">
              <w:rPr>
                <w:sz w:val="24"/>
                <w:szCs w:val="24"/>
              </w:rPr>
              <w:t>97.0</w:t>
            </w:r>
          </w:p>
        </w:tc>
        <w:tc>
          <w:tcPr>
            <w:tcW w:w="1170" w:type="dxa"/>
          </w:tcPr>
          <w:p w:rsidR="00195FD9" w:rsidRPr="009A12E0" w:rsidRDefault="008D1B20" w:rsidP="00702B67">
            <w:pPr>
              <w:jc w:val="center"/>
              <w:rPr>
                <w:sz w:val="24"/>
                <w:szCs w:val="24"/>
              </w:rPr>
            </w:pPr>
            <w:r>
              <w:rPr>
                <w:sz w:val="24"/>
                <w:szCs w:val="24"/>
              </w:rPr>
              <w:t>95.9</w:t>
            </w:r>
          </w:p>
        </w:tc>
        <w:tc>
          <w:tcPr>
            <w:tcW w:w="1548" w:type="dxa"/>
          </w:tcPr>
          <w:p w:rsidR="00195FD9" w:rsidRPr="009A12E0" w:rsidRDefault="00195FD9" w:rsidP="00702B67">
            <w:pPr>
              <w:jc w:val="center"/>
              <w:rPr>
                <w:b/>
                <w:sz w:val="24"/>
                <w:szCs w:val="24"/>
              </w:rPr>
            </w:pPr>
            <w:r w:rsidRPr="009A12E0">
              <w:rPr>
                <w:b/>
                <w:sz w:val="24"/>
                <w:szCs w:val="24"/>
              </w:rPr>
              <w:t>98.0</w:t>
            </w:r>
          </w:p>
        </w:tc>
      </w:tr>
      <w:tr w:rsidR="00195FD9" w:rsidRPr="009A12E0" w:rsidTr="00702B67">
        <w:tc>
          <w:tcPr>
            <w:tcW w:w="5598" w:type="dxa"/>
          </w:tcPr>
          <w:p w:rsidR="00195FD9" w:rsidRPr="009A12E0" w:rsidRDefault="00195FD9" w:rsidP="00B76770">
            <w:pPr>
              <w:tabs>
                <w:tab w:val="left" w:pos="2379"/>
              </w:tabs>
              <w:rPr>
                <w:sz w:val="24"/>
                <w:szCs w:val="24"/>
              </w:rPr>
            </w:pPr>
            <w:r w:rsidRPr="009A12E0">
              <w:rPr>
                <w:sz w:val="24"/>
                <w:szCs w:val="24"/>
              </w:rPr>
              <w:t>Treatment initiation</w:t>
            </w:r>
            <w:r w:rsidR="00B76770">
              <w:rPr>
                <w:sz w:val="24"/>
                <w:szCs w:val="24"/>
              </w:rPr>
              <w:tab/>
            </w:r>
          </w:p>
        </w:tc>
        <w:tc>
          <w:tcPr>
            <w:tcW w:w="1260" w:type="dxa"/>
          </w:tcPr>
          <w:p w:rsidR="00195FD9" w:rsidRPr="009A12E0" w:rsidRDefault="00195FD9" w:rsidP="00702B67">
            <w:pPr>
              <w:jc w:val="center"/>
              <w:rPr>
                <w:sz w:val="24"/>
                <w:szCs w:val="24"/>
              </w:rPr>
            </w:pPr>
            <w:r w:rsidRPr="009A12E0">
              <w:rPr>
                <w:sz w:val="24"/>
                <w:szCs w:val="24"/>
              </w:rPr>
              <w:t>84.2</w:t>
            </w:r>
          </w:p>
        </w:tc>
        <w:tc>
          <w:tcPr>
            <w:tcW w:w="1260" w:type="dxa"/>
          </w:tcPr>
          <w:p w:rsidR="00195FD9" w:rsidRPr="009A12E0" w:rsidRDefault="00195FD9" w:rsidP="00702B67">
            <w:pPr>
              <w:jc w:val="center"/>
              <w:rPr>
                <w:sz w:val="24"/>
                <w:szCs w:val="24"/>
              </w:rPr>
            </w:pPr>
            <w:r w:rsidRPr="009A12E0">
              <w:rPr>
                <w:sz w:val="24"/>
                <w:szCs w:val="24"/>
              </w:rPr>
              <w:t>90.5</w:t>
            </w:r>
          </w:p>
        </w:tc>
        <w:tc>
          <w:tcPr>
            <w:tcW w:w="1170" w:type="dxa"/>
          </w:tcPr>
          <w:p w:rsidR="00195FD9" w:rsidRPr="009A12E0" w:rsidRDefault="00195FD9" w:rsidP="00702B67">
            <w:pPr>
              <w:jc w:val="center"/>
              <w:rPr>
                <w:sz w:val="24"/>
                <w:szCs w:val="24"/>
              </w:rPr>
            </w:pPr>
            <w:r w:rsidRPr="009A12E0">
              <w:rPr>
                <w:sz w:val="24"/>
                <w:szCs w:val="24"/>
              </w:rPr>
              <w:t>94.1</w:t>
            </w:r>
          </w:p>
        </w:tc>
        <w:tc>
          <w:tcPr>
            <w:tcW w:w="1170" w:type="dxa"/>
          </w:tcPr>
          <w:p w:rsidR="00195FD9" w:rsidRPr="009A12E0" w:rsidRDefault="0090498D" w:rsidP="00702B67">
            <w:pPr>
              <w:jc w:val="center"/>
              <w:rPr>
                <w:sz w:val="24"/>
                <w:szCs w:val="24"/>
              </w:rPr>
            </w:pPr>
            <w:r>
              <w:rPr>
                <w:sz w:val="24"/>
                <w:szCs w:val="24"/>
              </w:rPr>
              <w:t>93.0</w:t>
            </w:r>
          </w:p>
        </w:tc>
        <w:tc>
          <w:tcPr>
            <w:tcW w:w="1170" w:type="dxa"/>
          </w:tcPr>
          <w:p w:rsidR="00195FD9" w:rsidRPr="009A12E0" w:rsidRDefault="00195FD9" w:rsidP="00702B67">
            <w:pPr>
              <w:jc w:val="center"/>
              <w:rPr>
                <w:sz w:val="24"/>
                <w:szCs w:val="24"/>
              </w:rPr>
            </w:pPr>
            <w:r w:rsidRPr="009A12E0">
              <w:rPr>
                <w:sz w:val="24"/>
                <w:szCs w:val="24"/>
              </w:rPr>
              <w:t>100.0</w:t>
            </w:r>
          </w:p>
        </w:tc>
        <w:tc>
          <w:tcPr>
            <w:tcW w:w="1548" w:type="dxa"/>
          </w:tcPr>
          <w:p w:rsidR="00195FD9" w:rsidRPr="009A12E0" w:rsidRDefault="00195FD9" w:rsidP="00702B67">
            <w:pPr>
              <w:jc w:val="center"/>
              <w:rPr>
                <w:b/>
                <w:sz w:val="24"/>
                <w:szCs w:val="24"/>
              </w:rPr>
            </w:pPr>
            <w:r w:rsidRPr="009A12E0">
              <w:rPr>
                <w:b/>
                <w:sz w:val="24"/>
                <w:szCs w:val="24"/>
              </w:rPr>
              <w:t>97.0</w:t>
            </w:r>
          </w:p>
        </w:tc>
      </w:tr>
      <w:tr w:rsidR="00195FD9" w:rsidRPr="009A12E0" w:rsidTr="00702B67">
        <w:tc>
          <w:tcPr>
            <w:tcW w:w="5598" w:type="dxa"/>
          </w:tcPr>
          <w:p w:rsidR="00195FD9" w:rsidRPr="009A12E0" w:rsidRDefault="00195FD9" w:rsidP="00702B67">
            <w:pPr>
              <w:rPr>
                <w:sz w:val="24"/>
                <w:szCs w:val="24"/>
              </w:rPr>
            </w:pPr>
            <w:r w:rsidRPr="009A12E0">
              <w:rPr>
                <w:sz w:val="24"/>
                <w:szCs w:val="24"/>
              </w:rPr>
              <w:t>Recommended initial therapy</w:t>
            </w:r>
          </w:p>
        </w:tc>
        <w:tc>
          <w:tcPr>
            <w:tcW w:w="1260" w:type="dxa"/>
          </w:tcPr>
          <w:p w:rsidR="00195FD9" w:rsidRPr="009A12E0" w:rsidRDefault="00195FD9" w:rsidP="00702B67">
            <w:pPr>
              <w:jc w:val="center"/>
              <w:rPr>
                <w:sz w:val="24"/>
                <w:szCs w:val="24"/>
              </w:rPr>
            </w:pPr>
            <w:r w:rsidRPr="009A12E0">
              <w:rPr>
                <w:sz w:val="24"/>
                <w:szCs w:val="24"/>
              </w:rPr>
              <w:t>95.3</w:t>
            </w:r>
          </w:p>
        </w:tc>
        <w:tc>
          <w:tcPr>
            <w:tcW w:w="1260" w:type="dxa"/>
          </w:tcPr>
          <w:p w:rsidR="00195FD9" w:rsidRPr="009A12E0" w:rsidRDefault="00195FD9" w:rsidP="00702B67">
            <w:pPr>
              <w:jc w:val="center"/>
              <w:rPr>
                <w:sz w:val="24"/>
                <w:szCs w:val="24"/>
              </w:rPr>
            </w:pPr>
            <w:r w:rsidRPr="009A12E0">
              <w:rPr>
                <w:sz w:val="24"/>
                <w:szCs w:val="24"/>
              </w:rPr>
              <w:t>90.0</w:t>
            </w:r>
          </w:p>
        </w:tc>
        <w:tc>
          <w:tcPr>
            <w:tcW w:w="1170" w:type="dxa"/>
          </w:tcPr>
          <w:p w:rsidR="00195FD9" w:rsidRPr="009A12E0" w:rsidRDefault="00195FD9" w:rsidP="00702B67">
            <w:pPr>
              <w:jc w:val="center"/>
              <w:rPr>
                <w:sz w:val="24"/>
                <w:szCs w:val="24"/>
              </w:rPr>
            </w:pPr>
            <w:r w:rsidRPr="009A12E0">
              <w:rPr>
                <w:sz w:val="24"/>
                <w:szCs w:val="24"/>
              </w:rPr>
              <w:t>95.9</w:t>
            </w:r>
          </w:p>
        </w:tc>
        <w:tc>
          <w:tcPr>
            <w:tcW w:w="1170" w:type="dxa"/>
          </w:tcPr>
          <w:p w:rsidR="00195FD9" w:rsidRPr="009A12E0" w:rsidRDefault="00195FD9" w:rsidP="00702B67">
            <w:pPr>
              <w:jc w:val="center"/>
              <w:rPr>
                <w:sz w:val="24"/>
                <w:szCs w:val="24"/>
              </w:rPr>
            </w:pPr>
            <w:r w:rsidRPr="009A12E0">
              <w:rPr>
                <w:sz w:val="24"/>
                <w:szCs w:val="24"/>
              </w:rPr>
              <w:t>96.2</w:t>
            </w:r>
          </w:p>
        </w:tc>
        <w:tc>
          <w:tcPr>
            <w:tcW w:w="1170" w:type="dxa"/>
          </w:tcPr>
          <w:p w:rsidR="00195FD9" w:rsidRPr="009A12E0" w:rsidRDefault="008D1B20" w:rsidP="00702B67">
            <w:pPr>
              <w:jc w:val="center"/>
              <w:rPr>
                <w:sz w:val="24"/>
                <w:szCs w:val="24"/>
              </w:rPr>
            </w:pPr>
            <w:r>
              <w:rPr>
                <w:sz w:val="24"/>
                <w:szCs w:val="24"/>
              </w:rPr>
              <w:t>90.9</w:t>
            </w:r>
          </w:p>
        </w:tc>
        <w:tc>
          <w:tcPr>
            <w:tcW w:w="1548" w:type="dxa"/>
          </w:tcPr>
          <w:p w:rsidR="00195FD9" w:rsidRPr="009A12E0" w:rsidRDefault="00195FD9" w:rsidP="00702B67">
            <w:pPr>
              <w:jc w:val="center"/>
              <w:rPr>
                <w:b/>
                <w:sz w:val="24"/>
                <w:szCs w:val="24"/>
              </w:rPr>
            </w:pPr>
            <w:r w:rsidRPr="009A12E0">
              <w:rPr>
                <w:b/>
                <w:sz w:val="24"/>
                <w:szCs w:val="24"/>
              </w:rPr>
              <w:t>97.0</w:t>
            </w:r>
          </w:p>
        </w:tc>
      </w:tr>
      <w:tr w:rsidR="00195FD9" w:rsidRPr="009A12E0" w:rsidTr="00702B67">
        <w:tc>
          <w:tcPr>
            <w:tcW w:w="5598" w:type="dxa"/>
          </w:tcPr>
          <w:p w:rsidR="00195FD9" w:rsidRPr="009A12E0" w:rsidRDefault="00195FD9" w:rsidP="00702B67">
            <w:pPr>
              <w:rPr>
                <w:sz w:val="24"/>
                <w:szCs w:val="24"/>
              </w:rPr>
            </w:pPr>
            <w:r w:rsidRPr="009A12E0">
              <w:rPr>
                <w:sz w:val="24"/>
                <w:szCs w:val="24"/>
              </w:rPr>
              <w:t>Sputum culture result reported</w:t>
            </w:r>
          </w:p>
        </w:tc>
        <w:tc>
          <w:tcPr>
            <w:tcW w:w="1260" w:type="dxa"/>
          </w:tcPr>
          <w:p w:rsidR="00195FD9" w:rsidRPr="009A12E0" w:rsidRDefault="000347C9" w:rsidP="00702B67">
            <w:pPr>
              <w:jc w:val="center"/>
              <w:rPr>
                <w:sz w:val="24"/>
                <w:szCs w:val="24"/>
              </w:rPr>
            </w:pPr>
            <w:r>
              <w:rPr>
                <w:sz w:val="24"/>
                <w:szCs w:val="24"/>
              </w:rPr>
              <w:t>96.9</w:t>
            </w:r>
          </w:p>
        </w:tc>
        <w:tc>
          <w:tcPr>
            <w:tcW w:w="1260" w:type="dxa"/>
          </w:tcPr>
          <w:p w:rsidR="00195FD9" w:rsidRPr="009A12E0" w:rsidRDefault="00195FD9" w:rsidP="00702B67">
            <w:pPr>
              <w:jc w:val="center"/>
              <w:rPr>
                <w:sz w:val="24"/>
                <w:szCs w:val="24"/>
              </w:rPr>
            </w:pPr>
            <w:r>
              <w:rPr>
                <w:sz w:val="24"/>
                <w:szCs w:val="24"/>
              </w:rPr>
              <w:t>97.6</w:t>
            </w:r>
          </w:p>
        </w:tc>
        <w:tc>
          <w:tcPr>
            <w:tcW w:w="1170" w:type="dxa"/>
          </w:tcPr>
          <w:p w:rsidR="00195FD9" w:rsidRPr="009A12E0" w:rsidRDefault="00195FD9" w:rsidP="00702B67">
            <w:pPr>
              <w:jc w:val="center"/>
              <w:rPr>
                <w:sz w:val="24"/>
                <w:szCs w:val="24"/>
              </w:rPr>
            </w:pPr>
            <w:r>
              <w:rPr>
                <w:sz w:val="24"/>
                <w:szCs w:val="24"/>
              </w:rPr>
              <w:t>97.0</w:t>
            </w:r>
          </w:p>
        </w:tc>
        <w:tc>
          <w:tcPr>
            <w:tcW w:w="1170" w:type="dxa"/>
          </w:tcPr>
          <w:p w:rsidR="00195FD9" w:rsidRPr="009A12E0" w:rsidRDefault="00195FD9" w:rsidP="00702B67">
            <w:pPr>
              <w:jc w:val="center"/>
              <w:rPr>
                <w:sz w:val="24"/>
                <w:szCs w:val="24"/>
              </w:rPr>
            </w:pPr>
            <w:r>
              <w:rPr>
                <w:sz w:val="24"/>
                <w:szCs w:val="24"/>
              </w:rPr>
              <w:t>96.4</w:t>
            </w:r>
          </w:p>
        </w:tc>
        <w:tc>
          <w:tcPr>
            <w:tcW w:w="1170" w:type="dxa"/>
          </w:tcPr>
          <w:p w:rsidR="00195FD9" w:rsidRPr="009A12E0" w:rsidRDefault="008D1B20" w:rsidP="00E26194">
            <w:pPr>
              <w:jc w:val="center"/>
              <w:rPr>
                <w:sz w:val="24"/>
                <w:szCs w:val="24"/>
              </w:rPr>
            </w:pPr>
            <w:r>
              <w:rPr>
                <w:sz w:val="24"/>
                <w:szCs w:val="24"/>
              </w:rPr>
              <w:t>92.0</w:t>
            </w:r>
          </w:p>
        </w:tc>
        <w:tc>
          <w:tcPr>
            <w:tcW w:w="1548" w:type="dxa"/>
          </w:tcPr>
          <w:p w:rsidR="00195FD9" w:rsidRPr="009A12E0" w:rsidRDefault="00195FD9" w:rsidP="00702B67">
            <w:pPr>
              <w:jc w:val="center"/>
              <w:rPr>
                <w:b/>
                <w:sz w:val="24"/>
                <w:szCs w:val="24"/>
              </w:rPr>
            </w:pPr>
            <w:r w:rsidRPr="009A12E0">
              <w:rPr>
                <w:b/>
                <w:sz w:val="24"/>
                <w:szCs w:val="24"/>
              </w:rPr>
              <w:t>98.0</w:t>
            </w:r>
          </w:p>
        </w:tc>
      </w:tr>
      <w:tr w:rsidR="00195FD9" w:rsidRPr="009A12E0" w:rsidTr="00702B67">
        <w:tc>
          <w:tcPr>
            <w:tcW w:w="5598" w:type="dxa"/>
          </w:tcPr>
          <w:p w:rsidR="00195FD9" w:rsidRPr="009A12E0" w:rsidRDefault="00195FD9" w:rsidP="00702B67">
            <w:pPr>
              <w:rPr>
                <w:sz w:val="24"/>
                <w:szCs w:val="24"/>
              </w:rPr>
            </w:pPr>
            <w:r w:rsidRPr="009A12E0">
              <w:rPr>
                <w:sz w:val="24"/>
                <w:szCs w:val="24"/>
              </w:rPr>
              <w:t>Sputum culture conversion</w:t>
            </w:r>
          </w:p>
        </w:tc>
        <w:tc>
          <w:tcPr>
            <w:tcW w:w="1260" w:type="dxa"/>
          </w:tcPr>
          <w:p w:rsidR="00195FD9" w:rsidRPr="009A12E0" w:rsidRDefault="00195FD9" w:rsidP="00702B67">
            <w:pPr>
              <w:jc w:val="center"/>
              <w:rPr>
                <w:sz w:val="24"/>
                <w:szCs w:val="24"/>
              </w:rPr>
            </w:pPr>
            <w:r>
              <w:rPr>
                <w:sz w:val="24"/>
                <w:szCs w:val="24"/>
              </w:rPr>
              <w:t>87.1</w:t>
            </w:r>
          </w:p>
        </w:tc>
        <w:tc>
          <w:tcPr>
            <w:tcW w:w="1260" w:type="dxa"/>
          </w:tcPr>
          <w:p w:rsidR="00195FD9" w:rsidRPr="009A12E0" w:rsidRDefault="00195FD9" w:rsidP="00702B67">
            <w:pPr>
              <w:jc w:val="center"/>
              <w:rPr>
                <w:sz w:val="24"/>
                <w:szCs w:val="24"/>
              </w:rPr>
            </w:pPr>
            <w:r>
              <w:rPr>
                <w:sz w:val="24"/>
                <w:szCs w:val="24"/>
              </w:rPr>
              <w:t>90.0</w:t>
            </w:r>
          </w:p>
        </w:tc>
        <w:tc>
          <w:tcPr>
            <w:tcW w:w="1170" w:type="dxa"/>
          </w:tcPr>
          <w:p w:rsidR="00195FD9" w:rsidRPr="009A12E0" w:rsidRDefault="00195FD9" w:rsidP="00702B67">
            <w:pPr>
              <w:jc w:val="center"/>
              <w:rPr>
                <w:sz w:val="24"/>
                <w:szCs w:val="24"/>
              </w:rPr>
            </w:pPr>
            <w:r>
              <w:rPr>
                <w:sz w:val="24"/>
                <w:szCs w:val="24"/>
              </w:rPr>
              <w:t>82.4</w:t>
            </w:r>
          </w:p>
        </w:tc>
        <w:tc>
          <w:tcPr>
            <w:tcW w:w="1170" w:type="dxa"/>
          </w:tcPr>
          <w:p w:rsidR="00195FD9" w:rsidRPr="009A12E0" w:rsidRDefault="0090498D" w:rsidP="00702B67">
            <w:pPr>
              <w:jc w:val="center"/>
              <w:rPr>
                <w:sz w:val="24"/>
                <w:szCs w:val="24"/>
              </w:rPr>
            </w:pPr>
            <w:r>
              <w:rPr>
                <w:sz w:val="24"/>
                <w:szCs w:val="24"/>
              </w:rPr>
              <w:t>85.0</w:t>
            </w:r>
          </w:p>
        </w:tc>
        <w:tc>
          <w:tcPr>
            <w:tcW w:w="1170" w:type="dxa"/>
          </w:tcPr>
          <w:p w:rsidR="00195FD9" w:rsidRPr="009A12E0" w:rsidRDefault="008D1B20" w:rsidP="00702B67">
            <w:pPr>
              <w:jc w:val="center"/>
              <w:rPr>
                <w:sz w:val="24"/>
                <w:szCs w:val="24"/>
              </w:rPr>
            </w:pPr>
            <w:r>
              <w:rPr>
                <w:sz w:val="24"/>
                <w:szCs w:val="24"/>
              </w:rPr>
              <w:t>69.4</w:t>
            </w:r>
          </w:p>
        </w:tc>
        <w:tc>
          <w:tcPr>
            <w:tcW w:w="1548" w:type="dxa"/>
          </w:tcPr>
          <w:p w:rsidR="00195FD9" w:rsidRPr="009A12E0" w:rsidRDefault="00195FD9" w:rsidP="00702B67">
            <w:pPr>
              <w:jc w:val="center"/>
              <w:rPr>
                <w:b/>
                <w:sz w:val="24"/>
                <w:szCs w:val="24"/>
              </w:rPr>
            </w:pPr>
            <w:r>
              <w:rPr>
                <w:b/>
                <w:sz w:val="24"/>
                <w:szCs w:val="24"/>
              </w:rPr>
              <w:t>73.0</w:t>
            </w:r>
          </w:p>
        </w:tc>
      </w:tr>
      <w:tr w:rsidR="00195FD9" w:rsidRPr="009A12E0" w:rsidTr="00702B67">
        <w:tc>
          <w:tcPr>
            <w:tcW w:w="5598" w:type="dxa"/>
            <w:tcBorders>
              <w:bottom w:val="single" w:sz="4" w:space="0" w:color="auto"/>
            </w:tcBorders>
          </w:tcPr>
          <w:p w:rsidR="00195FD9" w:rsidRPr="009A12E0" w:rsidRDefault="00195FD9" w:rsidP="0090498D">
            <w:pPr>
              <w:rPr>
                <w:sz w:val="24"/>
                <w:szCs w:val="24"/>
              </w:rPr>
            </w:pPr>
            <w:r>
              <w:rPr>
                <w:sz w:val="24"/>
                <w:szCs w:val="24"/>
              </w:rPr>
              <w:t xml:space="preserve">Completion of </w:t>
            </w:r>
            <w:r w:rsidR="0090498D">
              <w:rPr>
                <w:sz w:val="24"/>
                <w:szCs w:val="24"/>
              </w:rPr>
              <w:t>therapy</w:t>
            </w:r>
          </w:p>
        </w:tc>
        <w:tc>
          <w:tcPr>
            <w:tcW w:w="1260" w:type="dxa"/>
            <w:tcBorders>
              <w:bottom w:val="single" w:sz="4" w:space="0" w:color="auto"/>
            </w:tcBorders>
          </w:tcPr>
          <w:p w:rsidR="00195FD9" w:rsidRDefault="00195FD9" w:rsidP="00702B67">
            <w:pPr>
              <w:jc w:val="center"/>
              <w:rPr>
                <w:sz w:val="24"/>
                <w:szCs w:val="24"/>
              </w:rPr>
            </w:pPr>
            <w:r>
              <w:rPr>
                <w:sz w:val="24"/>
                <w:szCs w:val="24"/>
              </w:rPr>
              <w:t>95.3</w:t>
            </w:r>
          </w:p>
        </w:tc>
        <w:tc>
          <w:tcPr>
            <w:tcW w:w="1260" w:type="dxa"/>
            <w:tcBorders>
              <w:bottom w:val="single" w:sz="4" w:space="0" w:color="auto"/>
            </w:tcBorders>
          </w:tcPr>
          <w:p w:rsidR="00195FD9" w:rsidRDefault="00195FD9" w:rsidP="00702B67">
            <w:pPr>
              <w:jc w:val="center"/>
              <w:rPr>
                <w:sz w:val="24"/>
                <w:szCs w:val="24"/>
              </w:rPr>
            </w:pPr>
            <w:r>
              <w:rPr>
                <w:sz w:val="24"/>
                <w:szCs w:val="24"/>
              </w:rPr>
              <w:t>95.3</w:t>
            </w:r>
          </w:p>
        </w:tc>
        <w:tc>
          <w:tcPr>
            <w:tcW w:w="1170" w:type="dxa"/>
            <w:tcBorders>
              <w:bottom w:val="single" w:sz="4" w:space="0" w:color="auto"/>
            </w:tcBorders>
          </w:tcPr>
          <w:p w:rsidR="00195FD9" w:rsidRDefault="00195FD9" w:rsidP="00702B67">
            <w:pPr>
              <w:jc w:val="center"/>
              <w:rPr>
                <w:sz w:val="24"/>
                <w:szCs w:val="24"/>
              </w:rPr>
            </w:pPr>
            <w:r>
              <w:rPr>
                <w:sz w:val="24"/>
                <w:szCs w:val="24"/>
              </w:rPr>
              <w:t>95.2</w:t>
            </w:r>
          </w:p>
        </w:tc>
        <w:tc>
          <w:tcPr>
            <w:tcW w:w="1170" w:type="dxa"/>
            <w:tcBorders>
              <w:bottom w:val="single" w:sz="4" w:space="0" w:color="auto"/>
            </w:tcBorders>
          </w:tcPr>
          <w:p w:rsidR="00195FD9" w:rsidRDefault="000347C9" w:rsidP="00702B67">
            <w:pPr>
              <w:jc w:val="center"/>
              <w:rPr>
                <w:sz w:val="24"/>
                <w:szCs w:val="24"/>
              </w:rPr>
            </w:pPr>
            <w:r>
              <w:rPr>
                <w:sz w:val="24"/>
                <w:szCs w:val="24"/>
              </w:rPr>
              <w:t>92.6</w:t>
            </w:r>
          </w:p>
        </w:tc>
        <w:tc>
          <w:tcPr>
            <w:tcW w:w="1170" w:type="dxa"/>
            <w:tcBorders>
              <w:bottom w:val="single" w:sz="4" w:space="0" w:color="auto"/>
            </w:tcBorders>
          </w:tcPr>
          <w:p w:rsidR="00195FD9" w:rsidRDefault="008D1B20" w:rsidP="00702B67">
            <w:pPr>
              <w:jc w:val="center"/>
              <w:rPr>
                <w:sz w:val="24"/>
                <w:szCs w:val="24"/>
              </w:rPr>
            </w:pPr>
            <w:r>
              <w:rPr>
                <w:sz w:val="24"/>
                <w:szCs w:val="24"/>
              </w:rPr>
              <w:t>28.4</w:t>
            </w:r>
          </w:p>
        </w:tc>
        <w:tc>
          <w:tcPr>
            <w:tcW w:w="1548" w:type="dxa"/>
            <w:tcBorders>
              <w:bottom w:val="single" w:sz="4" w:space="0" w:color="auto"/>
            </w:tcBorders>
          </w:tcPr>
          <w:p w:rsidR="00195FD9" w:rsidRDefault="00195FD9" w:rsidP="00702B67">
            <w:pPr>
              <w:jc w:val="center"/>
              <w:rPr>
                <w:b/>
                <w:sz w:val="24"/>
                <w:szCs w:val="24"/>
              </w:rPr>
            </w:pPr>
            <w:r>
              <w:rPr>
                <w:b/>
                <w:sz w:val="24"/>
                <w:szCs w:val="24"/>
              </w:rPr>
              <w:t>95.0</w:t>
            </w:r>
          </w:p>
        </w:tc>
      </w:tr>
      <w:tr w:rsidR="00195FD9" w:rsidRPr="009A12E0" w:rsidTr="00702B67">
        <w:tc>
          <w:tcPr>
            <w:tcW w:w="13176" w:type="dxa"/>
            <w:gridSpan w:val="7"/>
            <w:shd w:val="clear" w:color="auto" w:fill="D9D9D9" w:themeFill="background1" w:themeFillShade="D9"/>
          </w:tcPr>
          <w:p w:rsidR="00195FD9" w:rsidRDefault="00195FD9" w:rsidP="00CE4BED">
            <w:pPr>
              <w:jc w:val="center"/>
              <w:rPr>
                <w:b/>
                <w:sz w:val="24"/>
                <w:szCs w:val="24"/>
              </w:rPr>
            </w:pPr>
            <w:r>
              <w:rPr>
                <w:b/>
                <w:sz w:val="24"/>
                <w:szCs w:val="24"/>
              </w:rPr>
              <w:t>Indicators for Laboratory Reporting (%)</w:t>
            </w:r>
          </w:p>
        </w:tc>
      </w:tr>
      <w:tr w:rsidR="00195FD9" w:rsidRPr="009A12E0" w:rsidTr="00702B67">
        <w:tc>
          <w:tcPr>
            <w:tcW w:w="5598" w:type="dxa"/>
          </w:tcPr>
          <w:p w:rsidR="00195FD9" w:rsidRDefault="00195FD9" w:rsidP="00702B67">
            <w:pPr>
              <w:rPr>
                <w:sz w:val="24"/>
                <w:szCs w:val="24"/>
              </w:rPr>
            </w:pPr>
            <w:r>
              <w:rPr>
                <w:sz w:val="24"/>
                <w:szCs w:val="24"/>
              </w:rPr>
              <w:t>Turnaround time—culture</w:t>
            </w:r>
          </w:p>
        </w:tc>
        <w:tc>
          <w:tcPr>
            <w:tcW w:w="1260" w:type="dxa"/>
          </w:tcPr>
          <w:p w:rsidR="00195FD9" w:rsidRDefault="00195FD9" w:rsidP="00702B67">
            <w:pPr>
              <w:jc w:val="center"/>
              <w:rPr>
                <w:sz w:val="24"/>
                <w:szCs w:val="24"/>
              </w:rPr>
            </w:pPr>
            <w:r>
              <w:rPr>
                <w:sz w:val="24"/>
                <w:szCs w:val="24"/>
              </w:rPr>
              <w:t>32.0</w:t>
            </w:r>
          </w:p>
        </w:tc>
        <w:tc>
          <w:tcPr>
            <w:tcW w:w="1260" w:type="dxa"/>
          </w:tcPr>
          <w:p w:rsidR="00195FD9" w:rsidRDefault="00195FD9" w:rsidP="00702B67">
            <w:pPr>
              <w:jc w:val="center"/>
              <w:rPr>
                <w:sz w:val="24"/>
                <w:szCs w:val="24"/>
              </w:rPr>
            </w:pPr>
            <w:r>
              <w:rPr>
                <w:sz w:val="24"/>
                <w:szCs w:val="24"/>
              </w:rPr>
              <w:t>52.5</w:t>
            </w:r>
          </w:p>
        </w:tc>
        <w:tc>
          <w:tcPr>
            <w:tcW w:w="1170" w:type="dxa"/>
          </w:tcPr>
          <w:p w:rsidR="00195FD9" w:rsidRDefault="00195FD9" w:rsidP="00702B67">
            <w:pPr>
              <w:jc w:val="center"/>
              <w:rPr>
                <w:sz w:val="24"/>
                <w:szCs w:val="24"/>
              </w:rPr>
            </w:pPr>
            <w:r>
              <w:rPr>
                <w:sz w:val="24"/>
                <w:szCs w:val="24"/>
              </w:rPr>
              <w:t>53.9</w:t>
            </w:r>
          </w:p>
        </w:tc>
        <w:tc>
          <w:tcPr>
            <w:tcW w:w="1170" w:type="dxa"/>
          </w:tcPr>
          <w:p w:rsidR="00195FD9" w:rsidRDefault="0016339C" w:rsidP="00702B67">
            <w:pPr>
              <w:jc w:val="center"/>
              <w:rPr>
                <w:sz w:val="24"/>
                <w:szCs w:val="24"/>
              </w:rPr>
            </w:pPr>
            <w:r>
              <w:rPr>
                <w:sz w:val="24"/>
                <w:szCs w:val="24"/>
              </w:rPr>
              <w:t>59.7</w:t>
            </w:r>
          </w:p>
        </w:tc>
        <w:tc>
          <w:tcPr>
            <w:tcW w:w="1170" w:type="dxa"/>
          </w:tcPr>
          <w:p w:rsidR="00195FD9" w:rsidRDefault="008D1B20" w:rsidP="008D1B20">
            <w:pPr>
              <w:tabs>
                <w:tab w:val="center" w:pos="380"/>
              </w:tabs>
              <w:rPr>
                <w:sz w:val="24"/>
                <w:szCs w:val="24"/>
              </w:rPr>
            </w:pPr>
            <w:r>
              <w:rPr>
                <w:sz w:val="24"/>
                <w:szCs w:val="24"/>
              </w:rPr>
              <w:tab/>
              <w:t>59.3</w:t>
            </w:r>
          </w:p>
        </w:tc>
        <w:tc>
          <w:tcPr>
            <w:tcW w:w="1548" w:type="dxa"/>
          </w:tcPr>
          <w:p w:rsidR="00195FD9" w:rsidRDefault="00195FD9" w:rsidP="00702B67">
            <w:pPr>
              <w:jc w:val="center"/>
              <w:rPr>
                <w:b/>
                <w:sz w:val="24"/>
                <w:szCs w:val="24"/>
              </w:rPr>
            </w:pPr>
            <w:r>
              <w:rPr>
                <w:b/>
                <w:sz w:val="24"/>
                <w:szCs w:val="24"/>
              </w:rPr>
              <w:t>78.0</w:t>
            </w:r>
          </w:p>
        </w:tc>
      </w:tr>
      <w:tr w:rsidR="00195FD9" w:rsidRPr="009A12E0" w:rsidTr="00702B67">
        <w:tc>
          <w:tcPr>
            <w:tcW w:w="5598" w:type="dxa"/>
          </w:tcPr>
          <w:p w:rsidR="00195FD9" w:rsidRDefault="00195FD9" w:rsidP="00702B67">
            <w:pPr>
              <w:rPr>
                <w:sz w:val="24"/>
                <w:szCs w:val="24"/>
              </w:rPr>
            </w:pPr>
            <w:r>
              <w:rPr>
                <w:sz w:val="24"/>
                <w:szCs w:val="24"/>
              </w:rPr>
              <w:t>Turnaround time—NAA</w:t>
            </w:r>
          </w:p>
        </w:tc>
        <w:tc>
          <w:tcPr>
            <w:tcW w:w="1260" w:type="dxa"/>
          </w:tcPr>
          <w:p w:rsidR="00195FD9" w:rsidRDefault="00195FD9" w:rsidP="00702B67">
            <w:pPr>
              <w:jc w:val="center"/>
              <w:rPr>
                <w:sz w:val="24"/>
                <w:szCs w:val="24"/>
              </w:rPr>
            </w:pPr>
            <w:r>
              <w:rPr>
                <w:sz w:val="24"/>
                <w:szCs w:val="24"/>
              </w:rPr>
              <w:t>61.9</w:t>
            </w:r>
          </w:p>
        </w:tc>
        <w:tc>
          <w:tcPr>
            <w:tcW w:w="1260" w:type="dxa"/>
          </w:tcPr>
          <w:p w:rsidR="00195FD9" w:rsidRDefault="00195FD9" w:rsidP="00702B67">
            <w:pPr>
              <w:jc w:val="center"/>
              <w:rPr>
                <w:sz w:val="24"/>
                <w:szCs w:val="24"/>
              </w:rPr>
            </w:pPr>
            <w:r>
              <w:rPr>
                <w:sz w:val="24"/>
                <w:szCs w:val="24"/>
              </w:rPr>
              <w:t>82.9</w:t>
            </w:r>
          </w:p>
        </w:tc>
        <w:tc>
          <w:tcPr>
            <w:tcW w:w="1170" w:type="dxa"/>
          </w:tcPr>
          <w:p w:rsidR="00195FD9" w:rsidRDefault="00195FD9" w:rsidP="00702B67">
            <w:pPr>
              <w:jc w:val="center"/>
              <w:rPr>
                <w:sz w:val="24"/>
                <w:szCs w:val="24"/>
              </w:rPr>
            </w:pPr>
            <w:r>
              <w:rPr>
                <w:sz w:val="24"/>
                <w:szCs w:val="24"/>
              </w:rPr>
              <w:t>87.5</w:t>
            </w:r>
          </w:p>
        </w:tc>
        <w:tc>
          <w:tcPr>
            <w:tcW w:w="1170" w:type="dxa"/>
          </w:tcPr>
          <w:p w:rsidR="00195FD9" w:rsidRDefault="0090498D" w:rsidP="00702B67">
            <w:pPr>
              <w:jc w:val="center"/>
              <w:rPr>
                <w:sz w:val="24"/>
                <w:szCs w:val="24"/>
              </w:rPr>
            </w:pPr>
            <w:r>
              <w:rPr>
                <w:sz w:val="24"/>
                <w:szCs w:val="24"/>
              </w:rPr>
              <w:t>93.6</w:t>
            </w:r>
          </w:p>
        </w:tc>
        <w:tc>
          <w:tcPr>
            <w:tcW w:w="1170" w:type="dxa"/>
          </w:tcPr>
          <w:p w:rsidR="00195FD9" w:rsidRDefault="008D1B20" w:rsidP="0016339C">
            <w:pPr>
              <w:tabs>
                <w:tab w:val="center" w:pos="379"/>
              </w:tabs>
              <w:rPr>
                <w:sz w:val="24"/>
                <w:szCs w:val="24"/>
              </w:rPr>
            </w:pPr>
            <w:r>
              <w:rPr>
                <w:sz w:val="24"/>
                <w:szCs w:val="24"/>
              </w:rPr>
              <w:tab/>
              <w:t>95.2</w:t>
            </w:r>
          </w:p>
        </w:tc>
        <w:tc>
          <w:tcPr>
            <w:tcW w:w="1548" w:type="dxa"/>
          </w:tcPr>
          <w:p w:rsidR="00195FD9" w:rsidRDefault="00195FD9" w:rsidP="00702B67">
            <w:pPr>
              <w:jc w:val="center"/>
              <w:rPr>
                <w:b/>
                <w:sz w:val="24"/>
                <w:szCs w:val="24"/>
              </w:rPr>
            </w:pPr>
            <w:r>
              <w:rPr>
                <w:b/>
                <w:sz w:val="24"/>
                <w:szCs w:val="24"/>
              </w:rPr>
              <w:t>92.0</w:t>
            </w:r>
          </w:p>
        </w:tc>
      </w:tr>
      <w:tr w:rsidR="00195FD9" w:rsidRPr="009A12E0" w:rsidTr="00702B67">
        <w:tc>
          <w:tcPr>
            <w:tcW w:w="5598" w:type="dxa"/>
          </w:tcPr>
          <w:p w:rsidR="00195FD9" w:rsidRDefault="00195FD9" w:rsidP="00702B67">
            <w:pPr>
              <w:rPr>
                <w:sz w:val="24"/>
                <w:szCs w:val="24"/>
              </w:rPr>
            </w:pPr>
            <w:r>
              <w:rPr>
                <w:sz w:val="24"/>
                <w:szCs w:val="24"/>
              </w:rPr>
              <w:t>Drug-susceptibility results</w:t>
            </w:r>
          </w:p>
        </w:tc>
        <w:tc>
          <w:tcPr>
            <w:tcW w:w="1260" w:type="dxa"/>
          </w:tcPr>
          <w:p w:rsidR="00195FD9" w:rsidRDefault="00195FD9" w:rsidP="00702B67">
            <w:pPr>
              <w:jc w:val="center"/>
              <w:rPr>
                <w:sz w:val="24"/>
                <w:szCs w:val="24"/>
              </w:rPr>
            </w:pPr>
            <w:r>
              <w:rPr>
                <w:sz w:val="24"/>
                <w:szCs w:val="24"/>
              </w:rPr>
              <w:t>94.4</w:t>
            </w:r>
          </w:p>
        </w:tc>
        <w:tc>
          <w:tcPr>
            <w:tcW w:w="1260" w:type="dxa"/>
          </w:tcPr>
          <w:p w:rsidR="00195FD9" w:rsidRDefault="00195FD9" w:rsidP="00702B67">
            <w:pPr>
              <w:jc w:val="center"/>
              <w:rPr>
                <w:sz w:val="24"/>
                <w:szCs w:val="24"/>
              </w:rPr>
            </w:pPr>
            <w:r>
              <w:rPr>
                <w:sz w:val="24"/>
                <w:szCs w:val="24"/>
              </w:rPr>
              <w:t>96.2</w:t>
            </w:r>
          </w:p>
        </w:tc>
        <w:tc>
          <w:tcPr>
            <w:tcW w:w="1170" w:type="dxa"/>
          </w:tcPr>
          <w:p w:rsidR="00195FD9" w:rsidRDefault="00195FD9" w:rsidP="00702B67">
            <w:pPr>
              <w:jc w:val="center"/>
              <w:rPr>
                <w:sz w:val="24"/>
                <w:szCs w:val="24"/>
              </w:rPr>
            </w:pPr>
            <w:r>
              <w:rPr>
                <w:sz w:val="24"/>
                <w:szCs w:val="24"/>
              </w:rPr>
              <w:t>100.0</w:t>
            </w:r>
          </w:p>
        </w:tc>
        <w:tc>
          <w:tcPr>
            <w:tcW w:w="1170" w:type="dxa"/>
          </w:tcPr>
          <w:p w:rsidR="00195FD9" w:rsidRDefault="0090498D" w:rsidP="00702B67">
            <w:pPr>
              <w:jc w:val="center"/>
              <w:rPr>
                <w:sz w:val="24"/>
                <w:szCs w:val="24"/>
              </w:rPr>
            </w:pPr>
            <w:r>
              <w:rPr>
                <w:sz w:val="24"/>
                <w:szCs w:val="24"/>
              </w:rPr>
              <w:t>98.9</w:t>
            </w:r>
          </w:p>
        </w:tc>
        <w:tc>
          <w:tcPr>
            <w:tcW w:w="1170" w:type="dxa"/>
          </w:tcPr>
          <w:p w:rsidR="00195FD9" w:rsidRDefault="008D1B20" w:rsidP="00702B67">
            <w:pPr>
              <w:jc w:val="center"/>
              <w:rPr>
                <w:sz w:val="24"/>
                <w:szCs w:val="24"/>
              </w:rPr>
            </w:pPr>
            <w:r>
              <w:rPr>
                <w:sz w:val="24"/>
                <w:szCs w:val="24"/>
              </w:rPr>
              <w:t>86.2</w:t>
            </w:r>
          </w:p>
        </w:tc>
        <w:tc>
          <w:tcPr>
            <w:tcW w:w="1548" w:type="dxa"/>
          </w:tcPr>
          <w:p w:rsidR="00195FD9" w:rsidRDefault="00195FD9" w:rsidP="00702B67">
            <w:pPr>
              <w:jc w:val="center"/>
              <w:rPr>
                <w:b/>
                <w:sz w:val="24"/>
                <w:szCs w:val="24"/>
              </w:rPr>
            </w:pPr>
            <w:r>
              <w:rPr>
                <w:b/>
                <w:sz w:val="24"/>
                <w:szCs w:val="24"/>
              </w:rPr>
              <w:t>100.0</w:t>
            </w:r>
          </w:p>
        </w:tc>
      </w:tr>
      <w:tr w:rsidR="00195FD9" w:rsidRPr="009A12E0" w:rsidTr="00702B67">
        <w:tc>
          <w:tcPr>
            <w:tcW w:w="5598" w:type="dxa"/>
            <w:tcBorders>
              <w:bottom w:val="single" w:sz="4" w:space="0" w:color="auto"/>
            </w:tcBorders>
          </w:tcPr>
          <w:p w:rsidR="00195FD9" w:rsidRDefault="00195FD9" w:rsidP="00702B67">
            <w:pPr>
              <w:rPr>
                <w:sz w:val="24"/>
                <w:szCs w:val="24"/>
              </w:rPr>
            </w:pPr>
            <w:r>
              <w:rPr>
                <w:sz w:val="24"/>
                <w:szCs w:val="24"/>
              </w:rPr>
              <w:t>Universal genotyping</w:t>
            </w:r>
          </w:p>
        </w:tc>
        <w:tc>
          <w:tcPr>
            <w:tcW w:w="1260" w:type="dxa"/>
            <w:tcBorders>
              <w:bottom w:val="single" w:sz="4" w:space="0" w:color="auto"/>
            </w:tcBorders>
          </w:tcPr>
          <w:p w:rsidR="00195FD9" w:rsidRDefault="00195FD9" w:rsidP="00702B67">
            <w:pPr>
              <w:jc w:val="center"/>
              <w:rPr>
                <w:sz w:val="24"/>
                <w:szCs w:val="24"/>
              </w:rPr>
            </w:pPr>
            <w:r>
              <w:rPr>
                <w:sz w:val="24"/>
                <w:szCs w:val="24"/>
              </w:rPr>
              <w:t>94.4</w:t>
            </w:r>
          </w:p>
        </w:tc>
        <w:tc>
          <w:tcPr>
            <w:tcW w:w="1260" w:type="dxa"/>
            <w:tcBorders>
              <w:bottom w:val="single" w:sz="4" w:space="0" w:color="auto"/>
            </w:tcBorders>
          </w:tcPr>
          <w:p w:rsidR="00195FD9" w:rsidRDefault="00B76770" w:rsidP="00702B67">
            <w:pPr>
              <w:jc w:val="center"/>
              <w:rPr>
                <w:sz w:val="24"/>
                <w:szCs w:val="24"/>
              </w:rPr>
            </w:pPr>
            <w:r>
              <w:rPr>
                <w:sz w:val="24"/>
                <w:szCs w:val="24"/>
              </w:rPr>
              <w:t>93.8</w:t>
            </w:r>
          </w:p>
        </w:tc>
        <w:tc>
          <w:tcPr>
            <w:tcW w:w="1170" w:type="dxa"/>
            <w:tcBorders>
              <w:bottom w:val="single" w:sz="4" w:space="0" w:color="auto"/>
            </w:tcBorders>
          </w:tcPr>
          <w:p w:rsidR="00195FD9" w:rsidRDefault="00195FD9" w:rsidP="00702B67">
            <w:pPr>
              <w:jc w:val="center"/>
              <w:rPr>
                <w:sz w:val="24"/>
                <w:szCs w:val="24"/>
              </w:rPr>
            </w:pPr>
            <w:r>
              <w:rPr>
                <w:sz w:val="24"/>
                <w:szCs w:val="24"/>
              </w:rPr>
              <w:t>100.0</w:t>
            </w:r>
          </w:p>
        </w:tc>
        <w:tc>
          <w:tcPr>
            <w:tcW w:w="1170" w:type="dxa"/>
            <w:tcBorders>
              <w:bottom w:val="single" w:sz="4" w:space="0" w:color="auto"/>
            </w:tcBorders>
          </w:tcPr>
          <w:p w:rsidR="00195FD9" w:rsidRDefault="0090498D" w:rsidP="00702B67">
            <w:pPr>
              <w:jc w:val="center"/>
              <w:rPr>
                <w:sz w:val="24"/>
                <w:szCs w:val="24"/>
              </w:rPr>
            </w:pPr>
            <w:r>
              <w:rPr>
                <w:sz w:val="24"/>
                <w:szCs w:val="24"/>
              </w:rPr>
              <w:t>97.8</w:t>
            </w:r>
          </w:p>
        </w:tc>
        <w:tc>
          <w:tcPr>
            <w:tcW w:w="1170" w:type="dxa"/>
            <w:tcBorders>
              <w:bottom w:val="single" w:sz="4" w:space="0" w:color="auto"/>
            </w:tcBorders>
          </w:tcPr>
          <w:p w:rsidR="00195FD9" w:rsidRDefault="001944A5" w:rsidP="00DE266A">
            <w:pPr>
              <w:tabs>
                <w:tab w:val="center" w:pos="374"/>
              </w:tabs>
              <w:rPr>
                <w:sz w:val="24"/>
                <w:szCs w:val="24"/>
              </w:rPr>
            </w:pPr>
            <w:r>
              <w:rPr>
                <w:sz w:val="24"/>
                <w:szCs w:val="24"/>
              </w:rPr>
              <w:tab/>
            </w:r>
            <w:r w:rsidR="008D1B20">
              <w:rPr>
                <w:sz w:val="24"/>
                <w:szCs w:val="24"/>
              </w:rPr>
              <w:t>86.2</w:t>
            </w:r>
          </w:p>
        </w:tc>
        <w:tc>
          <w:tcPr>
            <w:tcW w:w="1548" w:type="dxa"/>
            <w:tcBorders>
              <w:bottom w:val="single" w:sz="4" w:space="0" w:color="auto"/>
            </w:tcBorders>
          </w:tcPr>
          <w:p w:rsidR="00195FD9" w:rsidRDefault="00195FD9" w:rsidP="00702B67">
            <w:pPr>
              <w:jc w:val="center"/>
              <w:rPr>
                <w:b/>
                <w:sz w:val="24"/>
                <w:szCs w:val="24"/>
              </w:rPr>
            </w:pPr>
            <w:r>
              <w:rPr>
                <w:b/>
                <w:sz w:val="24"/>
                <w:szCs w:val="24"/>
              </w:rPr>
              <w:t>100.0</w:t>
            </w:r>
          </w:p>
        </w:tc>
      </w:tr>
      <w:tr w:rsidR="00195FD9" w:rsidRPr="009A12E0" w:rsidTr="00702B67">
        <w:tc>
          <w:tcPr>
            <w:tcW w:w="13176" w:type="dxa"/>
            <w:gridSpan w:val="7"/>
            <w:shd w:val="clear" w:color="auto" w:fill="D9D9D9" w:themeFill="background1" w:themeFillShade="D9"/>
          </w:tcPr>
          <w:p w:rsidR="00195FD9" w:rsidRDefault="0042582D" w:rsidP="00CE4BED">
            <w:pPr>
              <w:jc w:val="center"/>
              <w:rPr>
                <w:b/>
                <w:sz w:val="24"/>
                <w:szCs w:val="24"/>
              </w:rPr>
            </w:pPr>
            <w:r w:rsidRPr="0042582D">
              <w:rPr>
                <w:b/>
                <w:sz w:val="24"/>
                <w:szCs w:val="24"/>
              </w:rPr>
              <w:t>Indicators for Examination of Immigrants and Refugees (%)</w:t>
            </w:r>
          </w:p>
        </w:tc>
      </w:tr>
      <w:tr w:rsidR="00195FD9" w:rsidRPr="009A12E0" w:rsidTr="00702B67">
        <w:tc>
          <w:tcPr>
            <w:tcW w:w="5598" w:type="dxa"/>
          </w:tcPr>
          <w:p w:rsidR="00195FD9" w:rsidRDefault="00195FD9" w:rsidP="00702B67">
            <w:pPr>
              <w:rPr>
                <w:sz w:val="24"/>
                <w:szCs w:val="24"/>
              </w:rPr>
            </w:pPr>
            <w:r>
              <w:rPr>
                <w:sz w:val="24"/>
                <w:szCs w:val="24"/>
              </w:rPr>
              <w:t>Examination initiation</w:t>
            </w:r>
          </w:p>
        </w:tc>
        <w:tc>
          <w:tcPr>
            <w:tcW w:w="1260" w:type="dxa"/>
          </w:tcPr>
          <w:p w:rsidR="00195FD9" w:rsidRDefault="00195FD9" w:rsidP="00702B67">
            <w:pPr>
              <w:jc w:val="center"/>
              <w:rPr>
                <w:sz w:val="24"/>
                <w:szCs w:val="24"/>
              </w:rPr>
            </w:pPr>
            <w:r>
              <w:rPr>
                <w:sz w:val="24"/>
                <w:szCs w:val="24"/>
              </w:rPr>
              <w:t>76.6</w:t>
            </w:r>
          </w:p>
        </w:tc>
        <w:tc>
          <w:tcPr>
            <w:tcW w:w="1260" w:type="dxa"/>
          </w:tcPr>
          <w:p w:rsidR="00195FD9" w:rsidRDefault="00195FD9" w:rsidP="00702B67">
            <w:pPr>
              <w:jc w:val="center"/>
              <w:rPr>
                <w:sz w:val="24"/>
                <w:szCs w:val="24"/>
              </w:rPr>
            </w:pPr>
            <w:r>
              <w:rPr>
                <w:sz w:val="24"/>
                <w:szCs w:val="24"/>
              </w:rPr>
              <w:t>75.4</w:t>
            </w:r>
          </w:p>
        </w:tc>
        <w:tc>
          <w:tcPr>
            <w:tcW w:w="1170" w:type="dxa"/>
          </w:tcPr>
          <w:p w:rsidR="00195FD9" w:rsidRDefault="00195FD9" w:rsidP="00702B67">
            <w:pPr>
              <w:jc w:val="center"/>
              <w:rPr>
                <w:sz w:val="24"/>
                <w:szCs w:val="24"/>
              </w:rPr>
            </w:pPr>
            <w:r>
              <w:rPr>
                <w:sz w:val="24"/>
                <w:szCs w:val="24"/>
              </w:rPr>
              <w:t>71.7</w:t>
            </w:r>
          </w:p>
        </w:tc>
        <w:tc>
          <w:tcPr>
            <w:tcW w:w="1170" w:type="dxa"/>
          </w:tcPr>
          <w:p w:rsidR="00195FD9" w:rsidRDefault="00B76770" w:rsidP="00702B67">
            <w:pPr>
              <w:jc w:val="center"/>
              <w:rPr>
                <w:sz w:val="24"/>
                <w:szCs w:val="24"/>
              </w:rPr>
            </w:pPr>
            <w:r>
              <w:rPr>
                <w:sz w:val="24"/>
                <w:szCs w:val="24"/>
              </w:rPr>
              <w:t>60.8</w:t>
            </w:r>
          </w:p>
        </w:tc>
        <w:tc>
          <w:tcPr>
            <w:tcW w:w="1170" w:type="dxa"/>
          </w:tcPr>
          <w:p w:rsidR="00195FD9" w:rsidRDefault="00DE266A" w:rsidP="00702B67">
            <w:pPr>
              <w:jc w:val="center"/>
              <w:rPr>
                <w:sz w:val="24"/>
                <w:szCs w:val="24"/>
              </w:rPr>
            </w:pPr>
            <w:r>
              <w:rPr>
                <w:sz w:val="24"/>
                <w:szCs w:val="24"/>
              </w:rPr>
              <w:t>59.9</w:t>
            </w:r>
          </w:p>
        </w:tc>
        <w:tc>
          <w:tcPr>
            <w:tcW w:w="1548" w:type="dxa"/>
          </w:tcPr>
          <w:p w:rsidR="00195FD9" w:rsidRDefault="00195FD9" w:rsidP="00702B67">
            <w:pPr>
              <w:jc w:val="center"/>
              <w:rPr>
                <w:b/>
                <w:sz w:val="24"/>
                <w:szCs w:val="24"/>
              </w:rPr>
            </w:pPr>
            <w:r>
              <w:rPr>
                <w:b/>
                <w:sz w:val="24"/>
                <w:szCs w:val="24"/>
              </w:rPr>
              <w:t>84.0</w:t>
            </w:r>
          </w:p>
        </w:tc>
      </w:tr>
      <w:tr w:rsidR="00195FD9" w:rsidRPr="009A12E0" w:rsidTr="00702B67">
        <w:tc>
          <w:tcPr>
            <w:tcW w:w="5598" w:type="dxa"/>
          </w:tcPr>
          <w:p w:rsidR="00195FD9" w:rsidRDefault="00195FD9" w:rsidP="00702B67">
            <w:pPr>
              <w:rPr>
                <w:sz w:val="24"/>
                <w:szCs w:val="24"/>
              </w:rPr>
            </w:pPr>
            <w:r>
              <w:rPr>
                <w:sz w:val="24"/>
                <w:szCs w:val="24"/>
              </w:rPr>
              <w:t>Examination completion</w:t>
            </w:r>
          </w:p>
        </w:tc>
        <w:tc>
          <w:tcPr>
            <w:tcW w:w="1260" w:type="dxa"/>
          </w:tcPr>
          <w:p w:rsidR="00195FD9" w:rsidRDefault="00195FD9" w:rsidP="00702B67">
            <w:pPr>
              <w:jc w:val="center"/>
              <w:rPr>
                <w:sz w:val="24"/>
                <w:szCs w:val="24"/>
              </w:rPr>
            </w:pPr>
            <w:r>
              <w:rPr>
                <w:sz w:val="24"/>
                <w:szCs w:val="24"/>
              </w:rPr>
              <w:t>67.2</w:t>
            </w:r>
          </w:p>
        </w:tc>
        <w:tc>
          <w:tcPr>
            <w:tcW w:w="1260" w:type="dxa"/>
          </w:tcPr>
          <w:p w:rsidR="00195FD9" w:rsidRDefault="00195FD9" w:rsidP="00702B67">
            <w:pPr>
              <w:jc w:val="center"/>
              <w:rPr>
                <w:sz w:val="24"/>
                <w:szCs w:val="24"/>
              </w:rPr>
            </w:pPr>
            <w:r>
              <w:rPr>
                <w:sz w:val="24"/>
                <w:szCs w:val="24"/>
              </w:rPr>
              <w:t>64.5</w:t>
            </w:r>
          </w:p>
        </w:tc>
        <w:tc>
          <w:tcPr>
            <w:tcW w:w="1170" w:type="dxa"/>
          </w:tcPr>
          <w:p w:rsidR="00195FD9" w:rsidRDefault="00195FD9" w:rsidP="00702B67">
            <w:pPr>
              <w:jc w:val="center"/>
              <w:rPr>
                <w:sz w:val="24"/>
                <w:szCs w:val="24"/>
              </w:rPr>
            </w:pPr>
            <w:r>
              <w:rPr>
                <w:sz w:val="24"/>
                <w:szCs w:val="24"/>
              </w:rPr>
              <w:t>61.4</w:t>
            </w:r>
          </w:p>
        </w:tc>
        <w:tc>
          <w:tcPr>
            <w:tcW w:w="1170" w:type="dxa"/>
          </w:tcPr>
          <w:p w:rsidR="00195FD9" w:rsidRDefault="00B76770" w:rsidP="00702B67">
            <w:pPr>
              <w:jc w:val="center"/>
              <w:rPr>
                <w:sz w:val="24"/>
                <w:szCs w:val="24"/>
              </w:rPr>
            </w:pPr>
            <w:r>
              <w:rPr>
                <w:sz w:val="24"/>
                <w:szCs w:val="24"/>
              </w:rPr>
              <w:t>56.3</w:t>
            </w:r>
          </w:p>
        </w:tc>
        <w:tc>
          <w:tcPr>
            <w:tcW w:w="1170" w:type="dxa"/>
          </w:tcPr>
          <w:p w:rsidR="00195FD9" w:rsidRDefault="00DE266A" w:rsidP="00702B67">
            <w:pPr>
              <w:jc w:val="center"/>
              <w:rPr>
                <w:sz w:val="24"/>
                <w:szCs w:val="24"/>
              </w:rPr>
            </w:pPr>
            <w:r>
              <w:rPr>
                <w:sz w:val="24"/>
                <w:szCs w:val="24"/>
              </w:rPr>
              <w:t>46.0</w:t>
            </w:r>
          </w:p>
        </w:tc>
        <w:tc>
          <w:tcPr>
            <w:tcW w:w="1548" w:type="dxa"/>
          </w:tcPr>
          <w:p w:rsidR="00195FD9" w:rsidRDefault="00195FD9" w:rsidP="00702B67">
            <w:pPr>
              <w:jc w:val="center"/>
              <w:rPr>
                <w:b/>
                <w:sz w:val="24"/>
                <w:szCs w:val="24"/>
              </w:rPr>
            </w:pPr>
            <w:r>
              <w:rPr>
                <w:b/>
                <w:sz w:val="24"/>
                <w:szCs w:val="24"/>
              </w:rPr>
              <w:t>76.0</w:t>
            </w:r>
          </w:p>
        </w:tc>
      </w:tr>
      <w:tr w:rsidR="00195FD9" w:rsidRPr="009A12E0" w:rsidTr="00702B67">
        <w:tc>
          <w:tcPr>
            <w:tcW w:w="5598" w:type="dxa"/>
          </w:tcPr>
          <w:p w:rsidR="00195FD9" w:rsidRDefault="00195FD9" w:rsidP="00702B67">
            <w:pPr>
              <w:rPr>
                <w:sz w:val="24"/>
                <w:szCs w:val="24"/>
              </w:rPr>
            </w:pPr>
            <w:r>
              <w:rPr>
                <w:sz w:val="24"/>
                <w:szCs w:val="24"/>
              </w:rPr>
              <w:t>LTBI treatment initiation</w:t>
            </w:r>
          </w:p>
        </w:tc>
        <w:tc>
          <w:tcPr>
            <w:tcW w:w="1260" w:type="dxa"/>
          </w:tcPr>
          <w:p w:rsidR="00195FD9" w:rsidRDefault="00195FD9" w:rsidP="00702B67">
            <w:pPr>
              <w:jc w:val="center"/>
              <w:rPr>
                <w:sz w:val="24"/>
                <w:szCs w:val="24"/>
              </w:rPr>
            </w:pPr>
            <w:r>
              <w:rPr>
                <w:sz w:val="24"/>
                <w:szCs w:val="24"/>
              </w:rPr>
              <w:t>52.5</w:t>
            </w:r>
          </w:p>
        </w:tc>
        <w:tc>
          <w:tcPr>
            <w:tcW w:w="1260" w:type="dxa"/>
          </w:tcPr>
          <w:p w:rsidR="00195FD9" w:rsidRDefault="00195FD9" w:rsidP="00702B67">
            <w:pPr>
              <w:jc w:val="center"/>
              <w:rPr>
                <w:sz w:val="24"/>
                <w:szCs w:val="24"/>
              </w:rPr>
            </w:pPr>
            <w:r>
              <w:rPr>
                <w:sz w:val="24"/>
                <w:szCs w:val="24"/>
              </w:rPr>
              <w:t>73.3</w:t>
            </w:r>
          </w:p>
        </w:tc>
        <w:tc>
          <w:tcPr>
            <w:tcW w:w="1170" w:type="dxa"/>
          </w:tcPr>
          <w:p w:rsidR="00195FD9" w:rsidRDefault="00195FD9" w:rsidP="00702B67">
            <w:pPr>
              <w:jc w:val="center"/>
              <w:rPr>
                <w:sz w:val="24"/>
                <w:szCs w:val="24"/>
              </w:rPr>
            </w:pPr>
            <w:r>
              <w:rPr>
                <w:sz w:val="24"/>
                <w:szCs w:val="24"/>
              </w:rPr>
              <w:t>60.0</w:t>
            </w:r>
          </w:p>
        </w:tc>
        <w:tc>
          <w:tcPr>
            <w:tcW w:w="1170" w:type="dxa"/>
          </w:tcPr>
          <w:p w:rsidR="00195FD9" w:rsidRDefault="00B76770" w:rsidP="00702B67">
            <w:pPr>
              <w:jc w:val="center"/>
              <w:rPr>
                <w:sz w:val="24"/>
                <w:szCs w:val="24"/>
              </w:rPr>
            </w:pPr>
            <w:r>
              <w:rPr>
                <w:sz w:val="24"/>
                <w:szCs w:val="24"/>
              </w:rPr>
              <w:t>66.7</w:t>
            </w:r>
          </w:p>
        </w:tc>
        <w:tc>
          <w:tcPr>
            <w:tcW w:w="1170" w:type="dxa"/>
          </w:tcPr>
          <w:p w:rsidR="00195FD9" w:rsidRDefault="00DE266A" w:rsidP="00702B67">
            <w:pPr>
              <w:jc w:val="center"/>
              <w:rPr>
                <w:sz w:val="24"/>
                <w:szCs w:val="24"/>
              </w:rPr>
            </w:pPr>
            <w:r>
              <w:rPr>
                <w:sz w:val="24"/>
                <w:szCs w:val="24"/>
              </w:rPr>
              <w:t>68.2</w:t>
            </w:r>
          </w:p>
        </w:tc>
        <w:tc>
          <w:tcPr>
            <w:tcW w:w="1548" w:type="dxa"/>
          </w:tcPr>
          <w:p w:rsidR="00195FD9" w:rsidRDefault="00195FD9" w:rsidP="00702B67">
            <w:pPr>
              <w:jc w:val="center"/>
              <w:rPr>
                <w:b/>
                <w:sz w:val="24"/>
                <w:szCs w:val="24"/>
              </w:rPr>
            </w:pPr>
            <w:r>
              <w:rPr>
                <w:b/>
                <w:sz w:val="24"/>
                <w:szCs w:val="24"/>
              </w:rPr>
              <w:t>93.0</w:t>
            </w:r>
          </w:p>
        </w:tc>
      </w:tr>
      <w:tr w:rsidR="00195FD9" w:rsidRPr="009A12E0" w:rsidTr="00702B67">
        <w:tc>
          <w:tcPr>
            <w:tcW w:w="5598" w:type="dxa"/>
            <w:tcBorders>
              <w:bottom w:val="single" w:sz="4" w:space="0" w:color="auto"/>
            </w:tcBorders>
          </w:tcPr>
          <w:p w:rsidR="00195FD9" w:rsidRDefault="00195FD9" w:rsidP="00702B67">
            <w:pPr>
              <w:rPr>
                <w:sz w:val="24"/>
                <w:szCs w:val="24"/>
              </w:rPr>
            </w:pPr>
            <w:r>
              <w:rPr>
                <w:sz w:val="24"/>
                <w:szCs w:val="24"/>
              </w:rPr>
              <w:t>LTBI treatment completion</w:t>
            </w:r>
          </w:p>
        </w:tc>
        <w:tc>
          <w:tcPr>
            <w:tcW w:w="1260" w:type="dxa"/>
            <w:tcBorders>
              <w:bottom w:val="single" w:sz="4" w:space="0" w:color="auto"/>
            </w:tcBorders>
          </w:tcPr>
          <w:p w:rsidR="00195FD9" w:rsidRDefault="00195FD9" w:rsidP="00702B67">
            <w:pPr>
              <w:jc w:val="center"/>
              <w:rPr>
                <w:sz w:val="24"/>
                <w:szCs w:val="24"/>
              </w:rPr>
            </w:pPr>
            <w:r>
              <w:rPr>
                <w:sz w:val="24"/>
                <w:szCs w:val="24"/>
              </w:rPr>
              <w:t>90.5</w:t>
            </w:r>
          </w:p>
        </w:tc>
        <w:tc>
          <w:tcPr>
            <w:tcW w:w="1260" w:type="dxa"/>
            <w:tcBorders>
              <w:bottom w:val="single" w:sz="4" w:space="0" w:color="auto"/>
            </w:tcBorders>
          </w:tcPr>
          <w:p w:rsidR="00195FD9" w:rsidRDefault="00195FD9" w:rsidP="00702B67">
            <w:pPr>
              <w:jc w:val="center"/>
              <w:rPr>
                <w:sz w:val="24"/>
                <w:szCs w:val="24"/>
              </w:rPr>
            </w:pPr>
            <w:r>
              <w:rPr>
                <w:sz w:val="24"/>
                <w:szCs w:val="24"/>
              </w:rPr>
              <w:t>79.5</w:t>
            </w:r>
          </w:p>
        </w:tc>
        <w:tc>
          <w:tcPr>
            <w:tcW w:w="1170" w:type="dxa"/>
            <w:tcBorders>
              <w:bottom w:val="single" w:sz="4" w:space="0" w:color="auto"/>
            </w:tcBorders>
          </w:tcPr>
          <w:p w:rsidR="00195FD9" w:rsidRDefault="00195FD9" w:rsidP="00702B67">
            <w:pPr>
              <w:jc w:val="center"/>
              <w:rPr>
                <w:sz w:val="24"/>
                <w:szCs w:val="24"/>
              </w:rPr>
            </w:pPr>
            <w:r>
              <w:rPr>
                <w:sz w:val="24"/>
                <w:szCs w:val="24"/>
              </w:rPr>
              <w:t>85.7</w:t>
            </w:r>
          </w:p>
        </w:tc>
        <w:tc>
          <w:tcPr>
            <w:tcW w:w="1170" w:type="dxa"/>
            <w:tcBorders>
              <w:bottom w:val="single" w:sz="4" w:space="0" w:color="auto"/>
            </w:tcBorders>
          </w:tcPr>
          <w:p w:rsidR="00195FD9" w:rsidRDefault="00B76770" w:rsidP="00702B67">
            <w:pPr>
              <w:jc w:val="center"/>
              <w:rPr>
                <w:sz w:val="24"/>
                <w:szCs w:val="24"/>
              </w:rPr>
            </w:pPr>
            <w:r>
              <w:rPr>
                <w:sz w:val="24"/>
                <w:szCs w:val="24"/>
              </w:rPr>
              <w:t>60.0</w:t>
            </w:r>
          </w:p>
        </w:tc>
        <w:tc>
          <w:tcPr>
            <w:tcW w:w="1170" w:type="dxa"/>
            <w:tcBorders>
              <w:bottom w:val="single" w:sz="4" w:space="0" w:color="auto"/>
            </w:tcBorders>
          </w:tcPr>
          <w:p w:rsidR="00195FD9" w:rsidRDefault="00195FD9" w:rsidP="00702B67">
            <w:pPr>
              <w:jc w:val="center"/>
              <w:rPr>
                <w:sz w:val="24"/>
                <w:szCs w:val="24"/>
              </w:rPr>
            </w:pPr>
            <w:r>
              <w:rPr>
                <w:sz w:val="24"/>
                <w:szCs w:val="24"/>
              </w:rPr>
              <w:t>0.0</w:t>
            </w:r>
          </w:p>
        </w:tc>
        <w:tc>
          <w:tcPr>
            <w:tcW w:w="1548" w:type="dxa"/>
            <w:tcBorders>
              <w:bottom w:val="single" w:sz="4" w:space="0" w:color="auto"/>
            </w:tcBorders>
          </w:tcPr>
          <w:p w:rsidR="00195FD9" w:rsidRDefault="00195FD9" w:rsidP="00702B67">
            <w:pPr>
              <w:jc w:val="center"/>
              <w:rPr>
                <w:b/>
                <w:sz w:val="24"/>
                <w:szCs w:val="24"/>
              </w:rPr>
            </w:pPr>
            <w:r>
              <w:rPr>
                <w:b/>
                <w:sz w:val="24"/>
                <w:szCs w:val="24"/>
              </w:rPr>
              <w:t>98.0</w:t>
            </w:r>
          </w:p>
        </w:tc>
      </w:tr>
      <w:tr w:rsidR="00195FD9" w:rsidRPr="009A12E0" w:rsidTr="00702B67">
        <w:tc>
          <w:tcPr>
            <w:tcW w:w="13176" w:type="dxa"/>
            <w:gridSpan w:val="7"/>
            <w:shd w:val="clear" w:color="auto" w:fill="D9D9D9" w:themeFill="background1" w:themeFillShade="D9"/>
          </w:tcPr>
          <w:p w:rsidR="00195FD9" w:rsidRDefault="00195FD9" w:rsidP="00CE4BED">
            <w:pPr>
              <w:jc w:val="center"/>
              <w:rPr>
                <w:b/>
                <w:sz w:val="24"/>
                <w:szCs w:val="24"/>
              </w:rPr>
            </w:pPr>
            <w:r>
              <w:rPr>
                <w:b/>
                <w:sz w:val="24"/>
                <w:szCs w:val="24"/>
              </w:rPr>
              <w:t>Indicators for Data Reporting (%)</w:t>
            </w:r>
          </w:p>
        </w:tc>
      </w:tr>
      <w:tr w:rsidR="00195FD9" w:rsidRPr="009A12E0" w:rsidTr="00702B67">
        <w:tc>
          <w:tcPr>
            <w:tcW w:w="5598" w:type="dxa"/>
          </w:tcPr>
          <w:p w:rsidR="00195FD9" w:rsidRDefault="00195FD9" w:rsidP="00702B67">
            <w:pPr>
              <w:rPr>
                <w:sz w:val="24"/>
                <w:szCs w:val="24"/>
              </w:rPr>
            </w:pPr>
            <w:r>
              <w:rPr>
                <w:sz w:val="24"/>
                <w:szCs w:val="24"/>
              </w:rPr>
              <w:t>RVCT</w:t>
            </w:r>
          </w:p>
        </w:tc>
        <w:tc>
          <w:tcPr>
            <w:tcW w:w="1260" w:type="dxa"/>
          </w:tcPr>
          <w:p w:rsidR="00195FD9" w:rsidRDefault="00195FD9" w:rsidP="00702B67">
            <w:pPr>
              <w:jc w:val="center"/>
              <w:rPr>
                <w:sz w:val="24"/>
                <w:szCs w:val="24"/>
              </w:rPr>
            </w:pPr>
            <w:r>
              <w:rPr>
                <w:sz w:val="24"/>
                <w:szCs w:val="24"/>
              </w:rPr>
              <w:t>100.0</w:t>
            </w:r>
          </w:p>
        </w:tc>
        <w:tc>
          <w:tcPr>
            <w:tcW w:w="1260" w:type="dxa"/>
          </w:tcPr>
          <w:p w:rsidR="00195FD9" w:rsidRDefault="00195FD9" w:rsidP="00702B67">
            <w:pPr>
              <w:jc w:val="center"/>
              <w:rPr>
                <w:sz w:val="24"/>
                <w:szCs w:val="24"/>
              </w:rPr>
            </w:pPr>
            <w:r>
              <w:rPr>
                <w:sz w:val="24"/>
                <w:szCs w:val="24"/>
              </w:rPr>
              <w:t>100.0</w:t>
            </w:r>
          </w:p>
        </w:tc>
        <w:tc>
          <w:tcPr>
            <w:tcW w:w="1170" w:type="dxa"/>
          </w:tcPr>
          <w:p w:rsidR="00195FD9" w:rsidRDefault="00195FD9" w:rsidP="00702B67">
            <w:pPr>
              <w:jc w:val="center"/>
              <w:rPr>
                <w:sz w:val="24"/>
                <w:szCs w:val="24"/>
              </w:rPr>
            </w:pPr>
            <w:r>
              <w:rPr>
                <w:sz w:val="24"/>
                <w:szCs w:val="24"/>
              </w:rPr>
              <w:t>100.0</w:t>
            </w:r>
          </w:p>
        </w:tc>
        <w:tc>
          <w:tcPr>
            <w:tcW w:w="1170" w:type="dxa"/>
          </w:tcPr>
          <w:p w:rsidR="0090498D" w:rsidRDefault="0090498D" w:rsidP="0090498D">
            <w:pPr>
              <w:jc w:val="center"/>
              <w:rPr>
                <w:sz w:val="24"/>
                <w:szCs w:val="24"/>
              </w:rPr>
            </w:pPr>
            <w:r>
              <w:rPr>
                <w:sz w:val="24"/>
                <w:szCs w:val="24"/>
              </w:rPr>
              <w:t>99.8</w:t>
            </w:r>
          </w:p>
        </w:tc>
        <w:tc>
          <w:tcPr>
            <w:tcW w:w="1170" w:type="dxa"/>
          </w:tcPr>
          <w:p w:rsidR="00195FD9" w:rsidRDefault="008D1B20" w:rsidP="00702B67">
            <w:pPr>
              <w:jc w:val="center"/>
              <w:rPr>
                <w:sz w:val="24"/>
                <w:szCs w:val="24"/>
              </w:rPr>
            </w:pPr>
            <w:r>
              <w:rPr>
                <w:sz w:val="24"/>
                <w:szCs w:val="24"/>
              </w:rPr>
              <w:t>88.5</w:t>
            </w:r>
          </w:p>
        </w:tc>
        <w:tc>
          <w:tcPr>
            <w:tcW w:w="1548" w:type="dxa"/>
          </w:tcPr>
          <w:p w:rsidR="00195FD9" w:rsidRDefault="00195FD9" w:rsidP="00702B67">
            <w:pPr>
              <w:jc w:val="center"/>
              <w:rPr>
                <w:b/>
                <w:sz w:val="24"/>
                <w:szCs w:val="24"/>
              </w:rPr>
            </w:pPr>
            <w:r>
              <w:rPr>
                <w:b/>
                <w:sz w:val="24"/>
                <w:szCs w:val="24"/>
              </w:rPr>
              <w:t>100.0</w:t>
            </w:r>
          </w:p>
        </w:tc>
      </w:tr>
      <w:tr w:rsidR="00195FD9" w:rsidRPr="009A12E0" w:rsidTr="00702B67">
        <w:tc>
          <w:tcPr>
            <w:tcW w:w="5598" w:type="dxa"/>
          </w:tcPr>
          <w:p w:rsidR="00195FD9" w:rsidRDefault="00195FD9" w:rsidP="00702B67">
            <w:pPr>
              <w:rPr>
                <w:sz w:val="24"/>
                <w:szCs w:val="24"/>
              </w:rPr>
            </w:pPr>
            <w:r>
              <w:rPr>
                <w:sz w:val="24"/>
                <w:szCs w:val="24"/>
              </w:rPr>
              <w:t>ARPEs</w:t>
            </w:r>
          </w:p>
        </w:tc>
        <w:tc>
          <w:tcPr>
            <w:tcW w:w="1260" w:type="dxa"/>
          </w:tcPr>
          <w:p w:rsidR="00195FD9" w:rsidRDefault="00195FD9" w:rsidP="00702B67">
            <w:pPr>
              <w:jc w:val="center"/>
              <w:rPr>
                <w:sz w:val="24"/>
                <w:szCs w:val="24"/>
              </w:rPr>
            </w:pPr>
            <w:r>
              <w:rPr>
                <w:sz w:val="24"/>
                <w:szCs w:val="24"/>
              </w:rPr>
              <w:t>100.0</w:t>
            </w:r>
          </w:p>
        </w:tc>
        <w:tc>
          <w:tcPr>
            <w:tcW w:w="1260" w:type="dxa"/>
          </w:tcPr>
          <w:p w:rsidR="00195FD9" w:rsidRDefault="00195FD9" w:rsidP="00702B67">
            <w:pPr>
              <w:jc w:val="center"/>
              <w:rPr>
                <w:sz w:val="24"/>
                <w:szCs w:val="24"/>
              </w:rPr>
            </w:pPr>
            <w:r>
              <w:rPr>
                <w:sz w:val="24"/>
                <w:szCs w:val="24"/>
              </w:rPr>
              <w:t>100.0</w:t>
            </w:r>
          </w:p>
        </w:tc>
        <w:tc>
          <w:tcPr>
            <w:tcW w:w="1170" w:type="dxa"/>
          </w:tcPr>
          <w:p w:rsidR="00195FD9" w:rsidRDefault="000347C9" w:rsidP="00702B67">
            <w:pPr>
              <w:jc w:val="center"/>
              <w:rPr>
                <w:sz w:val="24"/>
                <w:szCs w:val="24"/>
              </w:rPr>
            </w:pPr>
            <w:r>
              <w:rPr>
                <w:sz w:val="24"/>
                <w:szCs w:val="24"/>
              </w:rPr>
              <w:t>100.0</w:t>
            </w:r>
          </w:p>
        </w:tc>
        <w:tc>
          <w:tcPr>
            <w:tcW w:w="1170" w:type="dxa"/>
          </w:tcPr>
          <w:p w:rsidR="00195FD9" w:rsidRDefault="00195FD9" w:rsidP="00702B67">
            <w:pPr>
              <w:jc w:val="center"/>
              <w:rPr>
                <w:sz w:val="24"/>
                <w:szCs w:val="24"/>
              </w:rPr>
            </w:pPr>
            <w:r>
              <w:rPr>
                <w:sz w:val="24"/>
                <w:szCs w:val="24"/>
              </w:rPr>
              <w:t>88.9</w:t>
            </w:r>
          </w:p>
        </w:tc>
        <w:tc>
          <w:tcPr>
            <w:tcW w:w="1170" w:type="dxa"/>
          </w:tcPr>
          <w:p w:rsidR="00195FD9" w:rsidRDefault="00195FD9" w:rsidP="00702B67">
            <w:pPr>
              <w:jc w:val="center"/>
              <w:rPr>
                <w:sz w:val="24"/>
                <w:szCs w:val="24"/>
              </w:rPr>
            </w:pPr>
            <w:r>
              <w:rPr>
                <w:sz w:val="24"/>
                <w:szCs w:val="24"/>
              </w:rPr>
              <w:t>NA</w:t>
            </w:r>
          </w:p>
        </w:tc>
        <w:tc>
          <w:tcPr>
            <w:tcW w:w="1548" w:type="dxa"/>
          </w:tcPr>
          <w:p w:rsidR="00195FD9" w:rsidRDefault="00195FD9" w:rsidP="00702B67">
            <w:pPr>
              <w:jc w:val="center"/>
              <w:rPr>
                <w:b/>
                <w:sz w:val="24"/>
                <w:szCs w:val="24"/>
              </w:rPr>
            </w:pPr>
            <w:r>
              <w:rPr>
                <w:b/>
                <w:sz w:val="24"/>
                <w:szCs w:val="24"/>
              </w:rPr>
              <w:t>100.0</w:t>
            </w:r>
          </w:p>
        </w:tc>
      </w:tr>
      <w:tr w:rsidR="00195FD9" w:rsidRPr="009A12E0" w:rsidTr="00702B67">
        <w:tc>
          <w:tcPr>
            <w:tcW w:w="5598" w:type="dxa"/>
            <w:tcBorders>
              <w:bottom w:val="single" w:sz="4" w:space="0" w:color="auto"/>
            </w:tcBorders>
          </w:tcPr>
          <w:p w:rsidR="00195FD9" w:rsidRDefault="00195FD9" w:rsidP="00702B67">
            <w:pPr>
              <w:rPr>
                <w:sz w:val="24"/>
                <w:szCs w:val="24"/>
              </w:rPr>
            </w:pPr>
            <w:r>
              <w:rPr>
                <w:sz w:val="24"/>
                <w:szCs w:val="24"/>
              </w:rPr>
              <w:t>EDN</w:t>
            </w:r>
          </w:p>
        </w:tc>
        <w:tc>
          <w:tcPr>
            <w:tcW w:w="1260" w:type="dxa"/>
            <w:tcBorders>
              <w:bottom w:val="single" w:sz="4" w:space="0" w:color="auto"/>
            </w:tcBorders>
          </w:tcPr>
          <w:p w:rsidR="00195FD9" w:rsidRDefault="00195FD9" w:rsidP="00702B67">
            <w:pPr>
              <w:jc w:val="center"/>
              <w:rPr>
                <w:sz w:val="24"/>
                <w:szCs w:val="24"/>
              </w:rPr>
            </w:pPr>
            <w:r>
              <w:rPr>
                <w:sz w:val="24"/>
                <w:szCs w:val="24"/>
              </w:rPr>
              <w:t>94.3</w:t>
            </w:r>
          </w:p>
        </w:tc>
        <w:tc>
          <w:tcPr>
            <w:tcW w:w="1260" w:type="dxa"/>
            <w:tcBorders>
              <w:bottom w:val="single" w:sz="4" w:space="0" w:color="auto"/>
            </w:tcBorders>
          </w:tcPr>
          <w:p w:rsidR="00195FD9" w:rsidRDefault="00195FD9" w:rsidP="00702B67">
            <w:pPr>
              <w:jc w:val="center"/>
              <w:rPr>
                <w:sz w:val="24"/>
                <w:szCs w:val="24"/>
              </w:rPr>
            </w:pPr>
            <w:r>
              <w:rPr>
                <w:sz w:val="24"/>
                <w:szCs w:val="24"/>
              </w:rPr>
              <w:t>93.7</w:t>
            </w:r>
          </w:p>
        </w:tc>
        <w:tc>
          <w:tcPr>
            <w:tcW w:w="1170" w:type="dxa"/>
            <w:tcBorders>
              <w:bottom w:val="single" w:sz="4" w:space="0" w:color="auto"/>
            </w:tcBorders>
          </w:tcPr>
          <w:p w:rsidR="00195FD9" w:rsidRDefault="00195FD9" w:rsidP="00702B67">
            <w:pPr>
              <w:jc w:val="center"/>
              <w:rPr>
                <w:sz w:val="24"/>
                <w:szCs w:val="24"/>
              </w:rPr>
            </w:pPr>
            <w:r>
              <w:rPr>
                <w:sz w:val="24"/>
                <w:szCs w:val="24"/>
              </w:rPr>
              <w:t>91.3</w:t>
            </w:r>
          </w:p>
        </w:tc>
        <w:tc>
          <w:tcPr>
            <w:tcW w:w="1170" w:type="dxa"/>
            <w:tcBorders>
              <w:bottom w:val="single" w:sz="4" w:space="0" w:color="auto"/>
            </w:tcBorders>
          </w:tcPr>
          <w:p w:rsidR="00195FD9" w:rsidRDefault="00C275BC" w:rsidP="00702B67">
            <w:pPr>
              <w:jc w:val="center"/>
              <w:rPr>
                <w:sz w:val="24"/>
                <w:szCs w:val="24"/>
              </w:rPr>
            </w:pPr>
            <w:r>
              <w:rPr>
                <w:sz w:val="24"/>
                <w:szCs w:val="24"/>
              </w:rPr>
              <w:t>87.1</w:t>
            </w:r>
          </w:p>
        </w:tc>
        <w:tc>
          <w:tcPr>
            <w:tcW w:w="1170" w:type="dxa"/>
            <w:tcBorders>
              <w:bottom w:val="single" w:sz="4" w:space="0" w:color="auto"/>
            </w:tcBorders>
          </w:tcPr>
          <w:p w:rsidR="00195FD9" w:rsidRDefault="00DE266A" w:rsidP="00702B67">
            <w:pPr>
              <w:jc w:val="center"/>
              <w:rPr>
                <w:sz w:val="24"/>
                <w:szCs w:val="24"/>
              </w:rPr>
            </w:pPr>
            <w:r>
              <w:rPr>
                <w:sz w:val="24"/>
                <w:szCs w:val="24"/>
              </w:rPr>
              <w:t>64.5</w:t>
            </w:r>
          </w:p>
        </w:tc>
        <w:tc>
          <w:tcPr>
            <w:tcW w:w="1548" w:type="dxa"/>
            <w:tcBorders>
              <w:bottom w:val="single" w:sz="4" w:space="0" w:color="auto"/>
            </w:tcBorders>
          </w:tcPr>
          <w:p w:rsidR="00195FD9" w:rsidRDefault="00195FD9" w:rsidP="00702B67">
            <w:pPr>
              <w:jc w:val="center"/>
              <w:rPr>
                <w:b/>
                <w:sz w:val="24"/>
                <w:szCs w:val="24"/>
              </w:rPr>
            </w:pPr>
            <w:r>
              <w:rPr>
                <w:b/>
                <w:sz w:val="24"/>
                <w:szCs w:val="24"/>
              </w:rPr>
              <w:t>93.0</w:t>
            </w:r>
          </w:p>
        </w:tc>
      </w:tr>
      <w:tr w:rsidR="00195FD9" w:rsidRPr="009A12E0" w:rsidTr="00702B67">
        <w:tc>
          <w:tcPr>
            <w:tcW w:w="9576" w:type="dxa"/>
            <w:gridSpan w:val="7"/>
            <w:shd w:val="clear" w:color="auto" w:fill="D9D9D9" w:themeFill="background1" w:themeFillShade="D9"/>
          </w:tcPr>
          <w:p w:rsidR="00195FD9" w:rsidRDefault="00195FD9" w:rsidP="00CE4BED">
            <w:pPr>
              <w:jc w:val="center"/>
              <w:rPr>
                <w:b/>
                <w:sz w:val="24"/>
                <w:szCs w:val="24"/>
              </w:rPr>
            </w:pPr>
            <w:r>
              <w:rPr>
                <w:b/>
                <w:sz w:val="24"/>
                <w:szCs w:val="24"/>
              </w:rPr>
              <w:t>Indicators for Contact Investigation (%)</w:t>
            </w:r>
          </w:p>
        </w:tc>
      </w:tr>
      <w:tr w:rsidR="00195FD9" w:rsidRPr="009A12E0" w:rsidTr="00702B67">
        <w:tc>
          <w:tcPr>
            <w:tcW w:w="3551" w:type="dxa"/>
          </w:tcPr>
          <w:p w:rsidR="00195FD9" w:rsidRDefault="00195FD9" w:rsidP="00702B67">
            <w:pPr>
              <w:rPr>
                <w:sz w:val="24"/>
                <w:szCs w:val="24"/>
              </w:rPr>
            </w:pPr>
            <w:r>
              <w:rPr>
                <w:sz w:val="24"/>
                <w:szCs w:val="24"/>
              </w:rPr>
              <w:t>Contact elicitation</w:t>
            </w:r>
          </w:p>
        </w:tc>
        <w:tc>
          <w:tcPr>
            <w:tcW w:w="1000" w:type="dxa"/>
          </w:tcPr>
          <w:p w:rsidR="00195FD9" w:rsidRDefault="00195FD9" w:rsidP="00702B67">
            <w:pPr>
              <w:jc w:val="center"/>
              <w:rPr>
                <w:sz w:val="24"/>
                <w:szCs w:val="24"/>
              </w:rPr>
            </w:pPr>
            <w:r>
              <w:rPr>
                <w:sz w:val="24"/>
                <w:szCs w:val="24"/>
              </w:rPr>
              <w:t>97.3</w:t>
            </w:r>
          </w:p>
        </w:tc>
        <w:tc>
          <w:tcPr>
            <w:tcW w:w="1000" w:type="dxa"/>
          </w:tcPr>
          <w:p w:rsidR="00195FD9" w:rsidRDefault="00195FD9" w:rsidP="00702B67">
            <w:pPr>
              <w:jc w:val="center"/>
              <w:rPr>
                <w:sz w:val="24"/>
                <w:szCs w:val="24"/>
              </w:rPr>
            </w:pPr>
            <w:r>
              <w:rPr>
                <w:sz w:val="24"/>
                <w:szCs w:val="24"/>
              </w:rPr>
              <w:t>100.0</w:t>
            </w:r>
          </w:p>
        </w:tc>
        <w:tc>
          <w:tcPr>
            <w:tcW w:w="957" w:type="dxa"/>
          </w:tcPr>
          <w:p w:rsidR="00195FD9" w:rsidRDefault="00195FD9" w:rsidP="00702B67">
            <w:pPr>
              <w:jc w:val="center"/>
              <w:rPr>
                <w:sz w:val="24"/>
                <w:szCs w:val="24"/>
              </w:rPr>
            </w:pPr>
            <w:r>
              <w:rPr>
                <w:sz w:val="24"/>
                <w:szCs w:val="24"/>
              </w:rPr>
              <w:t>100.0</w:t>
            </w:r>
          </w:p>
        </w:tc>
        <w:tc>
          <w:tcPr>
            <w:tcW w:w="925" w:type="dxa"/>
          </w:tcPr>
          <w:p w:rsidR="00195FD9" w:rsidRDefault="00195FD9" w:rsidP="00702B67">
            <w:pPr>
              <w:jc w:val="center"/>
              <w:rPr>
                <w:sz w:val="24"/>
                <w:szCs w:val="24"/>
              </w:rPr>
            </w:pPr>
            <w:r>
              <w:rPr>
                <w:sz w:val="24"/>
                <w:szCs w:val="24"/>
              </w:rPr>
              <w:t>100.0</w:t>
            </w:r>
          </w:p>
        </w:tc>
        <w:tc>
          <w:tcPr>
            <w:tcW w:w="957" w:type="dxa"/>
          </w:tcPr>
          <w:p w:rsidR="00195FD9" w:rsidRDefault="00195FD9" w:rsidP="00702B67">
            <w:pPr>
              <w:jc w:val="center"/>
              <w:rPr>
                <w:sz w:val="24"/>
                <w:szCs w:val="24"/>
              </w:rPr>
            </w:pPr>
            <w:r>
              <w:rPr>
                <w:sz w:val="24"/>
                <w:szCs w:val="24"/>
              </w:rPr>
              <w:t>NA</w:t>
            </w:r>
          </w:p>
        </w:tc>
        <w:tc>
          <w:tcPr>
            <w:tcW w:w="1186" w:type="dxa"/>
          </w:tcPr>
          <w:p w:rsidR="00195FD9" w:rsidRDefault="00195FD9" w:rsidP="00702B67">
            <w:pPr>
              <w:jc w:val="center"/>
              <w:rPr>
                <w:b/>
                <w:sz w:val="24"/>
                <w:szCs w:val="24"/>
              </w:rPr>
            </w:pPr>
            <w:r>
              <w:rPr>
                <w:b/>
                <w:sz w:val="24"/>
                <w:szCs w:val="24"/>
              </w:rPr>
              <w:t>100.0</w:t>
            </w:r>
          </w:p>
        </w:tc>
      </w:tr>
      <w:tr w:rsidR="00195FD9" w:rsidRPr="009A12E0" w:rsidTr="00702B67">
        <w:tc>
          <w:tcPr>
            <w:tcW w:w="3551" w:type="dxa"/>
          </w:tcPr>
          <w:p w:rsidR="00195FD9" w:rsidRDefault="00195FD9" w:rsidP="00702B67">
            <w:pPr>
              <w:rPr>
                <w:sz w:val="24"/>
                <w:szCs w:val="24"/>
              </w:rPr>
            </w:pPr>
            <w:r>
              <w:rPr>
                <w:sz w:val="24"/>
                <w:szCs w:val="24"/>
              </w:rPr>
              <w:t>Contact examination</w:t>
            </w:r>
          </w:p>
        </w:tc>
        <w:tc>
          <w:tcPr>
            <w:tcW w:w="1000" w:type="dxa"/>
          </w:tcPr>
          <w:p w:rsidR="00195FD9" w:rsidRDefault="00195FD9" w:rsidP="00702B67">
            <w:pPr>
              <w:jc w:val="center"/>
              <w:rPr>
                <w:sz w:val="24"/>
                <w:szCs w:val="24"/>
              </w:rPr>
            </w:pPr>
            <w:r>
              <w:rPr>
                <w:sz w:val="24"/>
                <w:szCs w:val="24"/>
              </w:rPr>
              <w:t>87.5</w:t>
            </w:r>
          </w:p>
        </w:tc>
        <w:tc>
          <w:tcPr>
            <w:tcW w:w="1000" w:type="dxa"/>
          </w:tcPr>
          <w:p w:rsidR="00195FD9" w:rsidRDefault="00195FD9" w:rsidP="00702B67">
            <w:pPr>
              <w:jc w:val="center"/>
              <w:rPr>
                <w:sz w:val="24"/>
                <w:szCs w:val="24"/>
              </w:rPr>
            </w:pPr>
            <w:r>
              <w:rPr>
                <w:sz w:val="24"/>
                <w:szCs w:val="24"/>
              </w:rPr>
              <w:t>80.5</w:t>
            </w:r>
          </w:p>
        </w:tc>
        <w:tc>
          <w:tcPr>
            <w:tcW w:w="957" w:type="dxa"/>
          </w:tcPr>
          <w:p w:rsidR="00195FD9" w:rsidRDefault="000347C9" w:rsidP="00702B67">
            <w:pPr>
              <w:jc w:val="center"/>
              <w:rPr>
                <w:sz w:val="24"/>
                <w:szCs w:val="24"/>
              </w:rPr>
            </w:pPr>
            <w:r>
              <w:rPr>
                <w:sz w:val="24"/>
                <w:szCs w:val="24"/>
              </w:rPr>
              <w:t>82.3</w:t>
            </w:r>
          </w:p>
        </w:tc>
        <w:tc>
          <w:tcPr>
            <w:tcW w:w="925" w:type="dxa"/>
          </w:tcPr>
          <w:p w:rsidR="00195FD9" w:rsidRDefault="00195FD9" w:rsidP="00702B67">
            <w:pPr>
              <w:jc w:val="center"/>
              <w:rPr>
                <w:sz w:val="24"/>
                <w:szCs w:val="24"/>
              </w:rPr>
            </w:pPr>
            <w:r>
              <w:rPr>
                <w:sz w:val="24"/>
                <w:szCs w:val="24"/>
              </w:rPr>
              <w:t>89.8</w:t>
            </w:r>
          </w:p>
        </w:tc>
        <w:tc>
          <w:tcPr>
            <w:tcW w:w="957" w:type="dxa"/>
          </w:tcPr>
          <w:p w:rsidR="00195FD9" w:rsidRDefault="00195FD9" w:rsidP="00702B67">
            <w:pPr>
              <w:jc w:val="center"/>
              <w:rPr>
                <w:sz w:val="24"/>
                <w:szCs w:val="24"/>
              </w:rPr>
            </w:pPr>
            <w:r>
              <w:rPr>
                <w:sz w:val="24"/>
                <w:szCs w:val="24"/>
              </w:rPr>
              <w:t>NA</w:t>
            </w:r>
          </w:p>
        </w:tc>
        <w:tc>
          <w:tcPr>
            <w:tcW w:w="1186" w:type="dxa"/>
          </w:tcPr>
          <w:p w:rsidR="00195FD9" w:rsidRDefault="00195FD9" w:rsidP="00702B67">
            <w:pPr>
              <w:jc w:val="center"/>
              <w:rPr>
                <w:b/>
                <w:sz w:val="24"/>
                <w:szCs w:val="24"/>
              </w:rPr>
            </w:pPr>
            <w:r>
              <w:rPr>
                <w:b/>
                <w:sz w:val="24"/>
                <w:szCs w:val="24"/>
              </w:rPr>
              <w:t>93.0</w:t>
            </w:r>
          </w:p>
        </w:tc>
      </w:tr>
      <w:tr w:rsidR="00195FD9" w:rsidRPr="009A12E0" w:rsidTr="00702B67">
        <w:tc>
          <w:tcPr>
            <w:tcW w:w="3551" w:type="dxa"/>
          </w:tcPr>
          <w:p w:rsidR="00195FD9" w:rsidRDefault="00195FD9" w:rsidP="00702B67">
            <w:pPr>
              <w:rPr>
                <w:sz w:val="24"/>
                <w:szCs w:val="24"/>
              </w:rPr>
            </w:pPr>
            <w:r>
              <w:rPr>
                <w:sz w:val="24"/>
                <w:szCs w:val="24"/>
              </w:rPr>
              <w:t>LTBI treatment initiation</w:t>
            </w:r>
          </w:p>
        </w:tc>
        <w:tc>
          <w:tcPr>
            <w:tcW w:w="1000" w:type="dxa"/>
          </w:tcPr>
          <w:p w:rsidR="00195FD9" w:rsidRDefault="00195FD9" w:rsidP="00702B67">
            <w:pPr>
              <w:jc w:val="center"/>
              <w:rPr>
                <w:sz w:val="24"/>
                <w:szCs w:val="24"/>
              </w:rPr>
            </w:pPr>
            <w:r>
              <w:rPr>
                <w:sz w:val="24"/>
                <w:szCs w:val="24"/>
              </w:rPr>
              <w:t>87.2</w:t>
            </w:r>
          </w:p>
        </w:tc>
        <w:tc>
          <w:tcPr>
            <w:tcW w:w="1000" w:type="dxa"/>
          </w:tcPr>
          <w:p w:rsidR="00195FD9" w:rsidRDefault="00195FD9" w:rsidP="00702B67">
            <w:pPr>
              <w:jc w:val="center"/>
              <w:rPr>
                <w:sz w:val="24"/>
                <w:szCs w:val="24"/>
              </w:rPr>
            </w:pPr>
            <w:r>
              <w:rPr>
                <w:sz w:val="24"/>
                <w:szCs w:val="24"/>
              </w:rPr>
              <w:t>75.5</w:t>
            </w:r>
          </w:p>
        </w:tc>
        <w:tc>
          <w:tcPr>
            <w:tcW w:w="957" w:type="dxa"/>
          </w:tcPr>
          <w:p w:rsidR="00195FD9" w:rsidRDefault="000347C9" w:rsidP="00702B67">
            <w:pPr>
              <w:jc w:val="center"/>
              <w:rPr>
                <w:sz w:val="24"/>
                <w:szCs w:val="24"/>
              </w:rPr>
            </w:pPr>
            <w:r>
              <w:rPr>
                <w:sz w:val="24"/>
                <w:szCs w:val="24"/>
              </w:rPr>
              <w:t>84.5</w:t>
            </w:r>
          </w:p>
        </w:tc>
        <w:tc>
          <w:tcPr>
            <w:tcW w:w="925" w:type="dxa"/>
          </w:tcPr>
          <w:p w:rsidR="00195FD9" w:rsidRDefault="00195FD9" w:rsidP="00702B67">
            <w:pPr>
              <w:jc w:val="center"/>
              <w:rPr>
                <w:sz w:val="24"/>
                <w:szCs w:val="24"/>
              </w:rPr>
            </w:pPr>
            <w:r>
              <w:rPr>
                <w:sz w:val="24"/>
                <w:szCs w:val="24"/>
              </w:rPr>
              <w:t>79.5</w:t>
            </w:r>
          </w:p>
        </w:tc>
        <w:tc>
          <w:tcPr>
            <w:tcW w:w="957" w:type="dxa"/>
          </w:tcPr>
          <w:p w:rsidR="00195FD9" w:rsidRDefault="00195FD9" w:rsidP="00702B67">
            <w:pPr>
              <w:jc w:val="center"/>
              <w:rPr>
                <w:sz w:val="24"/>
                <w:szCs w:val="24"/>
              </w:rPr>
            </w:pPr>
            <w:r>
              <w:rPr>
                <w:sz w:val="24"/>
                <w:szCs w:val="24"/>
              </w:rPr>
              <w:t>NA</w:t>
            </w:r>
          </w:p>
        </w:tc>
        <w:tc>
          <w:tcPr>
            <w:tcW w:w="1186" w:type="dxa"/>
          </w:tcPr>
          <w:p w:rsidR="00195FD9" w:rsidRDefault="00195FD9" w:rsidP="00702B67">
            <w:pPr>
              <w:jc w:val="center"/>
              <w:rPr>
                <w:b/>
                <w:sz w:val="24"/>
                <w:szCs w:val="24"/>
              </w:rPr>
            </w:pPr>
            <w:r>
              <w:rPr>
                <w:b/>
                <w:sz w:val="24"/>
                <w:szCs w:val="24"/>
              </w:rPr>
              <w:t>91.0</w:t>
            </w:r>
          </w:p>
        </w:tc>
      </w:tr>
      <w:tr w:rsidR="00195FD9" w:rsidRPr="009A12E0" w:rsidTr="00702B67">
        <w:tc>
          <w:tcPr>
            <w:tcW w:w="3551" w:type="dxa"/>
          </w:tcPr>
          <w:p w:rsidR="00195FD9" w:rsidRDefault="00195FD9" w:rsidP="00702B67">
            <w:pPr>
              <w:rPr>
                <w:sz w:val="24"/>
                <w:szCs w:val="24"/>
              </w:rPr>
            </w:pPr>
            <w:r>
              <w:rPr>
                <w:sz w:val="24"/>
                <w:szCs w:val="24"/>
              </w:rPr>
              <w:t>LTBI treatment completion</w:t>
            </w:r>
          </w:p>
        </w:tc>
        <w:tc>
          <w:tcPr>
            <w:tcW w:w="1000" w:type="dxa"/>
          </w:tcPr>
          <w:p w:rsidR="00195FD9" w:rsidRDefault="00195FD9" w:rsidP="00702B67">
            <w:pPr>
              <w:jc w:val="center"/>
              <w:rPr>
                <w:sz w:val="24"/>
                <w:szCs w:val="24"/>
              </w:rPr>
            </w:pPr>
            <w:r>
              <w:rPr>
                <w:sz w:val="24"/>
                <w:szCs w:val="24"/>
              </w:rPr>
              <w:t>68.3</w:t>
            </w:r>
          </w:p>
        </w:tc>
        <w:tc>
          <w:tcPr>
            <w:tcW w:w="1000" w:type="dxa"/>
          </w:tcPr>
          <w:p w:rsidR="00195FD9" w:rsidRDefault="00195FD9" w:rsidP="00702B67">
            <w:pPr>
              <w:jc w:val="center"/>
              <w:rPr>
                <w:sz w:val="24"/>
                <w:szCs w:val="24"/>
              </w:rPr>
            </w:pPr>
            <w:r>
              <w:rPr>
                <w:sz w:val="24"/>
                <w:szCs w:val="24"/>
              </w:rPr>
              <w:t>90.0</w:t>
            </w:r>
          </w:p>
        </w:tc>
        <w:tc>
          <w:tcPr>
            <w:tcW w:w="957" w:type="dxa"/>
          </w:tcPr>
          <w:p w:rsidR="00195FD9" w:rsidRDefault="000347C9" w:rsidP="00702B67">
            <w:pPr>
              <w:jc w:val="center"/>
              <w:rPr>
                <w:sz w:val="24"/>
                <w:szCs w:val="24"/>
              </w:rPr>
            </w:pPr>
            <w:r>
              <w:rPr>
                <w:sz w:val="24"/>
                <w:szCs w:val="24"/>
              </w:rPr>
              <w:t>91.4</w:t>
            </w:r>
          </w:p>
        </w:tc>
        <w:tc>
          <w:tcPr>
            <w:tcW w:w="925" w:type="dxa"/>
          </w:tcPr>
          <w:p w:rsidR="00195FD9" w:rsidRDefault="00195FD9" w:rsidP="00702B67">
            <w:pPr>
              <w:jc w:val="center"/>
              <w:rPr>
                <w:sz w:val="24"/>
                <w:szCs w:val="24"/>
              </w:rPr>
            </w:pPr>
            <w:r>
              <w:rPr>
                <w:sz w:val="24"/>
                <w:szCs w:val="24"/>
              </w:rPr>
              <w:t>71.4</w:t>
            </w:r>
          </w:p>
        </w:tc>
        <w:tc>
          <w:tcPr>
            <w:tcW w:w="957" w:type="dxa"/>
          </w:tcPr>
          <w:p w:rsidR="00195FD9" w:rsidRDefault="00195FD9" w:rsidP="00702B67">
            <w:pPr>
              <w:jc w:val="center"/>
              <w:rPr>
                <w:sz w:val="24"/>
                <w:szCs w:val="24"/>
              </w:rPr>
            </w:pPr>
            <w:r>
              <w:rPr>
                <w:sz w:val="24"/>
                <w:szCs w:val="24"/>
              </w:rPr>
              <w:t>NA</w:t>
            </w:r>
          </w:p>
        </w:tc>
        <w:tc>
          <w:tcPr>
            <w:tcW w:w="1186" w:type="dxa"/>
          </w:tcPr>
          <w:p w:rsidR="00195FD9" w:rsidRDefault="00195FD9" w:rsidP="00702B67">
            <w:pPr>
              <w:jc w:val="center"/>
              <w:rPr>
                <w:b/>
                <w:sz w:val="24"/>
                <w:szCs w:val="24"/>
              </w:rPr>
            </w:pPr>
            <w:r>
              <w:rPr>
                <w:b/>
                <w:sz w:val="24"/>
                <w:szCs w:val="24"/>
              </w:rPr>
              <w:t>81.0</w:t>
            </w:r>
          </w:p>
        </w:tc>
      </w:tr>
    </w:tbl>
    <w:p w:rsidR="00195FD9" w:rsidRPr="0038770F" w:rsidRDefault="00195FD9" w:rsidP="00195FD9">
      <w:pPr>
        <w:spacing w:after="0" w:line="240" w:lineRule="auto"/>
        <w:rPr>
          <w:sz w:val="24"/>
          <w:szCs w:val="24"/>
        </w:rPr>
      </w:pPr>
      <w:r w:rsidRPr="00466B96">
        <w:rPr>
          <w:i/>
          <w:sz w:val="24"/>
          <w:szCs w:val="24"/>
          <w:u w:val="single"/>
        </w:rPr>
        <w:t>Source</w:t>
      </w:r>
      <w:r w:rsidRPr="00CD22AA">
        <w:rPr>
          <w:i/>
          <w:sz w:val="24"/>
          <w:szCs w:val="24"/>
        </w:rPr>
        <w:t xml:space="preserve">: </w:t>
      </w:r>
      <w:r w:rsidRPr="0038770F">
        <w:rPr>
          <w:sz w:val="24"/>
          <w:szCs w:val="24"/>
        </w:rPr>
        <w:t>National TB Indicators Project (NTIP): Indicator Summary 2015 to 2019</w:t>
      </w:r>
    </w:p>
    <w:p w:rsidR="00195FD9" w:rsidRPr="00CD22AA" w:rsidRDefault="00195FD9" w:rsidP="00195FD9">
      <w:pPr>
        <w:spacing w:after="0" w:line="240" w:lineRule="auto"/>
        <w:rPr>
          <w:sz w:val="24"/>
          <w:szCs w:val="24"/>
        </w:rPr>
      </w:pPr>
      <w:r w:rsidRPr="00CD22AA">
        <w:rPr>
          <w:sz w:val="24"/>
          <w:szCs w:val="24"/>
          <w:vertAlign w:val="superscript"/>
        </w:rPr>
        <w:t>*</w:t>
      </w:r>
      <w:r w:rsidRPr="00CD22AA">
        <w:rPr>
          <w:sz w:val="24"/>
          <w:szCs w:val="24"/>
        </w:rPr>
        <w:t xml:space="preserve">Data updated </w:t>
      </w:r>
      <w:r w:rsidR="0016339C">
        <w:rPr>
          <w:sz w:val="24"/>
          <w:szCs w:val="24"/>
        </w:rPr>
        <w:t>12</w:t>
      </w:r>
      <w:r w:rsidR="00C04DE8">
        <w:rPr>
          <w:sz w:val="24"/>
          <w:szCs w:val="24"/>
        </w:rPr>
        <w:t>/</w:t>
      </w:r>
      <w:r w:rsidR="008D1B20">
        <w:rPr>
          <w:sz w:val="24"/>
          <w:szCs w:val="24"/>
        </w:rPr>
        <w:t>31</w:t>
      </w:r>
      <w:r w:rsidR="0016339C">
        <w:rPr>
          <w:sz w:val="24"/>
          <w:szCs w:val="24"/>
        </w:rPr>
        <w:t>/19</w:t>
      </w:r>
    </w:p>
    <w:p w:rsidR="006A6419" w:rsidRDefault="006A6419" w:rsidP="00B07043">
      <w:pPr>
        <w:spacing w:after="0" w:line="240" w:lineRule="auto"/>
        <w:rPr>
          <w:b/>
          <w:sz w:val="24"/>
          <w:szCs w:val="24"/>
          <w:u w:val="single"/>
        </w:rPr>
        <w:sectPr w:rsidR="006A6419">
          <w:headerReference w:type="default" r:id="rId8"/>
          <w:footerReference w:type="default" r:id="rId9"/>
          <w:pgSz w:w="12240" w:h="15840"/>
          <w:pgMar w:top="1440" w:right="1440" w:bottom="1440" w:left="1440" w:header="720" w:footer="720" w:gutter="0"/>
          <w:cols w:space="720"/>
          <w:docGrid w:linePitch="360"/>
        </w:sectPr>
      </w:pPr>
    </w:p>
    <w:p w:rsidR="00195FD9" w:rsidRDefault="00195FD9" w:rsidP="00B07043">
      <w:pPr>
        <w:spacing w:after="0" w:line="240" w:lineRule="auto"/>
        <w:rPr>
          <w:b/>
          <w:sz w:val="24"/>
          <w:szCs w:val="24"/>
          <w:u w:val="single"/>
        </w:rPr>
      </w:pPr>
    </w:p>
    <w:p w:rsidR="006A6419" w:rsidRPr="006A6419" w:rsidRDefault="006A6419" w:rsidP="00B07043">
      <w:pPr>
        <w:spacing w:after="0" w:line="240" w:lineRule="auto"/>
        <w:rPr>
          <w:b/>
          <w:sz w:val="24"/>
          <w:szCs w:val="24"/>
        </w:rPr>
      </w:pPr>
      <w:r w:rsidRPr="004848EE">
        <w:rPr>
          <w:b/>
          <w:sz w:val="24"/>
          <w:szCs w:val="24"/>
        </w:rPr>
        <w:t>Table 2.  Status of NTIP Objectives, 2018 – 2019 and Barriers to Meeting 2020 NTIP Targets</w:t>
      </w:r>
    </w:p>
    <w:tbl>
      <w:tblPr>
        <w:tblStyle w:val="TableGrid"/>
        <w:tblW w:w="0" w:type="auto"/>
        <w:tblLook w:val="04A0" w:firstRow="1" w:lastRow="0" w:firstColumn="1" w:lastColumn="0" w:noHBand="0" w:noVBand="1"/>
      </w:tblPr>
      <w:tblGrid>
        <w:gridCol w:w="2635"/>
        <w:gridCol w:w="1613"/>
        <w:gridCol w:w="1890"/>
        <w:gridCol w:w="1890"/>
        <w:gridCol w:w="5148"/>
      </w:tblGrid>
      <w:tr w:rsidR="006A6419" w:rsidTr="006A6419">
        <w:tc>
          <w:tcPr>
            <w:tcW w:w="2635" w:type="dxa"/>
            <w:shd w:val="clear" w:color="auto" w:fill="D9D9D9" w:themeFill="background1" w:themeFillShade="D9"/>
          </w:tcPr>
          <w:p w:rsidR="006A6419" w:rsidRPr="006A6419" w:rsidRDefault="006A6419" w:rsidP="006A6419">
            <w:pPr>
              <w:jc w:val="center"/>
              <w:rPr>
                <w:b/>
                <w:sz w:val="24"/>
                <w:szCs w:val="24"/>
              </w:rPr>
            </w:pPr>
            <w:r>
              <w:rPr>
                <w:b/>
                <w:sz w:val="24"/>
                <w:szCs w:val="24"/>
              </w:rPr>
              <w:t>NTIP Objective</w:t>
            </w:r>
          </w:p>
        </w:tc>
        <w:tc>
          <w:tcPr>
            <w:tcW w:w="1613" w:type="dxa"/>
            <w:shd w:val="clear" w:color="auto" w:fill="D9D9D9" w:themeFill="background1" w:themeFillShade="D9"/>
          </w:tcPr>
          <w:p w:rsidR="006A6419" w:rsidRPr="006A6419" w:rsidRDefault="006A6419" w:rsidP="006A6419">
            <w:pPr>
              <w:jc w:val="center"/>
              <w:rPr>
                <w:b/>
                <w:sz w:val="24"/>
                <w:szCs w:val="24"/>
              </w:rPr>
            </w:pPr>
            <w:r>
              <w:rPr>
                <w:b/>
                <w:sz w:val="24"/>
                <w:szCs w:val="24"/>
              </w:rPr>
              <w:t>2020 Target</w:t>
            </w:r>
          </w:p>
        </w:tc>
        <w:tc>
          <w:tcPr>
            <w:tcW w:w="1890" w:type="dxa"/>
            <w:shd w:val="clear" w:color="auto" w:fill="D9D9D9" w:themeFill="background1" w:themeFillShade="D9"/>
          </w:tcPr>
          <w:p w:rsidR="006A6419" w:rsidRPr="006A6419" w:rsidRDefault="006A6419" w:rsidP="006A6419">
            <w:pPr>
              <w:jc w:val="center"/>
              <w:rPr>
                <w:b/>
                <w:sz w:val="24"/>
                <w:szCs w:val="24"/>
              </w:rPr>
            </w:pPr>
            <w:r>
              <w:rPr>
                <w:b/>
                <w:sz w:val="24"/>
                <w:szCs w:val="24"/>
              </w:rPr>
              <w:t xml:space="preserve">2018 Tennessee Progress </w:t>
            </w:r>
          </w:p>
        </w:tc>
        <w:tc>
          <w:tcPr>
            <w:tcW w:w="1890" w:type="dxa"/>
            <w:shd w:val="clear" w:color="auto" w:fill="D9D9D9" w:themeFill="background1" w:themeFillShade="D9"/>
          </w:tcPr>
          <w:p w:rsidR="006A6419" w:rsidRPr="006A6419" w:rsidRDefault="006A6419" w:rsidP="006A6419">
            <w:pPr>
              <w:jc w:val="center"/>
              <w:rPr>
                <w:b/>
                <w:sz w:val="24"/>
                <w:szCs w:val="24"/>
              </w:rPr>
            </w:pPr>
            <w:r>
              <w:rPr>
                <w:b/>
                <w:sz w:val="24"/>
                <w:szCs w:val="24"/>
              </w:rPr>
              <w:t>2019</w:t>
            </w:r>
            <w:r w:rsidR="00466B96">
              <w:rPr>
                <w:b/>
                <w:sz w:val="24"/>
                <w:szCs w:val="24"/>
                <w:vertAlign w:val="superscript"/>
              </w:rPr>
              <w:t>*</w:t>
            </w:r>
            <w:r>
              <w:rPr>
                <w:b/>
                <w:sz w:val="24"/>
                <w:szCs w:val="24"/>
              </w:rPr>
              <w:t xml:space="preserve"> Tennessee Progress</w:t>
            </w:r>
          </w:p>
        </w:tc>
        <w:tc>
          <w:tcPr>
            <w:tcW w:w="5148" w:type="dxa"/>
            <w:shd w:val="clear" w:color="auto" w:fill="D9D9D9" w:themeFill="background1" w:themeFillShade="D9"/>
          </w:tcPr>
          <w:p w:rsidR="006A6419" w:rsidRPr="006A6419" w:rsidRDefault="006A6419" w:rsidP="006A6419">
            <w:pPr>
              <w:jc w:val="center"/>
              <w:rPr>
                <w:b/>
                <w:sz w:val="24"/>
                <w:szCs w:val="24"/>
              </w:rPr>
            </w:pPr>
            <w:r>
              <w:rPr>
                <w:b/>
                <w:sz w:val="24"/>
                <w:szCs w:val="24"/>
              </w:rPr>
              <w:t>Barriers</w:t>
            </w:r>
          </w:p>
        </w:tc>
      </w:tr>
      <w:tr w:rsidR="006A6419" w:rsidTr="00E26194">
        <w:tc>
          <w:tcPr>
            <w:tcW w:w="2635" w:type="dxa"/>
            <w:vAlign w:val="center"/>
          </w:tcPr>
          <w:p w:rsidR="006A6419" w:rsidRPr="006A6419" w:rsidRDefault="006A6419" w:rsidP="00E26194">
            <w:pPr>
              <w:rPr>
                <w:sz w:val="24"/>
                <w:szCs w:val="24"/>
              </w:rPr>
            </w:pPr>
            <w:r>
              <w:rPr>
                <w:sz w:val="24"/>
                <w:szCs w:val="24"/>
              </w:rPr>
              <w:t>Known HIV status</w:t>
            </w:r>
          </w:p>
        </w:tc>
        <w:tc>
          <w:tcPr>
            <w:tcW w:w="1613" w:type="dxa"/>
            <w:vAlign w:val="center"/>
          </w:tcPr>
          <w:p w:rsidR="006A6419" w:rsidRPr="00416420" w:rsidRDefault="006A6419" w:rsidP="00416420">
            <w:pPr>
              <w:jc w:val="center"/>
              <w:rPr>
                <w:b/>
                <w:sz w:val="24"/>
                <w:szCs w:val="24"/>
              </w:rPr>
            </w:pPr>
            <w:r w:rsidRPr="00416420">
              <w:rPr>
                <w:b/>
                <w:sz w:val="24"/>
                <w:szCs w:val="24"/>
              </w:rPr>
              <w:t>98.0</w:t>
            </w:r>
          </w:p>
        </w:tc>
        <w:tc>
          <w:tcPr>
            <w:tcW w:w="1890" w:type="dxa"/>
            <w:vAlign w:val="center"/>
          </w:tcPr>
          <w:p w:rsidR="006A6419" w:rsidRPr="006A6419" w:rsidRDefault="006A6419" w:rsidP="00416420">
            <w:pPr>
              <w:jc w:val="center"/>
              <w:rPr>
                <w:sz w:val="24"/>
                <w:szCs w:val="24"/>
              </w:rPr>
            </w:pPr>
            <w:r>
              <w:rPr>
                <w:sz w:val="24"/>
                <w:szCs w:val="24"/>
              </w:rPr>
              <w:t>97.0</w:t>
            </w:r>
            <w:r w:rsidR="00416420">
              <w:rPr>
                <w:sz w:val="24"/>
                <w:szCs w:val="24"/>
              </w:rPr>
              <w:t xml:space="preserve"> (unmet)</w:t>
            </w:r>
          </w:p>
        </w:tc>
        <w:tc>
          <w:tcPr>
            <w:tcW w:w="1890" w:type="dxa"/>
            <w:vAlign w:val="center"/>
          </w:tcPr>
          <w:p w:rsidR="006A6419" w:rsidRPr="006A6419" w:rsidRDefault="008D1B20" w:rsidP="00416420">
            <w:pPr>
              <w:jc w:val="center"/>
              <w:rPr>
                <w:sz w:val="24"/>
                <w:szCs w:val="24"/>
              </w:rPr>
            </w:pPr>
            <w:r>
              <w:rPr>
                <w:sz w:val="24"/>
                <w:szCs w:val="24"/>
              </w:rPr>
              <w:t>95.9</w:t>
            </w:r>
            <w:r w:rsidR="00416420">
              <w:rPr>
                <w:sz w:val="24"/>
                <w:szCs w:val="24"/>
              </w:rPr>
              <w:t xml:space="preserve"> (unmet)</w:t>
            </w:r>
          </w:p>
        </w:tc>
        <w:tc>
          <w:tcPr>
            <w:tcW w:w="5148" w:type="dxa"/>
          </w:tcPr>
          <w:p w:rsidR="006A6419" w:rsidRPr="006A6419" w:rsidRDefault="00F006A0" w:rsidP="004503D4">
            <w:pPr>
              <w:rPr>
                <w:sz w:val="24"/>
                <w:szCs w:val="24"/>
              </w:rPr>
            </w:pPr>
            <w:r>
              <w:rPr>
                <w:sz w:val="24"/>
                <w:szCs w:val="24"/>
              </w:rPr>
              <w:t xml:space="preserve">HIV testing is not being offered to young children and elderly patients.  Antibody testing at the state lab cannot be performed on children &lt;2 due to the risk of interference from the mother’s antibodies.  HIV RNA testing must be </w:t>
            </w:r>
            <w:r w:rsidR="001D1D5C">
              <w:rPr>
                <w:sz w:val="24"/>
                <w:szCs w:val="24"/>
              </w:rPr>
              <w:t>performed for these patients</w:t>
            </w:r>
            <w:r w:rsidR="004503D4">
              <w:rPr>
                <w:sz w:val="24"/>
                <w:szCs w:val="24"/>
              </w:rPr>
              <w:t>,</w:t>
            </w:r>
            <w:r>
              <w:rPr>
                <w:sz w:val="24"/>
                <w:szCs w:val="24"/>
              </w:rPr>
              <w:t xml:space="preserve"> requires additional specimen, an additional requisition and processing time.</w:t>
            </w:r>
          </w:p>
        </w:tc>
      </w:tr>
      <w:tr w:rsidR="006A6419" w:rsidTr="00E26194">
        <w:tc>
          <w:tcPr>
            <w:tcW w:w="2635" w:type="dxa"/>
            <w:vAlign w:val="center"/>
          </w:tcPr>
          <w:p w:rsidR="006A6419" w:rsidRPr="006A6419" w:rsidRDefault="00416420" w:rsidP="00E26194">
            <w:pPr>
              <w:rPr>
                <w:sz w:val="24"/>
                <w:szCs w:val="24"/>
              </w:rPr>
            </w:pPr>
            <w:r>
              <w:rPr>
                <w:sz w:val="24"/>
                <w:szCs w:val="24"/>
              </w:rPr>
              <w:t>Treatment initiation</w:t>
            </w:r>
          </w:p>
        </w:tc>
        <w:tc>
          <w:tcPr>
            <w:tcW w:w="1613" w:type="dxa"/>
            <w:vAlign w:val="center"/>
          </w:tcPr>
          <w:p w:rsidR="006A6419" w:rsidRPr="00416420" w:rsidRDefault="00416420" w:rsidP="00416420">
            <w:pPr>
              <w:jc w:val="center"/>
              <w:rPr>
                <w:b/>
                <w:sz w:val="24"/>
                <w:szCs w:val="24"/>
              </w:rPr>
            </w:pPr>
            <w:r>
              <w:rPr>
                <w:b/>
                <w:sz w:val="24"/>
                <w:szCs w:val="24"/>
              </w:rPr>
              <w:t>97.0</w:t>
            </w:r>
          </w:p>
        </w:tc>
        <w:tc>
          <w:tcPr>
            <w:tcW w:w="1890" w:type="dxa"/>
            <w:vAlign w:val="center"/>
          </w:tcPr>
          <w:p w:rsidR="006A6419" w:rsidRPr="006A6419" w:rsidRDefault="00416420" w:rsidP="00EA478A">
            <w:pPr>
              <w:jc w:val="center"/>
              <w:rPr>
                <w:sz w:val="24"/>
                <w:szCs w:val="24"/>
              </w:rPr>
            </w:pPr>
            <w:r>
              <w:rPr>
                <w:sz w:val="24"/>
                <w:szCs w:val="24"/>
              </w:rPr>
              <w:t>93.</w:t>
            </w:r>
            <w:r w:rsidR="00EA478A">
              <w:rPr>
                <w:sz w:val="24"/>
                <w:szCs w:val="24"/>
              </w:rPr>
              <w:t>0</w:t>
            </w:r>
            <w:r>
              <w:rPr>
                <w:sz w:val="24"/>
                <w:szCs w:val="24"/>
              </w:rPr>
              <w:t xml:space="preserve"> (unmet)</w:t>
            </w:r>
          </w:p>
        </w:tc>
        <w:tc>
          <w:tcPr>
            <w:tcW w:w="1890" w:type="dxa"/>
            <w:vAlign w:val="center"/>
          </w:tcPr>
          <w:p w:rsidR="006A6419" w:rsidRPr="006A6419" w:rsidRDefault="00416420" w:rsidP="00416420">
            <w:pPr>
              <w:jc w:val="center"/>
              <w:rPr>
                <w:sz w:val="24"/>
                <w:szCs w:val="24"/>
              </w:rPr>
            </w:pPr>
            <w:r>
              <w:rPr>
                <w:sz w:val="24"/>
                <w:szCs w:val="24"/>
              </w:rPr>
              <w:t>100.0 (met)</w:t>
            </w:r>
          </w:p>
        </w:tc>
        <w:tc>
          <w:tcPr>
            <w:tcW w:w="5148" w:type="dxa"/>
          </w:tcPr>
          <w:p w:rsidR="006A6419" w:rsidRPr="006A6419" w:rsidRDefault="001D1D5C" w:rsidP="00B07043">
            <w:pPr>
              <w:rPr>
                <w:sz w:val="24"/>
                <w:szCs w:val="24"/>
              </w:rPr>
            </w:pPr>
            <w:r>
              <w:rPr>
                <w:sz w:val="24"/>
                <w:szCs w:val="24"/>
              </w:rPr>
              <w:t>Some outside providers consistently collect sputum specimens without initiating treatment.  When smear results are available, the patient may already have been discharged and treatment is not initiated until the patient is under the care of the public health department.</w:t>
            </w:r>
          </w:p>
        </w:tc>
      </w:tr>
      <w:tr w:rsidR="006A6419" w:rsidTr="00E26194">
        <w:tc>
          <w:tcPr>
            <w:tcW w:w="2635" w:type="dxa"/>
            <w:vAlign w:val="center"/>
          </w:tcPr>
          <w:p w:rsidR="006A6419" w:rsidRPr="006A6419" w:rsidRDefault="00416420" w:rsidP="00E26194">
            <w:pPr>
              <w:rPr>
                <w:sz w:val="24"/>
                <w:szCs w:val="24"/>
              </w:rPr>
            </w:pPr>
            <w:r>
              <w:rPr>
                <w:sz w:val="24"/>
                <w:szCs w:val="24"/>
              </w:rPr>
              <w:t>Recommended initial therapy</w:t>
            </w:r>
          </w:p>
        </w:tc>
        <w:tc>
          <w:tcPr>
            <w:tcW w:w="1613" w:type="dxa"/>
            <w:vAlign w:val="center"/>
          </w:tcPr>
          <w:p w:rsidR="006A6419" w:rsidRPr="00416420" w:rsidRDefault="0042582D" w:rsidP="00416420">
            <w:pPr>
              <w:jc w:val="center"/>
              <w:rPr>
                <w:b/>
                <w:sz w:val="24"/>
                <w:szCs w:val="24"/>
              </w:rPr>
            </w:pPr>
            <w:r>
              <w:rPr>
                <w:b/>
                <w:sz w:val="24"/>
                <w:szCs w:val="24"/>
              </w:rPr>
              <w:t>97.0</w:t>
            </w:r>
          </w:p>
        </w:tc>
        <w:tc>
          <w:tcPr>
            <w:tcW w:w="1890" w:type="dxa"/>
            <w:vAlign w:val="center"/>
          </w:tcPr>
          <w:p w:rsidR="006A6419" w:rsidRPr="006A6419" w:rsidRDefault="00EA478A" w:rsidP="00416420">
            <w:pPr>
              <w:jc w:val="center"/>
              <w:rPr>
                <w:sz w:val="24"/>
                <w:szCs w:val="24"/>
              </w:rPr>
            </w:pPr>
            <w:r>
              <w:rPr>
                <w:sz w:val="24"/>
                <w:szCs w:val="24"/>
              </w:rPr>
              <w:t>96.2</w:t>
            </w:r>
            <w:r w:rsidR="0042582D">
              <w:rPr>
                <w:sz w:val="24"/>
                <w:szCs w:val="24"/>
              </w:rPr>
              <w:t xml:space="preserve"> (unmet)</w:t>
            </w:r>
          </w:p>
        </w:tc>
        <w:tc>
          <w:tcPr>
            <w:tcW w:w="1890" w:type="dxa"/>
            <w:vAlign w:val="center"/>
          </w:tcPr>
          <w:p w:rsidR="006A6419" w:rsidRPr="006A6419" w:rsidRDefault="00534DA4" w:rsidP="008D1B20">
            <w:pPr>
              <w:jc w:val="center"/>
              <w:rPr>
                <w:sz w:val="24"/>
                <w:szCs w:val="24"/>
              </w:rPr>
            </w:pPr>
            <w:r>
              <w:rPr>
                <w:sz w:val="24"/>
                <w:szCs w:val="24"/>
              </w:rPr>
              <w:t>9</w:t>
            </w:r>
            <w:r w:rsidR="00FA50BD">
              <w:rPr>
                <w:sz w:val="24"/>
                <w:szCs w:val="24"/>
              </w:rPr>
              <w:t>0.</w:t>
            </w:r>
            <w:r w:rsidR="008D1B20">
              <w:rPr>
                <w:sz w:val="24"/>
                <w:szCs w:val="24"/>
              </w:rPr>
              <w:t>9</w:t>
            </w:r>
            <w:r w:rsidR="0042582D">
              <w:rPr>
                <w:sz w:val="24"/>
                <w:szCs w:val="24"/>
              </w:rPr>
              <w:t xml:space="preserve"> (unmet)</w:t>
            </w:r>
          </w:p>
        </w:tc>
        <w:tc>
          <w:tcPr>
            <w:tcW w:w="5148" w:type="dxa"/>
          </w:tcPr>
          <w:p w:rsidR="006A6419" w:rsidRPr="006A6419" w:rsidRDefault="001D1D5C" w:rsidP="007034FC">
            <w:pPr>
              <w:rPr>
                <w:sz w:val="24"/>
                <w:szCs w:val="24"/>
              </w:rPr>
            </w:pPr>
            <w:r>
              <w:rPr>
                <w:sz w:val="24"/>
                <w:szCs w:val="24"/>
              </w:rPr>
              <w:t xml:space="preserve">TB cases that are identified as contacts to an INH-resistant case may not be started on INH initially.  Also, ethambutol is often times not prescribed </w:t>
            </w:r>
            <w:r w:rsidR="007034FC">
              <w:rPr>
                <w:sz w:val="24"/>
                <w:szCs w:val="24"/>
              </w:rPr>
              <w:t>by</w:t>
            </w:r>
            <w:r>
              <w:rPr>
                <w:sz w:val="24"/>
                <w:szCs w:val="24"/>
              </w:rPr>
              <w:t xml:space="preserve"> providers for pediatric cases of TB or for patients with pre-existing optical conditions.</w:t>
            </w:r>
          </w:p>
        </w:tc>
      </w:tr>
      <w:tr w:rsidR="006A6419" w:rsidTr="00E26194">
        <w:tc>
          <w:tcPr>
            <w:tcW w:w="2635" w:type="dxa"/>
            <w:vAlign w:val="center"/>
          </w:tcPr>
          <w:p w:rsidR="006A6419" w:rsidRPr="006A6419" w:rsidRDefault="0042582D" w:rsidP="00E26194">
            <w:pPr>
              <w:rPr>
                <w:sz w:val="24"/>
                <w:szCs w:val="24"/>
              </w:rPr>
            </w:pPr>
            <w:r>
              <w:rPr>
                <w:sz w:val="24"/>
                <w:szCs w:val="24"/>
              </w:rPr>
              <w:t>Sputum culture result</w:t>
            </w:r>
            <w:r w:rsidR="00534DA4">
              <w:rPr>
                <w:sz w:val="24"/>
                <w:szCs w:val="24"/>
              </w:rPr>
              <w:t>s</w:t>
            </w:r>
            <w:r>
              <w:rPr>
                <w:sz w:val="24"/>
                <w:szCs w:val="24"/>
              </w:rPr>
              <w:t xml:space="preserve"> reported</w:t>
            </w:r>
          </w:p>
        </w:tc>
        <w:tc>
          <w:tcPr>
            <w:tcW w:w="1613" w:type="dxa"/>
            <w:vAlign w:val="center"/>
          </w:tcPr>
          <w:p w:rsidR="006A6419" w:rsidRPr="00416420" w:rsidRDefault="0042582D" w:rsidP="00416420">
            <w:pPr>
              <w:jc w:val="center"/>
              <w:rPr>
                <w:b/>
                <w:sz w:val="24"/>
                <w:szCs w:val="24"/>
              </w:rPr>
            </w:pPr>
            <w:r>
              <w:rPr>
                <w:b/>
                <w:sz w:val="24"/>
                <w:szCs w:val="24"/>
              </w:rPr>
              <w:t>98.0</w:t>
            </w:r>
          </w:p>
        </w:tc>
        <w:tc>
          <w:tcPr>
            <w:tcW w:w="1890" w:type="dxa"/>
            <w:vAlign w:val="center"/>
          </w:tcPr>
          <w:p w:rsidR="006A6419" w:rsidRPr="006A6419" w:rsidRDefault="0042582D" w:rsidP="00416420">
            <w:pPr>
              <w:jc w:val="center"/>
              <w:rPr>
                <w:sz w:val="24"/>
                <w:szCs w:val="24"/>
              </w:rPr>
            </w:pPr>
            <w:r>
              <w:rPr>
                <w:sz w:val="24"/>
                <w:szCs w:val="24"/>
              </w:rPr>
              <w:t>96.4 (unmet)</w:t>
            </w:r>
          </w:p>
        </w:tc>
        <w:tc>
          <w:tcPr>
            <w:tcW w:w="1890" w:type="dxa"/>
            <w:vAlign w:val="center"/>
          </w:tcPr>
          <w:p w:rsidR="006A6419" w:rsidRPr="006A6419" w:rsidRDefault="008D1B20" w:rsidP="00416420">
            <w:pPr>
              <w:jc w:val="center"/>
              <w:rPr>
                <w:sz w:val="24"/>
                <w:szCs w:val="24"/>
              </w:rPr>
            </w:pPr>
            <w:r>
              <w:rPr>
                <w:sz w:val="24"/>
                <w:szCs w:val="24"/>
              </w:rPr>
              <w:t>92.0</w:t>
            </w:r>
            <w:r w:rsidR="0042582D">
              <w:rPr>
                <w:sz w:val="24"/>
                <w:szCs w:val="24"/>
              </w:rPr>
              <w:t xml:space="preserve"> (unmet)</w:t>
            </w:r>
          </w:p>
        </w:tc>
        <w:tc>
          <w:tcPr>
            <w:tcW w:w="5148" w:type="dxa"/>
          </w:tcPr>
          <w:p w:rsidR="006A6419" w:rsidRPr="006A6419" w:rsidRDefault="00666489" w:rsidP="00B07043">
            <w:pPr>
              <w:rPr>
                <w:sz w:val="24"/>
                <w:szCs w:val="24"/>
              </w:rPr>
            </w:pPr>
            <w:r>
              <w:rPr>
                <w:sz w:val="24"/>
                <w:szCs w:val="24"/>
              </w:rPr>
              <w:t>The most common reasons for patients not meeting this indicator are: patient unable to produce despite induction or the patient was dead or dying prior to the health department collecting sputum.</w:t>
            </w:r>
          </w:p>
        </w:tc>
      </w:tr>
      <w:tr w:rsidR="0042582D" w:rsidTr="00E26194">
        <w:tc>
          <w:tcPr>
            <w:tcW w:w="2635" w:type="dxa"/>
            <w:vAlign w:val="center"/>
          </w:tcPr>
          <w:p w:rsidR="0042582D" w:rsidRDefault="0042582D" w:rsidP="00E26194">
            <w:pPr>
              <w:rPr>
                <w:sz w:val="24"/>
                <w:szCs w:val="24"/>
              </w:rPr>
            </w:pPr>
            <w:r>
              <w:rPr>
                <w:sz w:val="24"/>
                <w:szCs w:val="24"/>
              </w:rPr>
              <w:t>Sputum culture conversion</w:t>
            </w:r>
          </w:p>
        </w:tc>
        <w:tc>
          <w:tcPr>
            <w:tcW w:w="1613" w:type="dxa"/>
            <w:vAlign w:val="center"/>
          </w:tcPr>
          <w:p w:rsidR="0042582D" w:rsidRDefault="0042582D" w:rsidP="00416420">
            <w:pPr>
              <w:jc w:val="center"/>
              <w:rPr>
                <w:b/>
                <w:sz w:val="24"/>
                <w:szCs w:val="24"/>
              </w:rPr>
            </w:pPr>
            <w:r>
              <w:rPr>
                <w:b/>
                <w:sz w:val="24"/>
                <w:szCs w:val="24"/>
              </w:rPr>
              <w:t>73.0</w:t>
            </w:r>
          </w:p>
        </w:tc>
        <w:tc>
          <w:tcPr>
            <w:tcW w:w="1890" w:type="dxa"/>
            <w:vAlign w:val="center"/>
          </w:tcPr>
          <w:p w:rsidR="0042582D" w:rsidRDefault="0042582D" w:rsidP="00EA478A">
            <w:pPr>
              <w:jc w:val="center"/>
              <w:rPr>
                <w:sz w:val="24"/>
                <w:szCs w:val="24"/>
              </w:rPr>
            </w:pPr>
            <w:r>
              <w:rPr>
                <w:sz w:val="24"/>
                <w:szCs w:val="24"/>
              </w:rPr>
              <w:t>85.</w:t>
            </w:r>
            <w:r w:rsidR="00EA478A">
              <w:rPr>
                <w:sz w:val="24"/>
                <w:szCs w:val="24"/>
              </w:rPr>
              <w:t>0</w:t>
            </w:r>
            <w:r>
              <w:rPr>
                <w:sz w:val="24"/>
                <w:szCs w:val="24"/>
              </w:rPr>
              <w:t xml:space="preserve"> (met)</w:t>
            </w:r>
          </w:p>
        </w:tc>
        <w:tc>
          <w:tcPr>
            <w:tcW w:w="1890" w:type="dxa"/>
            <w:vAlign w:val="center"/>
          </w:tcPr>
          <w:p w:rsidR="0042582D" w:rsidRDefault="008D1B20" w:rsidP="00FA50BD">
            <w:pPr>
              <w:jc w:val="center"/>
              <w:rPr>
                <w:sz w:val="24"/>
                <w:szCs w:val="24"/>
              </w:rPr>
            </w:pPr>
            <w:r>
              <w:rPr>
                <w:sz w:val="24"/>
                <w:szCs w:val="24"/>
              </w:rPr>
              <w:t>69.4</w:t>
            </w:r>
            <w:r w:rsidR="00C41F46">
              <w:rPr>
                <w:sz w:val="24"/>
                <w:szCs w:val="24"/>
              </w:rPr>
              <w:t xml:space="preserve"> </w:t>
            </w:r>
            <w:r w:rsidR="0042582D">
              <w:rPr>
                <w:sz w:val="24"/>
                <w:szCs w:val="24"/>
              </w:rPr>
              <w:t>(unmet)</w:t>
            </w:r>
          </w:p>
        </w:tc>
        <w:tc>
          <w:tcPr>
            <w:tcW w:w="5148" w:type="dxa"/>
          </w:tcPr>
          <w:p w:rsidR="0042582D" w:rsidRPr="006A6419" w:rsidRDefault="0009270E" w:rsidP="00B07043">
            <w:pPr>
              <w:rPr>
                <w:sz w:val="24"/>
                <w:szCs w:val="24"/>
              </w:rPr>
            </w:pPr>
            <w:r>
              <w:rPr>
                <w:sz w:val="24"/>
                <w:szCs w:val="24"/>
              </w:rPr>
              <w:t xml:space="preserve">Decreased frequency of sputum collection as well as delay in collecting therapeutic drug monitoring levels may contribute to the decreased performance toward meeting this indicator.  </w:t>
            </w:r>
          </w:p>
        </w:tc>
      </w:tr>
      <w:tr w:rsidR="0042582D" w:rsidTr="00E26194">
        <w:tc>
          <w:tcPr>
            <w:tcW w:w="2635" w:type="dxa"/>
            <w:vAlign w:val="center"/>
          </w:tcPr>
          <w:p w:rsidR="0042582D" w:rsidRDefault="0042582D" w:rsidP="00E26194">
            <w:pPr>
              <w:rPr>
                <w:sz w:val="24"/>
                <w:szCs w:val="24"/>
              </w:rPr>
            </w:pPr>
            <w:r>
              <w:rPr>
                <w:sz w:val="24"/>
                <w:szCs w:val="24"/>
              </w:rPr>
              <w:lastRenderedPageBreak/>
              <w:t>Completion of treatment</w:t>
            </w:r>
          </w:p>
        </w:tc>
        <w:tc>
          <w:tcPr>
            <w:tcW w:w="1613" w:type="dxa"/>
            <w:vAlign w:val="center"/>
          </w:tcPr>
          <w:p w:rsidR="0042582D" w:rsidRDefault="0042582D" w:rsidP="00416420">
            <w:pPr>
              <w:jc w:val="center"/>
              <w:rPr>
                <w:b/>
                <w:sz w:val="24"/>
                <w:szCs w:val="24"/>
              </w:rPr>
            </w:pPr>
            <w:r>
              <w:rPr>
                <w:b/>
                <w:sz w:val="24"/>
                <w:szCs w:val="24"/>
              </w:rPr>
              <w:t>95.0</w:t>
            </w:r>
          </w:p>
        </w:tc>
        <w:tc>
          <w:tcPr>
            <w:tcW w:w="1890" w:type="dxa"/>
            <w:vAlign w:val="center"/>
          </w:tcPr>
          <w:p w:rsidR="0042582D" w:rsidRDefault="0042582D" w:rsidP="00416420">
            <w:pPr>
              <w:jc w:val="center"/>
              <w:rPr>
                <w:sz w:val="24"/>
                <w:szCs w:val="24"/>
              </w:rPr>
            </w:pPr>
            <w:r>
              <w:rPr>
                <w:sz w:val="24"/>
                <w:szCs w:val="24"/>
              </w:rPr>
              <w:t>92.6 (unmet)</w:t>
            </w:r>
          </w:p>
        </w:tc>
        <w:tc>
          <w:tcPr>
            <w:tcW w:w="1890" w:type="dxa"/>
            <w:vAlign w:val="center"/>
          </w:tcPr>
          <w:p w:rsidR="0042582D" w:rsidRDefault="008D1B20" w:rsidP="00C41F46">
            <w:pPr>
              <w:jc w:val="center"/>
              <w:rPr>
                <w:sz w:val="24"/>
                <w:szCs w:val="24"/>
              </w:rPr>
            </w:pPr>
            <w:r>
              <w:rPr>
                <w:sz w:val="24"/>
                <w:szCs w:val="24"/>
              </w:rPr>
              <w:t>28.4</w:t>
            </w:r>
            <w:r w:rsidR="0042582D">
              <w:rPr>
                <w:sz w:val="24"/>
                <w:szCs w:val="24"/>
              </w:rPr>
              <w:t xml:space="preserve"> (unmet)</w:t>
            </w:r>
          </w:p>
        </w:tc>
        <w:tc>
          <w:tcPr>
            <w:tcW w:w="5148" w:type="dxa"/>
          </w:tcPr>
          <w:p w:rsidR="0042582D" w:rsidRPr="006A6419" w:rsidRDefault="0042582D" w:rsidP="00B07043">
            <w:pPr>
              <w:rPr>
                <w:sz w:val="24"/>
                <w:szCs w:val="24"/>
              </w:rPr>
            </w:pPr>
          </w:p>
        </w:tc>
      </w:tr>
      <w:tr w:rsidR="0042582D" w:rsidTr="00E26194">
        <w:tc>
          <w:tcPr>
            <w:tcW w:w="2635" w:type="dxa"/>
            <w:vAlign w:val="center"/>
          </w:tcPr>
          <w:p w:rsidR="0042582D" w:rsidRDefault="0042582D" w:rsidP="00E26194">
            <w:pPr>
              <w:rPr>
                <w:sz w:val="24"/>
                <w:szCs w:val="24"/>
              </w:rPr>
            </w:pPr>
            <w:r>
              <w:rPr>
                <w:sz w:val="24"/>
                <w:szCs w:val="24"/>
              </w:rPr>
              <w:t>TAT—culture</w:t>
            </w:r>
          </w:p>
        </w:tc>
        <w:tc>
          <w:tcPr>
            <w:tcW w:w="1613" w:type="dxa"/>
            <w:vAlign w:val="center"/>
          </w:tcPr>
          <w:p w:rsidR="0042582D" w:rsidRDefault="0042582D" w:rsidP="00416420">
            <w:pPr>
              <w:jc w:val="center"/>
              <w:rPr>
                <w:b/>
                <w:sz w:val="24"/>
                <w:szCs w:val="24"/>
              </w:rPr>
            </w:pPr>
            <w:r>
              <w:rPr>
                <w:b/>
                <w:sz w:val="24"/>
                <w:szCs w:val="24"/>
              </w:rPr>
              <w:t>78.0</w:t>
            </w:r>
          </w:p>
        </w:tc>
        <w:tc>
          <w:tcPr>
            <w:tcW w:w="1890" w:type="dxa"/>
            <w:vAlign w:val="center"/>
          </w:tcPr>
          <w:p w:rsidR="0042582D" w:rsidRDefault="00534DA4" w:rsidP="00EA478A">
            <w:pPr>
              <w:jc w:val="center"/>
              <w:rPr>
                <w:sz w:val="24"/>
                <w:szCs w:val="24"/>
              </w:rPr>
            </w:pPr>
            <w:r>
              <w:rPr>
                <w:sz w:val="24"/>
                <w:szCs w:val="24"/>
              </w:rPr>
              <w:t>59</w:t>
            </w:r>
            <w:r w:rsidR="00EA478A">
              <w:rPr>
                <w:sz w:val="24"/>
                <w:szCs w:val="24"/>
              </w:rPr>
              <w:t>.7</w:t>
            </w:r>
            <w:r w:rsidR="0042582D">
              <w:rPr>
                <w:sz w:val="24"/>
                <w:szCs w:val="24"/>
              </w:rPr>
              <w:t xml:space="preserve"> (</w:t>
            </w:r>
            <w:r w:rsidR="00EA478A">
              <w:rPr>
                <w:sz w:val="24"/>
                <w:szCs w:val="24"/>
              </w:rPr>
              <w:t>met</w:t>
            </w:r>
            <w:r w:rsidR="0042582D">
              <w:rPr>
                <w:sz w:val="24"/>
                <w:szCs w:val="24"/>
              </w:rPr>
              <w:t>)</w:t>
            </w:r>
          </w:p>
        </w:tc>
        <w:tc>
          <w:tcPr>
            <w:tcW w:w="1890" w:type="dxa"/>
            <w:vAlign w:val="center"/>
          </w:tcPr>
          <w:p w:rsidR="0042582D" w:rsidRDefault="008D1B20" w:rsidP="008D1B20">
            <w:pPr>
              <w:jc w:val="center"/>
              <w:rPr>
                <w:sz w:val="24"/>
                <w:szCs w:val="24"/>
              </w:rPr>
            </w:pPr>
            <w:r>
              <w:rPr>
                <w:sz w:val="24"/>
                <w:szCs w:val="24"/>
              </w:rPr>
              <w:t>59.3</w:t>
            </w:r>
            <w:r w:rsidR="0042582D">
              <w:rPr>
                <w:sz w:val="24"/>
                <w:szCs w:val="24"/>
              </w:rPr>
              <w:t xml:space="preserve"> (</w:t>
            </w:r>
            <w:r w:rsidR="00EA478A">
              <w:rPr>
                <w:sz w:val="24"/>
                <w:szCs w:val="24"/>
              </w:rPr>
              <w:t>unmet</w:t>
            </w:r>
            <w:r w:rsidR="0042582D">
              <w:rPr>
                <w:sz w:val="24"/>
                <w:szCs w:val="24"/>
              </w:rPr>
              <w:t>)</w:t>
            </w:r>
          </w:p>
        </w:tc>
        <w:tc>
          <w:tcPr>
            <w:tcW w:w="5148" w:type="dxa"/>
          </w:tcPr>
          <w:p w:rsidR="0042582D" w:rsidRPr="006A6419" w:rsidRDefault="00F81776" w:rsidP="00B07043">
            <w:pPr>
              <w:rPr>
                <w:sz w:val="24"/>
                <w:szCs w:val="24"/>
              </w:rPr>
            </w:pPr>
            <w:r>
              <w:rPr>
                <w:sz w:val="24"/>
                <w:szCs w:val="24"/>
              </w:rPr>
              <w:t xml:space="preserve">Delays in or lack of submitting isolates from </w:t>
            </w:r>
            <w:r w:rsidR="003A49F6">
              <w:rPr>
                <w:sz w:val="24"/>
                <w:szCs w:val="24"/>
              </w:rPr>
              <w:t>commercial and other laboratories to the Tennessee Department of Health, Division of Laboratory Services.</w:t>
            </w:r>
          </w:p>
        </w:tc>
      </w:tr>
      <w:tr w:rsidR="0042582D" w:rsidTr="00E26194">
        <w:tc>
          <w:tcPr>
            <w:tcW w:w="2635" w:type="dxa"/>
            <w:vAlign w:val="center"/>
          </w:tcPr>
          <w:p w:rsidR="0042582D" w:rsidRDefault="0042582D" w:rsidP="00E26194">
            <w:pPr>
              <w:rPr>
                <w:sz w:val="24"/>
                <w:szCs w:val="24"/>
              </w:rPr>
            </w:pPr>
            <w:r>
              <w:rPr>
                <w:sz w:val="24"/>
                <w:szCs w:val="24"/>
              </w:rPr>
              <w:t>TAT—NAA</w:t>
            </w:r>
          </w:p>
        </w:tc>
        <w:tc>
          <w:tcPr>
            <w:tcW w:w="1613" w:type="dxa"/>
            <w:vAlign w:val="center"/>
          </w:tcPr>
          <w:p w:rsidR="0042582D" w:rsidRDefault="0042582D" w:rsidP="00416420">
            <w:pPr>
              <w:jc w:val="center"/>
              <w:rPr>
                <w:b/>
                <w:sz w:val="24"/>
                <w:szCs w:val="24"/>
              </w:rPr>
            </w:pPr>
            <w:r>
              <w:rPr>
                <w:b/>
                <w:sz w:val="24"/>
                <w:szCs w:val="24"/>
              </w:rPr>
              <w:t>92.0</w:t>
            </w:r>
          </w:p>
        </w:tc>
        <w:tc>
          <w:tcPr>
            <w:tcW w:w="1890" w:type="dxa"/>
            <w:vAlign w:val="center"/>
          </w:tcPr>
          <w:p w:rsidR="0042582D" w:rsidRDefault="00EA478A" w:rsidP="00EA478A">
            <w:pPr>
              <w:jc w:val="center"/>
              <w:rPr>
                <w:sz w:val="24"/>
                <w:szCs w:val="24"/>
              </w:rPr>
            </w:pPr>
            <w:r>
              <w:rPr>
                <w:sz w:val="24"/>
                <w:szCs w:val="24"/>
              </w:rPr>
              <w:t>93.6</w:t>
            </w:r>
            <w:r w:rsidR="0042582D">
              <w:rPr>
                <w:sz w:val="24"/>
                <w:szCs w:val="24"/>
              </w:rPr>
              <w:t xml:space="preserve"> (</w:t>
            </w:r>
            <w:r>
              <w:rPr>
                <w:sz w:val="24"/>
                <w:szCs w:val="24"/>
              </w:rPr>
              <w:t>met</w:t>
            </w:r>
            <w:r w:rsidR="0042582D">
              <w:rPr>
                <w:sz w:val="24"/>
                <w:szCs w:val="24"/>
              </w:rPr>
              <w:t>)</w:t>
            </w:r>
          </w:p>
        </w:tc>
        <w:tc>
          <w:tcPr>
            <w:tcW w:w="1890" w:type="dxa"/>
            <w:vAlign w:val="center"/>
          </w:tcPr>
          <w:p w:rsidR="0042582D" w:rsidRDefault="00EA478A" w:rsidP="008D1B20">
            <w:pPr>
              <w:jc w:val="center"/>
              <w:rPr>
                <w:sz w:val="24"/>
                <w:szCs w:val="24"/>
              </w:rPr>
            </w:pPr>
            <w:r>
              <w:rPr>
                <w:sz w:val="24"/>
                <w:szCs w:val="24"/>
              </w:rPr>
              <w:t>95.</w:t>
            </w:r>
            <w:r w:rsidR="008D1B20">
              <w:rPr>
                <w:sz w:val="24"/>
                <w:szCs w:val="24"/>
              </w:rPr>
              <w:t>2</w:t>
            </w:r>
            <w:r w:rsidR="0042582D">
              <w:rPr>
                <w:sz w:val="24"/>
                <w:szCs w:val="24"/>
              </w:rPr>
              <w:t xml:space="preserve"> (</w:t>
            </w:r>
            <w:r>
              <w:rPr>
                <w:sz w:val="24"/>
                <w:szCs w:val="24"/>
              </w:rPr>
              <w:t>met</w:t>
            </w:r>
            <w:r w:rsidR="0042582D">
              <w:rPr>
                <w:sz w:val="24"/>
                <w:szCs w:val="24"/>
              </w:rPr>
              <w:t>)</w:t>
            </w:r>
          </w:p>
        </w:tc>
        <w:tc>
          <w:tcPr>
            <w:tcW w:w="5148" w:type="dxa"/>
          </w:tcPr>
          <w:p w:rsidR="0042582D" w:rsidRPr="006A6419" w:rsidRDefault="00F81776" w:rsidP="00B07043">
            <w:pPr>
              <w:rPr>
                <w:sz w:val="24"/>
                <w:szCs w:val="24"/>
              </w:rPr>
            </w:pPr>
            <w:r>
              <w:rPr>
                <w:sz w:val="24"/>
                <w:szCs w:val="24"/>
              </w:rPr>
              <w:t>This indicator continues to be met.  The TTBEP encourages providers and the laboratory to perform NAAT on specimens early in the diagnosis instead of waiting until after treatment has been initiated.</w:t>
            </w:r>
          </w:p>
        </w:tc>
      </w:tr>
      <w:tr w:rsidR="003A49F6" w:rsidTr="00E26194">
        <w:tc>
          <w:tcPr>
            <w:tcW w:w="2635" w:type="dxa"/>
            <w:vAlign w:val="center"/>
          </w:tcPr>
          <w:p w:rsidR="003A49F6" w:rsidRDefault="003A49F6" w:rsidP="00E26194">
            <w:pPr>
              <w:rPr>
                <w:sz w:val="24"/>
                <w:szCs w:val="24"/>
              </w:rPr>
            </w:pPr>
            <w:r>
              <w:rPr>
                <w:sz w:val="24"/>
                <w:szCs w:val="24"/>
              </w:rPr>
              <w:t>Drug-susceptibility results</w:t>
            </w:r>
          </w:p>
        </w:tc>
        <w:tc>
          <w:tcPr>
            <w:tcW w:w="1613" w:type="dxa"/>
            <w:vAlign w:val="center"/>
          </w:tcPr>
          <w:p w:rsidR="003A49F6" w:rsidRDefault="003A49F6" w:rsidP="00416420">
            <w:pPr>
              <w:jc w:val="center"/>
              <w:rPr>
                <w:b/>
                <w:sz w:val="24"/>
                <w:szCs w:val="24"/>
              </w:rPr>
            </w:pPr>
            <w:r>
              <w:rPr>
                <w:b/>
                <w:sz w:val="24"/>
                <w:szCs w:val="24"/>
              </w:rPr>
              <w:t>100.0</w:t>
            </w:r>
          </w:p>
        </w:tc>
        <w:tc>
          <w:tcPr>
            <w:tcW w:w="1890" w:type="dxa"/>
            <w:vAlign w:val="center"/>
          </w:tcPr>
          <w:p w:rsidR="003A49F6" w:rsidRDefault="003A49F6" w:rsidP="00416420">
            <w:pPr>
              <w:jc w:val="center"/>
              <w:rPr>
                <w:sz w:val="24"/>
                <w:szCs w:val="24"/>
              </w:rPr>
            </w:pPr>
            <w:r>
              <w:rPr>
                <w:sz w:val="24"/>
                <w:szCs w:val="24"/>
              </w:rPr>
              <w:t>98.9 (unmet)</w:t>
            </w:r>
          </w:p>
        </w:tc>
        <w:tc>
          <w:tcPr>
            <w:tcW w:w="1890" w:type="dxa"/>
            <w:vAlign w:val="center"/>
          </w:tcPr>
          <w:p w:rsidR="003A49F6" w:rsidRDefault="003A49F6" w:rsidP="008D1B20">
            <w:pPr>
              <w:jc w:val="center"/>
              <w:rPr>
                <w:sz w:val="24"/>
                <w:szCs w:val="24"/>
              </w:rPr>
            </w:pPr>
            <w:r>
              <w:rPr>
                <w:sz w:val="24"/>
                <w:szCs w:val="24"/>
              </w:rPr>
              <w:t>86.</w:t>
            </w:r>
            <w:r w:rsidR="008D1B20">
              <w:rPr>
                <w:sz w:val="24"/>
                <w:szCs w:val="24"/>
              </w:rPr>
              <w:t>2</w:t>
            </w:r>
            <w:r>
              <w:rPr>
                <w:sz w:val="24"/>
                <w:szCs w:val="24"/>
              </w:rPr>
              <w:t xml:space="preserve"> (unmet)</w:t>
            </w:r>
          </w:p>
        </w:tc>
        <w:tc>
          <w:tcPr>
            <w:tcW w:w="5148" w:type="dxa"/>
          </w:tcPr>
          <w:p w:rsidR="003A49F6" w:rsidRPr="006A6419" w:rsidRDefault="003A49F6" w:rsidP="00DB5C0E">
            <w:pPr>
              <w:rPr>
                <w:sz w:val="24"/>
                <w:szCs w:val="24"/>
              </w:rPr>
            </w:pPr>
            <w:r>
              <w:rPr>
                <w:sz w:val="24"/>
                <w:szCs w:val="24"/>
              </w:rPr>
              <w:t>Delays in or lack of submitting isolates from commercial and other laboratories to the Tennessee Department of Health, Division of Laboratory Services.</w:t>
            </w:r>
          </w:p>
        </w:tc>
      </w:tr>
      <w:tr w:rsidR="003A49F6" w:rsidTr="00E26194">
        <w:tc>
          <w:tcPr>
            <w:tcW w:w="2635" w:type="dxa"/>
            <w:vAlign w:val="center"/>
          </w:tcPr>
          <w:p w:rsidR="003A49F6" w:rsidRDefault="003A49F6" w:rsidP="00E26194">
            <w:pPr>
              <w:rPr>
                <w:sz w:val="24"/>
                <w:szCs w:val="24"/>
              </w:rPr>
            </w:pPr>
            <w:r>
              <w:rPr>
                <w:sz w:val="24"/>
                <w:szCs w:val="24"/>
              </w:rPr>
              <w:t>Universal genotyping</w:t>
            </w:r>
          </w:p>
        </w:tc>
        <w:tc>
          <w:tcPr>
            <w:tcW w:w="1613" w:type="dxa"/>
            <w:vAlign w:val="center"/>
          </w:tcPr>
          <w:p w:rsidR="003A49F6" w:rsidRDefault="003A49F6" w:rsidP="00416420">
            <w:pPr>
              <w:jc w:val="center"/>
              <w:rPr>
                <w:b/>
                <w:sz w:val="24"/>
                <w:szCs w:val="24"/>
              </w:rPr>
            </w:pPr>
            <w:r>
              <w:rPr>
                <w:b/>
                <w:sz w:val="24"/>
                <w:szCs w:val="24"/>
              </w:rPr>
              <w:t>100.0</w:t>
            </w:r>
          </w:p>
        </w:tc>
        <w:tc>
          <w:tcPr>
            <w:tcW w:w="1890" w:type="dxa"/>
            <w:vAlign w:val="center"/>
          </w:tcPr>
          <w:p w:rsidR="003A49F6" w:rsidRDefault="003A49F6" w:rsidP="00416420">
            <w:pPr>
              <w:jc w:val="center"/>
              <w:rPr>
                <w:sz w:val="24"/>
                <w:szCs w:val="24"/>
              </w:rPr>
            </w:pPr>
            <w:r>
              <w:rPr>
                <w:sz w:val="24"/>
                <w:szCs w:val="24"/>
              </w:rPr>
              <w:t>97.8 (unmet)</w:t>
            </w:r>
          </w:p>
        </w:tc>
        <w:tc>
          <w:tcPr>
            <w:tcW w:w="1890" w:type="dxa"/>
            <w:vAlign w:val="center"/>
          </w:tcPr>
          <w:p w:rsidR="003A49F6" w:rsidRDefault="003A49F6" w:rsidP="008D1B20">
            <w:pPr>
              <w:jc w:val="center"/>
              <w:rPr>
                <w:sz w:val="24"/>
                <w:szCs w:val="24"/>
              </w:rPr>
            </w:pPr>
            <w:r>
              <w:rPr>
                <w:sz w:val="24"/>
                <w:szCs w:val="24"/>
              </w:rPr>
              <w:t>86.</w:t>
            </w:r>
            <w:r w:rsidR="008D1B20">
              <w:rPr>
                <w:sz w:val="24"/>
                <w:szCs w:val="24"/>
              </w:rPr>
              <w:t>2</w:t>
            </w:r>
            <w:r>
              <w:rPr>
                <w:sz w:val="24"/>
                <w:szCs w:val="24"/>
              </w:rPr>
              <w:t xml:space="preserve"> (unmet)</w:t>
            </w:r>
          </w:p>
        </w:tc>
        <w:tc>
          <w:tcPr>
            <w:tcW w:w="5148" w:type="dxa"/>
          </w:tcPr>
          <w:p w:rsidR="003A49F6" w:rsidRPr="006A6419" w:rsidRDefault="003A49F6" w:rsidP="00DB5C0E">
            <w:pPr>
              <w:rPr>
                <w:sz w:val="24"/>
                <w:szCs w:val="24"/>
              </w:rPr>
            </w:pPr>
            <w:r>
              <w:rPr>
                <w:sz w:val="24"/>
                <w:szCs w:val="24"/>
              </w:rPr>
              <w:t>Delays in or lack of submitting isolates from commercial and other laboratories to the Tennessee Department of Health, Division of Laboratory Services.</w:t>
            </w:r>
          </w:p>
        </w:tc>
      </w:tr>
      <w:tr w:rsidR="00E26194" w:rsidTr="00E26194">
        <w:tc>
          <w:tcPr>
            <w:tcW w:w="2635" w:type="dxa"/>
            <w:vAlign w:val="center"/>
          </w:tcPr>
          <w:p w:rsidR="00E26194" w:rsidRDefault="00E26194" w:rsidP="00E26194">
            <w:pPr>
              <w:rPr>
                <w:sz w:val="24"/>
                <w:szCs w:val="24"/>
              </w:rPr>
            </w:pPr>
            <w:r>
              <w:rPr>
                <w:sz w:val="24"/>
                <w:szCs w:val="24"/>
              </w:rPr>
              <w:t>Examination initiation Immigrants &amp; refugees</w:t>
            </w:r>
          </w:p>
        </w:tc>
        <w:tc>
          <w:tcPr>
            <w:tcW w:w="1613" w:type="dxa"/>
            <w:vAlign w:val="center"/>
          </w:tcPr>
          <w:p w:rsidR="00E26194" w:rsidRDefault="00E26194" w:rsidP="00416420">
            <w:pPr>
              <w:jc w:val="center"/>
              <w:rPr>
                <w:b/>
                <w:sz w:val="24"/>
                <w:szCs w:val="24"/>
              </w:rPr>
            </w:pPr>
            <w:r>
              <w:rPr>
                <w:b/>
                <w:sz w:val="24"/>
                <w:szCs w:val="24"/>
              </w:rPr>
              <w:t>84.0</w:t>
            </w:r>
          </w:p>
        </w:tc>
        <w:tc>
          <w:tcPr>
            <w:tcW w:w="1890" w:type="dxa"/>
            <w:vAlign w:val="center"/>
          </w:tcPr>
          <w:p w:rsidR="00E26194" w:rsidRDefault="00E26194" w:rsidP="00416420">
            <w:pPr>
              <w:jc w:val="center"/>
              <w:rPr>
                <w:sz w:val="24"/>
                <w:szCs w:val="24"/>
              </w:rPr>
            </w:pPr>
            <w:r>
              <w:rPr>
                <w:sz w:val="24"/>
                <w:szCs w:val="24"/>
              </w:rPr>
              <w:t>60.8 (unmet)</w:t>
            </w:r>
          </w:p>
        </w:tc>
        <w:tc>
          <w:tcPr>
            <w:tcW w:w="1890" w:type="dxa"/>
            <w:vAlign w:val="center"/>
          </w:tcPr>
          <w:p w:rsidR="00E26194" w:rsidRDefault="00C41F46" w:rsidP="00EA478A">
            <w:pPr>
              <w:jc w:val="center"/>
              <w:rPr>
                <w:sz w:val="24"/>
                <w:szCs w:val="24"/>
              </w:rPr>
            </w:pPr>
            <w:r>
              <w:rPr>
                <w:sz w:val="24"/>
                <w:szCs w:val="24"/>
              </w:rPr>
              <w:t>59.9</w:t>
            </w:r>
            <w:r w:rsidR="00E26194">
              <w:rPr>
                <w:sz w:val="24"/>
                <w:szCs w:val="24"/>
              </w:rPr>
              <w:t xml:space="preserve"> (unmet)</w:t>
            </w:r>
          </w:p>
        </w:tc>
        <w:tc>
          <w:tcPr>
            <w:tcW w:w="5148" w:type="dxa"/>
            <w:vMerge w:val="restart"/>
          </w:tcPr>
          <w:p w:rsidR="00E26194" w:rsidRPr="006A6419" w:rsidRDefault="006D39D5" w:rsidP="00B07043">
            <w:pPr>
              <w:rPr>
                <w:sz w:val="24"/>
                <w:szCs w:val="24"/>
              </w:rPr>
            </w:pPr>
            <w:r>
              <w:rPr>
                <w:sz w:val="24"/>
                <w:szCs w:val="24"/>
              </w:rPr>
              <w:t>Difficulty in locating immigrants and refugees that arrived in Tennessee.  Transportation is often a barrier for immigrants and refugees to initiate and complete the evaluation.  One metropolitan region is partnering with a large refugee family health center to initiate evaluations on-site to reduce the number of clinician visits.  Length of treatment (9-months of INH or 4-months of RIF) is also a barrier so regional TB programs are encouraged to use the 3HP short course regimen.</w:t>
            </w:r>
          </w:p>
        </w:tc>
      </w:tr>
      <w:tr w:rsidR="00E26194" w:rsidTr="00E26194">
        <w:tc>
          <w:tcPr>
            <w:tcW w:w="2635" w:type="dxa"/>
            <w:vAlign w:val="center"/>
          </w:tcPr>
          <w:p w:rsidR="00E26194" w:rsidRDefault="00E26194" w:rsidP="00E26194">
            <w:pPr>
              <w:rPr>
                <w:sz w:val="24"/>
                <w:szCs w:val="24"/>
              </w:rPr>
            </w:pPr>
            <w:r>
              <w:rPr>
                <w:sz w:val="24"/>
                <w:szCs w:val="24"/>
              </w:rPr>
              <w:t>Examination completion</w:t>
            </w:r>
          </w:p>
          <w:p w:rsidR="00E26194" w:rsidRDefault="00E26194" w:rsidP="00E26194">
            <w:pPr>
              <w:rPr>
                <w:sz w:val="24"/>
                <w:szCs w:val="24"/>
              </w:rPr>
            </w:pPr>
            <w:r>
              <w:rPr>
                <w:sz w:val="24"/>
                <w:szCs w:val="24"/>
              </w:rPr>
              <w:t>Immigrants &amp; refugees</w:t>
            </w:r>
          </w:p>
        </w:tc>
        <w:tc>
          <w:tcPr>
            <w:tcW w:w="1613" w:type="dxa"/>
            <w:vAlign w:val="center"/>
          </w:tcPr>
          <w:p w:rsidR="00E26194" w:rsidRDefault="00E26194" w:rsidP="00416420">
            <w:pPr>
              <w:jc w:val="center"/>
              <w:rPr>
                <w:b/>
                <w:sz w:val="24"/>
                <w:szCs w:val="24"/>
              </w:rPr>
            </w:pPr>
            <w:r>
              <w:rPr>
                <w:b/>
                <w:sz w:val="24"/>
                <w:szCs w:val="24"/>
              </w:rPr>
              <w:t>76.0</w:t>
            </w:r>
          </w:p>
        </w:tc>
        <w:tc>
          <w:tcPr>
            <w:tcW w:w="1890" w:type="dxa"/>
            <w:vAlign w:val="center"/>
          </w:tcPr>
          <w:p w:rsidR="00E26194" w:rsidRDefault="00E26194" w:rsidP="00416420">
            <w:pPr>
              <w:jc w:val="center"/>
              <w:rPr>
                <w:sz w:val="24"/>
                <w:szCs w:val="24"/>
              </w:rPr>
            </w:pPr>
            <w:r>
              <w:rPr>
                <w:sz w:val="24"/>
                <w:szCs w:val="24"/>
              </w:rPr>
              <w:t>56.3 (unmet)</w:t>
            </w:r>
          </w:p>
        </w:tc>
        <w:tc>
          <w:tcPr>
            <w:tcW w:w="1890" w:type="dxa"/>
            <w:vAlign w:val="center"/>
          </w:tcPr>
          <w:p w:rsidR="00E26194" w:rsidRDefault="00C41F46" w:rsidP="00EA478A">
            <w:pPr>
              <w:jc w:val="center"/>
              <w:rPr>
                <w:sz w:val="24"/>
                <w:szCs w:val="24"/>
              </w:rPr>
            </w:pPr>
            <w:r>
              <w:rPr>
                <w:sz w:val="24"/>
                <w:szCs w:val="24"/>
              </w:rPr>
              <w:t>46.0</w:t>
            </w:r>
            <w:r w:rsidR="00E26194">
              <w:rPr>
                <w:sz w:val="24"/>
                <w:szCs w:val="24"/>
              </w:rPr>
              <w:t xml:space="preserve"> (unmet)</w:t>
            </w:r>
          </w:p>
        </w:tc>
        <w:tc>
          <w:tcPr>
            <w:tcW w:w="5148" w:type="dxa"/>
            <w:vMerge/>
          </w:tcPr>
          <w:p w:rsidR="00E26194" w:rsidRPr="006A6419" w:rsidRDefault="00E26194" w:rsidP="00B07043">
            <w:pPr>
              <w:rPr>
                <w:sz w:val="24"/>
                <w:szCs w:val="24"/>
              </w:rPr>
            </w:pPr>
          </w:p>
        </w:tc>
      </w:tr>
      <w:tr w:rsidR="00E26194" w:rsidTr="00E26194">
        <w:tc>
          <w:tcPr>
            <w:tcW w:w="2635" w:type="dxa"/>
            <w:vAlign w:val="center"/>
          </w:tcPr>
          <w:p w:rsidR="00E26194" w:rsidRDefault="00E26194" w:rsidP="00E26194">
            <w:pPr>
              <w:rPr>
                <w:sz w:val="24"/>
                <w:szCs w:val="24"/>
              </w:rPr>
            </w:pPr>
            <w:r>
              <w:rPr>
                <w:sz w:val="24"/>
                <w:szCs w:val="24"/>
              </w:rPr>
              <w:t>LTBI treatment initiation</w:t>
            </w:r>
          </w:p>
          <w:p w:rsidR="00E26194" w:rsidRDefault="00E26194" w:rsidP="00E26194">
            <w:pPr>
              <w:rPr>
                <w:sz w:val="24"/>
                <w:szCs w:val="24"/>
              </w:rPr>
            </w:pPr>
            <w:r>
              <w:rPr>
                <w:sz w:val="24"/>
                <w:szCs w:val="24"/>
              </w:rPr>
              <w:t>Immigrants &amp; refugees</w:t>
            </w:r>
          </w:p>
        </w:tc>
        <w:tc>
          <w:tcPr>
            <w:tcW w:w="1613" w:type="dxa"/>
            <w:vAlign w:val="center"/>
          </w:tcPr>
          <w:p w:rsidR="00E26194" w:rsidRDefault="00E26194" w:rsidP="00416420">
            <w:pPr>
              <w:jc w:val="center"/>
              <w:rPr>
                <w:b/>
                <w:sz w:val="24"/>
                <w:szCs w:val="24"/>
              </w:rPr>
            </w:pPr>
            <w:r>
              <w:rPr>
                <w:b/>
                <w:sz w:val="24"/>
                <w:szCs w:val="24"/>
              </w:rPr>
              <w:t>93.0</w:t>
            </w:r>
          </w:p>
        </w:tc>
        <w:tc>
          <w:tcPr>
            <w:tcW w:w="1890" w:type="dxa"/>
            <w:vAlign w:val="center"/>
          </w:tcPr>
          <w:p w:rsidR="00E26194" w:rsidRDefault="00E26194" w:rsidP="00416420">
            <w:pPr>
              <w:jc w:val="center"/>
              <w:rPr>
                <w:sz w:val="24"/>
                <w:szCs w:val="24"/>
              </w:rPr>
            </w:pPr>
            <w:r>
              <w:rPr>
                <w:sz w:val="24"/>
                <w:szCs w:val="24"/>
              </w:rPr>
              <w:t>66.7 (unmet)</w:t>
            </w:r>
          </w:p>
        </w:tc>
        <w:tc>
          <w:tcPr>
            <w:tcW w:w="1890" w:type="dxa"/>
            <w:vAlign w:val="center"/>
          </w:tcPr>
          <w:p w:rsidR="00E26194" w:rsidRDefault="00C41F46" w:rsidP="00416420">
            <w:pPr>
              <w:jc w:val="center"/>
              <w:rPr>
                <w:sz w:val="24"/>
                <w:szCs w:val="24"/>
              </w:rPr>
            </w:pPr>
            <w:r>
              <w:rPr>
                <w:sz w:val="24"/>
                <w:szCs w:val="24"/>
              </w:rPr>
              <w:t>68.2</w:t>
            </w:r>
            <w:r w:rsidR="00E26194">
              <w:rPr>
                <w:sz w:val="24"/>
                <w:szCs w:val="24"/>
              </w:rPr>
              <w:t xml:space="preserve"> (unmet)</w:t>
            </w:r>
          </w:p>
        </w:tc>
        <w:tc>
          <w:tcPr>
            <w:tcW w:w="5148" w:type="dxa"/>
            <w:vMerge/>
          </w:tcPr>
          <w:p w:rsidR="00E26194" w:rsidRPr="006A6419" w:rsidRDefault="00E26194" w:rsidP="00B07043">
            <w:pPr>
              <w:rPr>
                <w:sz w:val="24"/>
                <w:szCs w:val="24"/>
              </w:rPr>
            </w:pPr>
          </w:p>
        </w:tc>
      </w:tr>
      <w:tr w:rsidR="00E26194" w:rsidTr="00E26194">
        <w:tc>
          <w:tcPr>
            <w:tcW w:w="2635" w:type="dxa"/>
            <w:vAlign w:val="center"/>
          </w:tcPr>
          <w:p w:rsidR="00E26194" w:rsidRDefault="00E26194" w:rsidP="00E26194">
            <w:pPr>
              <w:rPr>
                <w:sz w:val="24"/>
                <w:szCs w:val="24"/>
              </w:rPr>
            </w:pPr>
            <w:r>
              <w:rPr>
                <w:sz w:val="24"/>
                <w:szCs w:val="24"/>
              </w:rPr>
              <w:t>LTBI treatment completion</w:t>
            </w:r>
          </w:p>
          <w:p w:rsidR="00E26194" w:rsidRDefault="00E26194" w:rsidP="00E26194">
            <w:pPr>
              <w:rPr>
                <w:sz w:val="24"/>
                <w:szCs w:val="24"/>
              </w:rPr>
            </w:pPr>
            <w:r>
              <w:rPr>
                <w:sz w:val="24"/>
                <w:szCs w:val="24"/>
              </w:rPr>
              <w:t>Immigrants &amp; refugees</w:t>
            </w:r>
          </w:p>
        </w:tc>
        <w:tc>
          <w:tcPr>
            <w:tcW w:w="1613" w:type="dxa"/>
            <w:vAlign w:val="center"/>
          </w:tcPr>
          <w:p w:rsidR="00E26194" w:rsidRDefault="00E26194" w:rsidP="00416420">
            <w:pPr>
              <w:jc w:val="center"/>
              <w:rPr>
                <w:b/>
                <w:sz w:val="24"/>
                <w:szCs w:val="24"/>
              </w:rPr>
            </w:pPr>
            <w:r>
              <w:rPr>
                <w:b/>
                <w:sz w:val="24"/>
                <w:szCs w:val="24"/>
              </w:rPr>
              <w:t>98.0</w:t>
            </w:r>
          </w:p>
        </w:tc>
        <w:tc>
          <w:tcPr>
            <w:tcW w:w="1890" w:type="dxa"/>
            <w:vAlign w:val="center"/>
          </w:tcPr>
          <w:p w:rsidR="00E26194" w:rsidRDefault="00E26194" w:rsidP="00416420">
            <w:pPr>
              <w:jc w:val="center"/>
              <w:rPr>
                <w:sz w:val="24"/>
                <w:szCs w:val="24"/>
              </w:rPr>
            </w:pPr>
            <w:r>
              <w:rPr>
                <w:sz w:val="24"/>
                <w:szCs w:val="24"/>
              </w:rPr>
              <w:t>60.0 (unmet)</w:t>
            </w:r>
          </w:p>
        </w:tc>
        <w:tc>
          <w:tcPr>
            <w:tcW w:w="1890" w:type="dxa"/>
            <w:vAlign w:val="center"/>
          </w:tcPr>
          <w:p w:rsidR="00E26194" w:rsidRDefault="00E26194" w:rsidP="00416420">
            <w:pPr>
              <w:jc w:val="center"/>
              <w:rPr>
                <w:sz w:val="24"/>
                <w:szCs w:val="24"/>
              </w:rPr>
            </w:pPr>
            <w:r>
              <w:rPr>
                <w:sz w:val="24"/>
                <w:szCs w:val="24"/>
              </w:rPr>
              <w:t>0.0 (unmet)</w:t>
            </w:r>
          </w:p>
        </w:tc>
        <w:tc>
          <w:tcPr>
            <w:tcW w:w="5148" w:type="dxa"/>
            <w:vMerge/>
          </w:tcPr>
          <w:p w:rsidR="00E26194" w:rsidRPr="006A6419" w:rsidRDefault="00E26194" w:rsidP="00B07043">
            <w:pPr>
              <w:rPr>
                <w:sz w:val="24"/>
                <w:szCs w:val="24"/>
              </w:rPr>
            </w:pPr>
          </w:p>
        </w:tc>
      </w:tr>
      <w:tr w:rsidR="006148EF" w:rsidTr="00E26194">
        <w:tc>
          <w:tcPr>
            <w:tcW w:w="2635" w:type="dxa"/>
            <w:vAlign w:val="center"/>
          </w:tcPr>
          <w:p w:rsidR="006148EF" w:rsidRDefault="006148EF" w:rsidP="00E26194">
            <w:pPr>
              <w:rPr>
                <w:sz w:val="24"/>
                <w:szCs w:val="24"/>
              </w:rPr>
            </w:pPr>
            <w:r>
              <w:rPr>
                <w:sz w:val="24"/>
                <w:szCs w:val="24"/>
              </w:rPr>
              <w:t>Data reporting—RVCT</w:t>
            </w:r>
          </w:p>
        </w:tc>
        <w:tc>
          <w:tcPr>
            <w:tcW w:w="1613" w:type="dxa"/>
            <w:vAlign w:val="center"/>
          </w:tcPr>
          <w:p w:rsidR="006148EF" w:rsidRDefault="006148EF" w:rsidP="00416420">
            <w:pPr>
              <w:jc w:val="center"/>
              <w:rPr>
                <w:b/>
                <w:sz w:val="24"/>
                <w:szCs w:val="24"/>
              </w:rPr>
            </w:pPr>
            <w:r>
              <w:rPr>
                <w:b/>
                <w:sz w:val="24"/>
                <w:szCs w:val="24"/>
              </w:rPr>
              <w:t>100.0</w:t>
            </w:r>
          </w:p>
        </w:tc>
        <w:tc>
          <w:tcPr>
            <w:tcW w:w="1890" w:type="dxa"/>
            <w:vAlign w:val="center"/>
          </w:tcPr>
          <w:p w:rsidR="006148EF" w:rsidRDefault="006148EF" w:rsidP="00EA478A">
            <w:pPr>
              <w:jc w:val="center"/>
              <w:rPr>
                <w:sz w:val="24"/>
                <w:szCs w:val="24"/>
              </w:rPr>
            </w:pPr>
            <w:r>
              <w:rPr>
                <w:sz w:val="24"/>
                <w:szCs w:val="24"/>
              </w:rPr>
              <w:t>99.</w:t>
            </w:r>
            <w:r w:rsidR="00EA478A">
              <w:rPr>
                <w:sz w:val="24"/>
                <w:szCs w:val="24"/>
              </w:rPr>
              <w:t>8</w:t>
            </w:r>
            <w:r>
              <w:rPr>
                <w:sz w:val="24"/>
                <w:szCs w:val="24"/>
              </w:rPr>
              <w:t xml:space="preserve"> (unmet)</w:t>
            </w:r>
          </w:p>
        </w:tc>
        <w:tc>
          <w:tcPr>
            <w:tcW w:w="1890" w:type="dxa"/>
            <w:vAlign w:val="center"/>
          </w:tcPr>
          <w:p w:rsidR="006148EF" w:rsidRDefault="008D1B20" w:rsidP="00C41F46">
            <w:pPr>
              <w:jc w:val="center"/>
              <w:rPr>
                <w:sz w:val="24"/>
                <w:szCs w:val="24"/>
              </w:rPr>
            </w:pPr>
            <w:r>
              <w:rPr>
                <w:sz w:val="24"/>
                <w:szCs w:val="24"/>
              </w:rPr>
              <w:t>88.5</w:t>
            </w:r>
            <w:r w:rsidR="006148EF">
              <w:rPr>
                <w:sz w:val="24"/>
                <w:szCs w:val="24"/>
              </w:rPr>
              <w:t xml:space="preserve"> (unmet)</w:t>
            </w:r>
          </w:p>
        </w:tc>
        <w:tc>
          <w:tcPr>
            <w:tcW w:w="5148" w:type="dxa"/>
          </w:tcPr>
          <w:p w:rsidR="006148EF" w:rsidRPr="006A6419" w:rsidRDefault="00496EF9" w:rsidP="00B07043">
            <w:pPr>
              <w:rPr>
                <w:sz w:val="24"/>
                <w:szCs w:val="24"/>
              </w:rPr>
            </w:pPr>
            <w:r>
              <w:rPr>
                <w:sz w:val="24"/>
                <w:szCs w:val="24"/>
              </w:rPr>
              <w:t>Staff turnover and retention has affected timely data entry.  Central office staff assist with data entry whenever possible.</w:t>
            </w:r>
          </w:p>
        </w:tc>
      </w:tr>
      <w:tr w:rsidR="006148EF" w:rsidTr="00E26194">
        <w:tc>
          <w:tcPr>
            <w:tcW w:w="2635" w:type="dxa"/>
            <w:vAlign w:val="center"/>
          </w:tcPr>
          <w:p w:rsidR="006148EF" w:rsidRDefault="006148EF" w:rsidP="00496EF9">
            <w:pPr>
              <w:rPr>
                <w:sz w:val="24"/>
                <w:szCs w:val="24"/>
              </w:rPr>
            </w:pPr>
            <w:r>
              <w:rPr>
                <w:sz w:val="24"/>
                <w:szCs w:val="24"/>
              </w:rPr>
              <w:t>Dat</w:t>
            </w:r>
            <w:r w:rsidR="00496EF9">
              <w:rPr>
                <w:sz w:val="24"/>
                <w:szCs w:val="24"/>
              </w:rPr>
              <w:t>a</w:t>
            </w:r>
            <w:r>
              <w:rPr>
                <w:sz w:val="24"/>
                <w:szCs w:val="24"/>
              </w:rPr>
              <w:t xml:space="preserve"> reporting—ARPEs</w:t>
            </w:r>
          </w:p>
        </w:tc>
        <w:tc>
          <w:tcPr>
            <w:tcW w:w="1613" w:type="dxa"/>
            <w:vAlign w:val="center"/>
          </w:tcPr>
          <w:p w:rsidR="006148EF" w:rsidRDefault="006148EF" w:rsidP="00416420">
            <w:pPr>
              <w:jc w:val="center"/>
              <w:rPr>
                <w:b/>
                <w:sz w:val="24"/>
                <w:szCs w:val="24"/>
              </w:rPr>
            </w:pPr>
            <w:r>
              <w:rPr>
                <w:b/>
                <w:sz w:val="24"/>
                <w:szCs w:val="24"/>
              </w:rPr>
              <w:t>100.0</w:t>
            </w:r>
          </w:p>
        </w:tc>
        <w:tc>
          <w:tcPr>
            <w:tcW w:w="1890" w:type="dxa"/>
            <w:vAlign w:val="center"/>
          </w:tcPr>
          <w:p w:rsidR="006148EF" w:rsidRDefault="006148EF" w:rsidP="00416420">
            <w:pPr>
              <w:jc w:val="center"/>
              <w:rPr>
                <w:sz w:val="24"/>
                <w:szCs w:val="24"/>
              </w:rPr>
            </w:pPr>
            <w:r>
              <w:rPr>
                <w:sz w:val="24"/>
                <w:szCs w:val="24"/>
              </w:rPr>
              <w:t>88.9 (unmet)</w:t>
            </w:r>
          </w:p>
        </w:tc>
        <w:tc>
          <w:tcPr>
            <w:tcW w:w="1890" w:type="dxa"/>
            <w:vAlign w:val="center"/>
          </w:tcPr>
          <w:p w:rsidR="006148EF" w:rsidRDefault="006148EF" w:rsidP="006148EF">
            <w:pPr>
              <w:jc w:val="center"/>
              <w:rPr>
                <w:sz w:val="24"/>
                <w:szCs w:val="24"/>
              </w:rPr>
            </w:pPr>
            <w:r>
              <w:rPr>
                <w:sz w:val="24"/>
                <w:szCs w:val="24"/>
              </w:rPr>
              <w:t>NA</w:t>
            </w:r>
          </w:p>
        </w:tc>
        <w:tc>
          <w:tcPr>
            <w:tcW w:w="5148" w:type="dxa"/>
          </w:tcPr>
          <w:p w:rsidR="006148EF" w:rsidRPr="006A6419" w:rsidRDefault="00496EF9" w:rsidP="00B07043">
            <w:pPr>
              <w:rPr>
                <w:sz w:val="24"/>
                <w:szCs w:val="24"/>
              </w:rPr>
            </w:pPr>
            <w:r>
              <w:rPr>
                <w:sz w:val="24"/>
                <w:szCs w:val="24"/>
              </w:rPr>
              <w:t>Staff turnover has decreased the familiarity with the ARPE and completion of ARPE.  Incomplete contact investigations have also affected data reporting on the ARPEs.</w:t>
            </w:r>
          </w:p>
        </w:tc>
      </w:tr>
      <w:tr w:rsidR="006148EF" w:rsidTr="00E26194">
        <w:tc>
          <w:tcPr>
            <w:tcW w:w="2635" w:type="dxa"/>
            <w:vAlign w:val="center"/>
          </w:tcPr>
          <w:p w:rsidR="006148EF" w:rsidRDefault="006148EF" w:rsidP="00E26194">
            <w:pPr>
              <w:rPr>
                <w:sz w:val="24"/>
                <w:szCs w:val="24"/>
              </w:rPr>
            </w:pPr>
            <w:r>
              <w:rPr>
                <w:sz w:val="24"/>
                <w:szCs w:val="24"/>
              </w:rPr>
              <w:t>Data reporting—EDN</w:t>
            </w:r>
          </w:p>
        </w:tc>
        <w:tc>
          <w:tcPr>
            <w:tcW w:w="1613" w:type="dxa"/>
            <w:vAlign w:val="center"/>
          </w:tcPr>
          <w:p w:rsidR="006148EF" w:rsidRDefault="006148EF" w:rsidP="00416420">
            <w:pPr>
              <w:jc w:val="center"/>
              <w:rPr>
                <w:b/>
                <w:sz w:val="24"/>
                <w:szCs w:val="24"/>
              </w:rPr>
            </w:pPr>
            <w:r>
              <w:rPr>
                <w:b/>
                <w:sz w:val="24"/>
                <w:szCs w:val="24"/>
              </w:rPr>
              <w:t>93.0</w:t>
            </w:r>
          </w:p>
        </w:tc>
        <w:tc>
          <w:tcPr>
            <w:tcW w:w="1890" w:type="dxa"/>
            <w:vAlign w:val="center"/>
          </w:tcPr>
          <w:p w:rsidR="006148EF" w:rsidRDefault="00EA478A" w:rsidP="00416420">
            <w:pPr>
              <w:jc w:val="center"/>
              <w:rPr>
                <w:sz w:val="24"/>
                <w:szCs w:val="24"/>
              </w:rPr>
            </w:pPr>
            <w:r>
              <w:rPr>
                <w:sz w:val="24"/>
                <w:szCs w:val="24"/>
              </w:rPr>
              <w:t xml:space="preserve">87.0 </w:t>
            </w:r>
            <w:r w:rsidR="006148EF">
              <w:rPr>
                <w:sz w:val="24"/>
                <w:szCs w:val="24"/>
              </w:rPr>
              <w:t>(unmet)</w:t>
            </w:r>
          </w:p>
        </w:tc>
        <w:tc>
          <w:tcPr>
            <w:tcW w:w="1890" w:type="dxa"/>
            <w:vAlign w:val="center"/>
          </w:tcPr>
          <w:p w:rsidR="006148EF" w:rsidRDefault="00C41F46" w:rsidP="008F7968">
            <w:pPr>
              <w:jc w:val="center"/>
              <w:rPr>
                <w:sz w:val="24"/>
                <w:szCs w:val="24"/>
              </w:rPr>
            </w:pPr>
            <w:r>
              <w:rPr>
                <w:sz w:val="24"/>
                <w:szCs w:val="24"/>
              </w:rPr>
              <w:t>64.5</w:t>
            </w:r>
            <w:r w:rsidR="006148EF">
              <w:rPr>
                <w:sz w:val="24"/>
                <w:szCs w:val="24"/>
              </w:rPr>
              <w:t xml:space="preserve"> (unmet)</w:t>
            </w:r>
          </w:p>
        </w:tc>
        <w:tc>
          <w:tcPr>
            <w:tcW w:w="5148" w:type="dxa"/>
          </w:tcPr>
          <w:p w:rsidR="006148EF" w:rsidRPr="006A6419" w:rsidRDefault="00496EF9" w:rsidP="00496EF9">
            <w:pPr>
              <w:rPr>
                <w:sz w:val="24"/>
                <w:szCs w:val="24"/>
              </w:rPr>
            </w:pPr>
            <w:r>
              <w:rPr>
                <w:sz w:val="24"/>
                <w:szCs w:val="24"/>
              </w:rPr>
              <w:t>Delays in locating and evaluating B-notifications have resulted in delays with data reporting in EDN.  Lack of familiarity of staff with the EDN form and variables have affected this objective.</w:t>
            </w:r>
          </w:p>
        </w:tc>
      </w:tr>
      <w:tr w:rsidR="00E26194" w:rsidTr="00F37230">
        <w:tc>
          <w:tcPr>
            <w:tcW w:w="2635" w:type="dxa"/>
            <w:vAlign w:val="center"/>
          </w:tcPr>
          <w:p w:rsidR="00E26194" w:rsidRDefault="00E26194" w:rsidP="00E26194">
            <w:pPr>
              <w:rPr>
                <w:sz w:val="24"/>
                <w:szCs w:val="24"/>
              </w:rPr>
            </w:pPr>
            <w:r>
              <w:rPr>
                <w:sz w:val="24"/>
                <w:szCs w:val="24"/>
              </w:rPr>
              <w:t>Contact elicitation—Contact investigation</w:t>
            </w:r>
          </w:p>
        </w:tc>
        <w:tc>
          <w:tcPr>
            <w:tcW w:w="1613" w:type="dxa"/>
            <w:vAlign w:val="center"/>
          </w:tcPr>
          <w:p w:rsidR="00E26194" w:rsidRDefault="00E26194" w:rsidP="00416420">
            <w:pPr>
              <w:jc w:val="center"/>
              <w:rPr>
                <w:b/>
                <w:sz w:val="24"/>
                <w:szCs w:val="24"/>
              </w:rPr>
            </w:pPr>
            <w:r>
              <w:rPr>
                <w:b/>
                <w:sz w:val="24"/>
                <w:szCs w:val="24"/>
              </w:rPr>
              <w:t>100.0</w:t>
            </w:r>
          </w:p>
        </w:tc>
        <w:tc>
          <w:tcPr>
            <w:tcW w:w="1890" w:type="dxa"/>
            <w:vAlign w:val="center"/>
          </w:tcPr>
          <w:p w:rsidR="00E26194" w:rsidRDefault="00E26194" w:rsidP="00416420">
            <w:pPr>
              <w:jc w:val="center"/>
              <w:rPr>
                <w:sz w:val="24"/>
                <w:szCs w:val="24"/>
              </w:rPr>
            </w:pPr>
            <w:r>
              <w:rPr>
                <w:sz w:val="24"/>
                <w:szCs w:val="24"/>
              </w:rPr>
              <w:t>100.0 (met)</w:t>
            </w:r>
          </w:p>
        </w:tc>
        <w:tc>
          <w:tcPr>
            <w:tcW w:w="1890" w:type="dxa"/>
            <w:vAlign w:val="center"/>
          </w:tcPr>
          <w:p w:rsidR="00E26194" w:rsidRDefault="00E26194" w:rsidP="006148EF">
            <w:pPr>
              <w:jc w:val="center"/>
              <w:rPr>
                <w:sz w:val="24"/>
                <w:szCs w:val="24"/>
              </w:rPr>
            </w:pPr>
            <w:r>
              <w:rPr>
                <w:sz w:val="24"/>
                <w:szCs w:val="24"/>
              </w:rPr>
              <w:t>NA</w:t>
            </w:r>
          </w:p>
        </w:tc>
        <w:tc>
          <w:tcPr>
            <w:tcW w:w="5148" w:type="dxa"/>
            <w:vMerge w:val="restart"/>
            <w:vAlign w:val="center"/>
          </w:tcPr>
          <w:p w:rsidR="00E26194" w:rsidRPr="006A6419" w:rsidRDefault="00F37230" w:rsidP="00F37230">
            <w:pPr>
              <w:rPr>
                <w:sz w:val="24"/>
                <w:szCs w:val="24"/>
              </w:rPr>
            </w:pPr>
            <w:r>
              <w:rPr>
                <w:sz w:val="24"/>
                <w:szCs w:val="24"/>
              </w:rPr>
              <w:t>Lack of willingness of patients to provide information on contacts.  Length of treatment (9-months of INH and 4-months of RIF) and method of delivery (DOT for patients on 3HP) deter some contacts from initiating and completing a TBI regimen.</w:t>
            </w:r>
          </w:p>
        </w:tc>
      </w:tr>
      <w:tr w:rsidR="00E26194" w:rsidTr="00E26194">
        <w:tc>
          <w:tcPr>
            <w:tcW w:w="2635" w:type="dxa"/>
            <w:vAlign w:val="center"/>
          </w:tcPr>
          <w:p w:rsidR="00E26194" w:rsidRDefault="00E26194" w:rsidP="00E26194">
            <w:pPr>
              <w:rPr>
                <w:sz w:val="24"/>
                <w:szCs w:val="24"/>
              </w:rPr>
            </w:pPr>
            <w:r>
              <w:rPr>
                <w:sz w:val="24"/>
                <w:szCs w:val="24"/>
              </w:rPr>
              <w:t>Contact examination—Contact investigation</w:t>
            </w:r>
          </w:p>
        </w:tc>
        <w:tc>
          <w:tcPr>
            <w:tcW w:w="1613" w:type="dxa"/>
            <w:vAlign w:val="center"/>
          </w:tcPr>
          <w:p w:rsidR="00E26194" w:rsidRDefault="00E26194" w:rsidP="00416420">
            <w:pPr>
              <w:jc w:val="center"/>
              <w:rPr>
                <w:b/>
                <w:sz w:val="24"/>
                <w:szCs w:val="24"/>
              </w:rPr>
            </w:pPr>
            <w:r>
              <w:rPr>
                <w:b/>
                <w:sz w:val="24"/>
                <w:szCs w:val="24"/>
              </w:rPr>
              <w:t>93.0</w:t>
            </w:r>
          </w:p>
        </w:tc>
        <w:tc>
          <w:tcPr>
            <w:tcW w:w="1890" w:type="dxa"/>
            <w:vAlign w:val="center"/>
          </w:tcPr>
          <w:p w:rsidR="00E26194" w:rsidRDefault="00E26194" w:rsidP="00416420">
            <w:pPr>
              <w:jc w:val="center"/>
              <w:rPr>
                <w:sz w:val="24"/>
                <w:szCs w:val="24"/>
              </w:rPr>
            </w:pPr>
            <w:r>
              <w:rPr>
                <w:sz w:val="24"/>
                <w:szCs w:val="24"/>
              </w:rPr>
              <w:t>89.8 (unmet)</w:t>
            </w:r>
          </w:p>
        </w:tc>
        <w:tc>
          <w:tcPr>
            <w:tcW w:w="1890" w:type="dxa"/>
            <w:vAlign w:val="center"/>
          </w:tcPr>
          <w:p w:rsidR="00E26194" w:rsidRDefault="00E26194" w:rsidP="006148EF">
            <w:pPr>
              <w:jc w:val="center"/>
              <w:rPr>
                <w:sz w:val="24"/>
                <w:szCs w:val="24"/>
              </w:rPr>
            </w:pPr>
            <w:r>
              <w:rPr>
                <w:sz w:val="24"/>
                <w:szCs w:val="24"/>
              </w:rPr>
              <w:t>NA</w:t>
            </w:r>
          </w:p>
        </w:tc>
        <w:tc>
          <w:tcPr>
            <w:tcW w:w="5148" w:type="dxa"/>
            <w:vMerge/>
          </w:tcPr>
          <w:p w:rsidR="00E26194" w:rsidRPr="006A6419" w:rsidRDefault="00E26194" w:rsidP="00B07043">
            <w:pPr>
              <w:rPr>
                <w:sz w:val="24"/>
                <w:szCs w:val="24"/>
              </w:rPr>
            </w:pPr>
          </w:p>
        </w:tc>
      </w:tr>
      <w:tr w:rsidR="00E26194" w:rsidTr="00E26194">
        <w:tc>
          <w:tcPr>
            <w:tcW w:w="2635" w:type="dxa"/>
            <w:vAlign w:val="center"/>
          </w:tcPr>
          <w:p w:rsidR="00E26194" w:rsidRDefault="00E26194" w:rsidP="00E26194">
            <w:pPr>
              <w:rPr>
                <w:sz w:val="24"/>
                <w:szCs w:val="24"/>
              </w:rPr>
            </w:pPr>
            <w:r>
              <w:rPr>
                <w:sz w:val="24"/>
                <w:szCs w:val="24"/>
              </w:rPr>
              <w:t>LTBI treatment initiation</w:t>
            </w:r>
          </w:p>
          <w:p w:rsidR="00E26194" w:rsidRDefault="00E26194" w:rsidP="00E26194">
            <w:pPr>
              <w:rPr>
                <w:sz w:val="24"/>
                <w:szCs w:val="24"/>
              </w:rPr>
            </w:pPr>
            <w:r>
              <w:rPr>
                <w:sz w:val="24"/>
                <w:szCs w:val="24"/>
              </w:rPr>
              <w:t>Contact investigation</w:t>
            </w:r>
          </w:p>
        </w:tc>
        <w:tc>
          <w:tcPr>
            <w:tcW w:w="1613" w:type="dxa"/>
            <w:vAlign w:val="center"/>
          </w:tcPr>
          <w:p w:rsidR="00E26194" w:rsidRDefault="00E26194" w:rsidP="00416420">
            <w:pPr>
              <w:jc w:val="center"/>
              <w:rPr>
                <w:b/>
                <w:sz w:val="24"/>
                <w:szCs w:val="24"/>
              </w:rPr>
            </w:pPr>
            <w:r>
              <w:rPr>
                <w:b/>
                <w:sz w:val="24"/>
                <w:szCs w:val="24"/>
              </w:rPr>
              <w:t>91.0</w:t>
            </w:r>
          </w:p>
        </w:tc>
        <w:tc>
          <w:tcPr>
            <w:tcW w:w="1890" w:type="dxa"/>
            <w:vAlign w:val="center"/>
          </w:tcPr>
          <w:p w:rsidR="00E26194" w:rsidRDefault="00E26194" w:rsidP="00416420">
            <w:pPr>
              <w:jc w:val="center"/>
              <w:rPr>
                <w:sz w:val="24"/>
                <w:szCs w:val="24"/>
              </w:rPr>
            </w:pPr>
            <w:r>
              <w:rPr>
                <w:sz w:val="24"/>
                <w:szCs w:val="24"/>
              </w:rPr>
              <w:t>79.5 (unmet)</w:t>
            </w:r>
          </w:p>
        </w:tc>
        <w:tc>
          <w:tcPr>
            <w:tcW w:w="1890" w:type="dxa"/>
            <w:vAlign w:val="center"/>
          </w:tcPr>
          <w:p w:rsidR="00E26194" w:rsidRDefault="00E26194" w:rsidP="006148EF">
            <w:pPr>
              <w:jc w:val="center"/>
              <w:rPr>
                <w:sz w:val="24"/>
                <w:szCs w:val="24"/>
              </w:rPr>
            </w:pPr>
            <w:r>
              <w:rPr>
                <w:sz w:val="24"/>
                <w:szCs w:val="24"/>
              </w:rPr>
              <w:t>NA</w:t>
            </w:r>
          </w:p>
        </w:tc>
        <w:tc>
          <w:tcPr>
            <w:tcW w:w="5148" w:type="dxa"/>
            <w:vMerge/>
          </w:tcPr>
          <w:p w:rsidR="00E26194" w:rsidRPr="006A6419" w:rsidRDefault="00E26194" w:rsidP="00B07043">
            <w:pPr>
              <w:rPr>
                <w:sz w:val="24"/>
                <w:szCs w:val="24"/>
              </w:rPr>
            </w:pPr>
          </w:p>
        </w:tc>
      </w:tr>
      <w:tr w:rsidR="00E26194" w:rsidTr="00E26194">
        <w:tc>
          <w:tcPr>
            <w:tcW w:w="2635" w:type="dxa"/>
            <w:vAlign w:val="center"/>
          </w:tcPr>
          <w:p w:rsidR="00E26194" w:rsidRDefault="00E26194" w:rsidP="00E26194">
            <w:pPr>
              <w:rPr>
                <w:sz w:val="24"/>
                <w:szCs w:val="24"/>
              </w:rPr>
            </w:pPr>
            <w:r>
              <w:rPr>
                <w:sz w:val="24"/>
                <w:szCs w:val="24"/>
              </w:rPr>
              <w:t>LTBI treatment completion</w:t>
            </w:r>
          </w:p>
          <w:p w:rsidR="00E26194" w:rsidRDefault="00E26194" w:rsidP="00E26194">
            <w:pPr>
              <w:rPr>
                <w:sz w:val="24"/>
                <w:szCs w:val="24"/>
              </w:rPr>
            </w:pPr>
            <w:r>
              <w:rPr>
                <w:sz w:val="24"/>
                <w:szCs w:val="24"/>
              </w:rPr>
              <w:t>Contact investigation</w:t>
            </w:r>
          </w:p>
        </w:tc>
        <w:tc>
          <w:tcPr>
            <w:tcW w:w="1613" w:type="dxa"/>
            <w:vAlign w:val="center"/>
          </w:tcPr>
          <w:p w:rsidR="00E26194" w:rsidRDefault="00E26194" w:rsidP="00416420">
            <w:pPr>
              <w:jc w:val="center"/>
              <w:rPr>
                <w:b/>
                <w:sz w:val="24"/>
                <w:szCs w:val="24"/>
              </w:rPr>
            </w:pPr>
            <w:r>
              <w:rPr>
                <w:b/>
                <w:sz w:val="24"/>
                <w:szCs w:val="24"/>
              </w:rPr>
              <w:t>81.0</w:t>
            </w:r>
          </w:p>
        </w:tc>
        <w:tc>
          <w:tcPr>
            <w:tcW w:w="1890" w:type="dxa"/>
            <w:vAlign w:val="center"/>
          </w:tcPr>
          <w:p w:rsidR="00E26194" w:rsidRDefault="00E26194" w:rsidP="00416420">
            <w:pPr>
              <w:jc w:val="center"/>
              <w:rPr>
                <w:sz w:val="24"/>
                <w:szCs w:val="24"/>
              </w:rPr>
            </w:pPr>
            <w:r>
              <w:rPr>
                <w:sz w:val="24"/>
                <w:szCs w:val="24"/>
              </w:rPr>
              <w:t>71.4 (unmet)</w:t>
            </w:r>
          </w:p>
        </w:tc>
        <w:tc>
          <w:tcPr>
            <w:tcW w:w="1890" w:type="dxa"/>
            <w:vAlign w:val="center"/>
          </w:tcPr>
          <w:p w:rsidR="00E26194" w:rsidRDefault="00E26194" w:rsidP="006148EF">
            <w:pPr>
              <w:jc w:val="center"/>
              <w:rPr>
                <w:sz w:val="24"/>
                <w:szCs w:val="24"/>
              </w:rPr>
            </w:pPr>
            <w:r>
              <w:rPr>
                <w:sz w:val="24"/>
                <w:szCs w:val="24"/>
              </w:rPr>
              <w:t>NA</w:t>
            </w:r>
          </w:p>
        </w:tc>
        <w:tc>
          <w:tcPr>
            <w:tcW w:w="5148" w:type="dxa"/>
            <w:vMerge/>
          </w:tcPr>
          <w:p w:rsidR="00E26194" w:rsidRPr="006A6419" w:rsidRDefault="00E26194" w:rsidP="00B07043">
            <w:pPr>
              <w:rPr>
                <w:sz w:val="24"/>
                <w:szCs w:val="24"/>
              </w:rPr>
            </w:pPr>
          </w:p>
        </w:tc>
      </w:tr>
    </w:tbl>
    <w:p w:rsidR="00466B96" w:rsidRPr="0038770F" w:rsidRDefault="00466B96" w:rsidP="00466B96">
      <w:pPr>
        <w:spacing w:after="0" w:line="240" w:lineRule="auto"/>
        <w:rPr>
          <w:sz w:val="24"/>
          <w:szCs w:val="24"/>
        </w:rPr>
      </w:pPr>
      <w:r w:rsidRPr="00466B96">
        <w:rPr>
          <w:i/>
          <w:sz w:val="24"/>
          <w:szCs w:val="24"/>
          <w:u w:val="single"/>
        </w:rPr>
        <w:t>Source</w:t>
      </w:r>
      <w:r w:rsidRPr="00CD22AA">
        <w:rPr>
          <w:i/>
          <w:sz w:val="24"/>
          <w:szCs w:val="24"/>
        </w:rPr>
        <w:t xml:space="preserve">: </w:t>
      </w:r>
      <w:r w:rsidRPr="0038770F">
        <w:rPr>
          <w:sz w:val="24"/>
          <w:szCs w:val="24"/>
        </w:rPr>
        <w:t>National TB Indicators Project (NTIP): Indicator Summary 2015 to 2019</w:t>
      </w:r>
    </w:p>
    <w:p w:rsidR="006A6419" w:rsidRDefault="00466B96" w:rsidP="00466B96">
      <w:pPr>
        <w:spacing w:after="0" w:line="240" w:lineRule="auto"/>
        <w:rPr>
          <w:b/>
          <w:sz w:val="24"/>
          <w:szCs w:val="24"/>
          <w:u w:val="single"/>
        </w:rPr>
        <w:sectPr w:rsidR="006A6419" w:rsidSect="006A6419">
          <w:footerReference w:type="default" r:id="rId10"/>
          <w:pgSz w:w="15840" w:h="12240" w:orient="landscape"/>
          <w:pgMar w:top="1440" w:right="1440" w:bottom="1440" w:left="1440" w:header="720" w:footer="720" w:gutter="0"/>
          <w:cols w:space="720"/>
          <w:docGrid w:linePitch="360"/>
        </w:sectPr>
      </w:pPr>
      <w:r w:rsidRPr="00CD22AA">
        <w:rPr>
          <w:sz w:val="24"/>
          <w:szCs w:val="24"/>
          <w:vertAlign w:val="superscript"/>
        </w:rPr>
        <w:t>*</w:t>
      </w:r>
      <w:r w:rsidRPr="00CD22AA">
        <w:rPr>
          <w:sz w:val="24"/>
          <w:szCs w:val="24"/>
        </w:rPr>
        <w:t xml:space="preserve">Data updated </w:t>
      </w:r>
      <w:r w:rsidR="005A05F9">
        <w:rPr>
          <w:sz w:val="24"/>
          <w:szCs w:val="24"/>
        </w:rPr>
        <w:t>12/</w:t>
      </w:r>
      <w:r w:rsidR="008D1B20">
        <w:rPr>
          <w:sz w:val="24"/>
          <w:szCs w:val="24"/>
        </w:rPr>
        <w:t>31</w:t>
      </w:r>
      <w:r w:rsidR="005A05F9">
        <w:rPr>
          <w:sz w:val="24"/>
          <w:szCs w:val="24"/>
        </w:rPr>
        <w:t>/19</w:t>
      </w:r>
    </w:p>
    <w:p w:rsidR="006A6419" w:rsidRDefault="006A6419" w:rsidP="00B07043">
      <w:pPr>
        <w:spacing w:after="0" w:line="240" w:lineRule="auto"/>
        <w:rPr>
          <w:b/>
          <w:sz w:val="24"/>
          <w:szCs w:val="24"/>
          <w:u w:val="single"/>
        </w:rPr>
      </w:pPr>
    </w:p>
    <w:p w:rsidR="00B07043" w:rsidRDefault="00AB13BD" w:rsidP="00B07043">
      <w:pPr>
        <w:spacing w:after="0" w:line="240" w:lineRule="auto"/>
        <w:rPr>
          <w:b/>
          <w:sz w:val="24"/>
          <w:szCs w:val="24"/>
          <w:u w:val="single"/>
        </w:rPr>
      </w:pPr>
      <w:r>
        <w:rPr>
          <w:b/>
          <w:sz w:val="24"/>
          <w:szCs w:val="24"/>
          <w:u w:val="single"/>
        </w:rPr>
        <w:t>TENNESSEE TUBERCULOSIS (TB) PROGRAM OVERVIEW</w:t>
      </w:r>
    </w:p>
    <w:p w:rsidR="00B07043" w:rsidRDefault="00B07043" w:rsidP="00B07043">
      <w:pPr>
        <w:spacing w:after="0" w:line="240" w:lineRule="auto"/>
        <w:rPr>
          <w:sz w:val="24"/>
          <w:szCs w:val="24"/>
        </w:rPr>
      </w:pPr>
      <w:r>
        <w:rPr>
          <w:sz w:val="24"/>
          <w:szCs w:val="24"/>
        </w:rPr>
        <w:t xml:space="preserve">The Tennessee TB Elimination Program (TTBEP) is a centralized state program that provides programmatic oversight, clinical guidance, education, training, and resources to the 12 regional TB programs which serve the 95 counties in Tennessee.  </w:t>
      </w:r>
      <w:r w:rsidR="00917000">
        <w:rPr>
          <w:sz w:val="24"/>
          <w:szCs w:val="24"/>
        </w:rPr>
        <w:t xml:space="preserve">The TTBEP utilizes the National Electronic Disease Surveillance System (NEDSS) based system (NBS) for surveillance of persons with suspected or active TB disease and persons with TB infection (TBI) diagnosed at public health departments.  </w:t>
      </w:r>
      <w:r>
        <w:rPr>
          <w:sz w:val="24"/>
          <w:szCs w:val="24"/>
        </w:rPr>
        <w:t xml:space="preserve">For the years 2015 – 2019, the average number of persons with active TB disease was 124.3 with an average case rate of 1.9 cases per 100,000 population.  </w:t>
      </w:r>
      <w:r w:rsidRPr="002063D8">
        <w:rPr>
          <w:b/>
          <w:sz w:val="24"/>
          <w:szCs w:val="24"/>
        </w:rPr>
        <w:t xml:space="preserve">Table </w:t>
      </w:r>
      <w:r w:rsidR="0041398C">
        <w:rPr>
          <w:b/>
          <w:sz w:val="24"/>
          <w:szCs w:val="24"/>
        </w:rPr>
        <w:t>3</w:t>
      </w:r>
      <w:r>
        <w:rPr>
          <w:sz w:val="24"/>
          <w:szCs w:val="24"/>
        </w:rPr>
        <w:t xml:space="preserve"> shows the number of cases and corresponding case rates for the grant period.  </w:t>
      </w:r>
      <w:r w:rsidRPr="00B07043">
        <w:rPr>
          <w:sz w:val="24"/>
          <w:szCs w:val="24"/>
        </w:rPr>
        <w:t>In</w:t>
      </w:r>
      <w:r>
        <w:rPr>
          <w:sz w:val="24"/>
          <w:szCs w:val="24"/>
        </w:rPr>
        <w:t xml:space="preserve"> 2016, Tennessee experienced the lowest number of active TB cases on record with 103; however, the number of active TB cases steadily increased in subsequent years.  </w:t>
      </w:r>
    </w:p>
    <w:p w:rsidR="00B07043" w:rsidRDefault="00B07043" w:rsidP="00B07043">
      <w:pPr>
        <w:spacing w:after="0" w:line="240" w:lineRule="auto"/>
        <w:rPr>
          <w:sz w:val="24"/>
          <w:szCs w:val="24"/>
        </w:rPr>
      </w:pPr>
    </w:p>
    <w:p w:rsidR="00B07043" w:rsidRDefault="002063D8" w:rsidP="00B07043">
      <w:pPr>
        <w:spacing w:after="0" w:line="240" w:lineRule="auto"/>
        <w:rPr>
          <w:b/>
          <w:sz w:val="24"/>
          <w:szCs w:val="24"/>
        </w:rPr>
      </w:pPr>
      <w:r>
        <w:rPr>
          <w:b/>
          <w:sz w:val="24"/>
          <w:szCs w:val="24"/>
        </w:rPr>
        <w:t xml:space="preserve">Table </w:t>
      </w:r>
      <w:r w:rsidR="0041398C">
        <w:rPr>
          <w:b/>
          <w:sz w:val="24"/>
          <w:szCs w:val="24"/>
        </w:rPr>
        <w:t>3</w:t>
      </w:r>
      <w:r w:rsidR="00B07043">
        <w:rPr>
          <w:b/>
          <w:sz w:val="24"/>
          <w:szCs w:val="24"/>
        </w:rPr>
        <w:t>.  Tennessee</w:t>
      </w:r>
      <w:r w:rsidR="00FB7B9F">
        <w:rPr>
          <w:b/>
          <w:sz w:val="24"/>
          <w:szCs w:val="24"/>
        </w:rPr>
        <w:t xml:space="preserve"> TB Cases and Rates, 2015 – 2019 </w:t>
      </w:r>
    </w:p>
    <w:tbl>
      <w:tblPr>
        <w:tblStyle w:val="TableGrid"/>
        <w:tblW w:w="0" w:type="auto"/>
        <w:tblLook w:val="04A0" w:firstRow="1" w:lastRow="0" w:firstColumn="1" w:lastColumn="0" w:noHBand="0" w:noVBand="1"/>
      </w:tblPr>
      <w:tblGrid>
        <w:gridCol w:w="3192"/>
        <w:gridCol w:w="3192"/>
        <w:gridCol w:w="3192"/>
      </w:tblGrid>
      <w:tr w:rsidR="00B07043" w:rsidRPr="00B07043" w:rsidTr="00B07043">
        <w:tc>
          <w:tcPr>
            <w:tcW w:w="3192" w:type="dxa"/>
            <w:shd w:val="clear" w:color="auto" w:fill="D9D9D9" w:themeFill="background1" w:themeFillShade="D9"/>
          </w:tcPr>
          <w:p w:rsidR="00B07043" w:rsidRPr="00B07043" w:rsidRDefault="00B07043" w:rsidP="00B07043">
            <w:pPr>
              <w:jc w:val="center"/>
              <w:rPr>
                <w:b/>
                <w:sz w:val="24"/>
                <w:szCs w:val="24"/>
              </w:rPr>
            </w:pPr>
            <w:r>
              <w:rPr>
                <w:b/>
                <w:sz w:val="24"/>
                <w:szCs w:val="24"/>
              </w:rPr>
              <w:t>Year</w:t>
            </w:r>
          </w:p>
        </w:tc>
        <w:tc>
          <w:tcPr>
            <w:tcW w:w="3192" w:type="dxa"/>
            <w:shd w:val="clear" w:color="auto" w:fill="D9D9D9" w:themeFill="background1" w:themeFillShade="D9"/>
          </w:tcPr>
          <w:p w:rsidR="00B07043" w:rsidRPr="00B07043" w:rsidRDefault="00B07043" w:rsidP="00B07043">
            <w:pPr>
              <w:jc w:val="center"/>
              <w:rPr>
                <w:b/>
                <w:sz w:val="24"/>
                <w:szCs w:val="24"/>
              </w:rPr>
            </w:pPr>
            <w:r>
              <w:rPr>
                <w:b/>
                <w:sz w:val="24"/>
                <w:szCs w:val="24"/>
              </w:rPr>
              <w:t>Number of Active TB Cases</w:t>
            </w:r>
          </w:p>
        </w:tc>
        <w:tc>
          <w:tcPr>
            <w:tcW w:w="3192" w:type="dxa"/>
            <w:shd w:val="clear" w:color="auto" w:fill="D9D9D9" w:themeFill="background1" w:themeFillShade="D9"/>
          </w:tcPr>
          <w:p w:rsidR="00B07043" w:rsidRPr="00B07043" w:rsidRDefault="00B07043" w:rsidP="00B07043">
            <w:pPr>
              <w:jc w:val="center"/>
              <w:rPr>
                <w:b/>
                <w:sz w:val="24"/>
                <w:szCs w:val="24"/>
              </w:rPr>
            </w:pPr>
            <w:r>
              <w:rPr>
                <w:b/>
                <w:sz w:val="24"/>
                <w:szCs w:val="24"/>
              </w:rPr>
              <w:t>Case Rate (per 100,000)</w:t>
            </w:r>
          </w:p>
        </w:tc>
      </w:tr>
      <w:tr w:rsidR="00B07043" w:rsidTr="00B07043">
        <w:tc>
          <w:tcPr>
            <w:tcW w:w="3192" w:type="dxa"/>
          </w:tcPr>
          <w:p w:rsidR="00B07043" w:rsidRDefault="00B07043" w:rsidP="00B07043">
            <w:pPr>
              <w:jc w:val="center"/>
              <w:rPr>
                <w:sz w:val="24"/>
                <w:szCs w:val="24"/>
              </w:rPr>
            </w:pPr>
            <w:r>
              <w:rPr>
                <w:sz w:val="24"/>
                <w:szCs w:val="24"/>
              </w:rPr>
              <w:t>2015</w:t>
            </w:r>
          </w:p>
        </w:tc>
        <w:tc>
          <w:tcPr>
            <w:tcW w:w="3192" w:type="dxa"/>
          </w:tcPr>
          <w:p w:rsidR="00B07043" w:rsidRDefault="00B07043" w:rsidP="00B07043">
            <w:pPr>
              <w:jc w:val="center"/>
              <w:rPr>
                <w:sz w:val="24"/>
                <w:szCs w:val="24"/>
              </w:rPr>
            </w:pPr>
            <w:r>
              <w:rPr>
                <w:sz w:val="24"/>
                <w:szCs w:val="24"/>
              </w:rPr>
              <w:t>131</w:t>
            </w:r>
          </w:p>
        </w:tc>
        <w:tc>
          <w:tcPr>
            <w:tcW w:w="3192" w:type="dxa"/>
          </w:tcPr>
          <w:p w:rsidR="00B07043" w:rsidRDefault="00B07043" w:rsidP="00B07043">
            <w:pPr>
              <w:jc w:val="center"/>
              <w:rPr>
                <w:sz w:val="24"/>
                <w:szCs w:val="24"/>
              </w:rPr>
            </w:pPr>
            <w:r>
              <w:rPr>
                <w:sz w:val="24"/>
                <w:szCs w:val="24"/>
              </w:rPr>
              <w:t>2.0</w:t>
            </w:r>
          </w:p>
        </w:tc>
      </w:tr>
      <w:tr w:rsidR="00B07043" w:rsidTr="00B07043">
        <w:tc>
          <w:tcPr>
            <w:tcW w:w="3192" w:type="dxa"/>
          </w:tcPr>
          <w:p w:rsidR="00B07043" w:rsidRDefault="00B07043" w:rsidP="00B07043">
            <w:pPr>
              <w:jc w:val="center"/>
              <w:rPr>
                <w:sz w:val="24"/>
                <w:szCs w:val="24"/>
              </w:rPr>
            </w:pPr>
            <w:r>
              <w:rPr>
                <w:sz w:val="24"/>
                <w:szCs w:val="24"/>
              </w:rPr>
              <w:t>2016</w:t>
            </w:r>
          </w:p>
        </w:tc>
        <w:tc>
          <w:tcPr>
            <w:tcW w:w="3192" w:type="dxa"/>
          </w:tcPr>
          <w:p w:rsidR="00B07043" w:rsidRDefault="00B07043" w:rsidP="00B07043">
            <w:pPr>
              <w:jc w:val="center"/>
              <w:rPr>
                <w:sz w:val="24"/>
                <w:szCs w:val="24"/>
              </w:rPr>
            </w:pPr>
            <w:r>
              <w:rPr>
                <w:sz w:val="24"/>
                <w:szCs w:val="24"/>
              </w:rPr>
              <w:t>103</w:t>
            </w:r>
          </w:p>
        </w:tc>
        <w:tc>
          <w:tcPr>
            <w:tcW w:w="3192" w:type="dxa"/>
          </w:tcPr>
          <w:p w:rsidR="00B07043" w:rsidRDefault="00B07043" w:rsidP="00B07043">
            <w:pPr>
              <w:jc w:val="center"/>
              <w:rPr>
                <w:sz w:val="24"/>
                <w:szCs w:val="24"/>
              </w:rPr>
            </w:pPr>
            <w:r>
              <w:rPr>
                <w:sz w:val="24"/>
                <w:szCs w:val="24"/>
              </w:rPr>
              <w:t>1.5</w:t>
            </w:r>
          </w:p>
        </w:tc>
      </w:tr>
      <w:tr w:rsidR="00B07043" w:rsidTr="00B07043">
        <w:tc>
          <w:tcPr>
            <w:tcW w:w="3192" w:type="dxa"/>
          </w:tcPr>
          <w:p w:rsidR="00B07043" w:rsidRDefault="00B07043" w:rsidP="00B07043">
            <w:pPr>
              <w:jc w:val="center"/>
              <w:rPr>
                <w:sz w:val="24"/>
                <w:szCs w:val="24"/>
              </w:rPr>
            </w:pPr>
            <w:r>
              <w:rPr>
                <w:sz w:val="24"/>
                <w:szCs w:val="24"/>
              </w:rPr>
              <w:t>2017</w:t>
            </w:r>
          </w:p>
        </w:tc>
        <w:tc>
          <w:tcPr>
            <w:tcW w:w="3192" w:type="dxa"/>
          </w:tcPr>
          <w:p w:rsidR="00B07043" w:rsidRDefault="00B07043" w:rsidP="00B07043">
            <w:pPr>
              <w:jc w:val="center"/>
              <w:rPr>
                <w:sz w:val="24"/>
                <w:szCs w:val="24"/>
              </w:rPr>
            </w:pPr>
            <w:r>
              <w:rPr>
                <w:sz w:val="24"/>
                <w:szCs w:val="24"/>
              </w:rPr>
              <w:t>124</w:t>
            </w:r>
          </w:p>
        </w:tc>
        <w:tc>
          <w:tcPr>
            <w:tcW w:w="3192" w:type="dxa"/>
          </w:tcPr>
          <w:p w:rsidR="00B07043" w:rsidRDefault="00B07043" w:rsidP="00B07043">
            <w:pPr>
              <w:jc w:val="center"/>
              <w:rPr>
                <w:sz w:val="24"/>
                <w:szCs w:val="24"/>
              </w:rPr>
            </w:pPr>
            <w:r>
              <w:rPr>
                <w:sz w:val="24"/>
                <w:szCs w:val="24"/>
              </w:rPr>
              <w:t>1.8</w:t>
            </w:r>
          </w:p>
        </w:tc>
      </w:tr>
      <w:tr w:rsidR="00B07043" w:rsidTr="00B07043">
        <w:tc>
          <w:tcPr>
            <w:tcW w:w="3192" w:type="dxa"/>
          </w:tcPr>
          <w:p w:rsidR="00B07043" w:rsidRDefault="00B07043" w:rsidP="00B07043">
            <w:pPr>
              <w:jc w:val="center"/>
              <w:rPr>
                <w:sz w:val="24"/>
                <w:szCs w:val="24"/>
              </w:rPr>
            </w:pPr>
            <w:r>
              <w:rPr>
                <w:sz w:val="24"/>
                <w:szCs w:val="24"/>
              </w:rPr>
              <w:t>2018</w:t>
            </w:r>
          </w:p>
        </w:tc>
        <w:tc>
          <w:tcPr>
            <w:tcW w:w="3192" w:type="dxa"/>
          </w:tcPr>
          <w:p w:rsidR="00B07043" w:rsidRDefault="00B07043" w:rsidP="00B07043">
            <w:pPr>
              <w:jc w:val="center"/>
              <w:rPr>
                <w:sz w:val="24"/>
                <w:szCs w:val="24"/>
              </w:rPr>
            </w:pPr>
            <w:r>
              <w:rPr>
                <w:sz w:val="24"/>
                <w:szCs w:val="24"/>
              </w:rPr>
              <w:t>139</w:t>
            </w:r>
          </w:p>
        </w:tc>
        <w:tc>
          <w:tcPr>
            <w:tcW w:w="3192" w:type="dxa"/>
          </w:tcPr>
          <w:p w:rsidR="00B07043" w:rsidRDefault="00B07043" w:rsidP="00B07043">
            <w:pPr>
              <w:jc w:val="center"/>
              <w:rPr>
                <w:sz w:val="24"/>
                <w:szCs w:val="24"/>
              </w:rPr>
            </w:pPr>
            <w:r>
              <w:rPr>
                <w:sz w:val="24"/>
                <w:szCs w:val="24"/>
              </w:rPr>
              <w:t>2.1</w:t>
            </w:r>
          </w:p>
        </w:tc>
      </w:tr>
      <w:tr w:rsidR="00B07043" w:rsidTr="00B07043">
        <w:tc>
          <w:tcPr>
            <w:tcW w:w="3192" w:type="dxa"/>
          </w:tcPr>
          <w:p w:rsidR="00B07043" w:rsidRPr="00863CC6" w:rsidRDefault="00B07043" w:rsidP="00B07043">
            <w:pPr>
              <w:jc w:val="center"/>
              <w:rPr>
                <w:sz w:val="24"/>
                <w:szCs w:val="24"/>
                <w:highlight w:val="yellow"/>
              </w:rPr>
            </w:pPr>
            <w:r w:rsidRPr="00863CC6">
              <w:rPr>
                <w:sz w:val="24"/>
                <w:szCs w:val="24"/>
                <w:highlight w:val="yellow"/>
              </w:rPr>
              <w:t>2019</w:t>
            </w:r>
          </w:p>
        </w:tc>
        <w:tc>
          <w:tcPr>
            <w:tcW w:w="3192" w:type="dxa"/>
          </w:tcPr>
          <w:p w:rsidR="00B07043" w:rsidRPr="00863CC6" w:rsidRDefault="00FD33A1" w:rsidP="00B07043">
            <w:pPr>
              <w:jc w:val="center"/>
              <w:rPr>
                <w:sz w:val="24"/>
                <w:szCs w:val="24"/>
                <w:highlight w:val="yellow"/>
              </w:rPr>
            </w:pPr>
            <w:r>
              <w:rPr>
                <w:sz w:val="24"/>
                <w:szCs w:val="24"/>
                <w:highlight w:val="yellow"/>
              </w:rPr>
              <w:t>126</w:t>
            </w:r>
          </w:p>
        </w:tc>
        <w:tc>
          <w:tcPr>
            <w:tcW w:w="3192" w:type="dxa"/>
          </w:tcPr>
          <w:p w:rsidR="00B07043" w:rsidRPr="00863CC6" w:rsidRDefault="00B07043" w:rsidP="00B07043">
            <w:pPr>
              <w:jc w:val="center"/>
              <w:rPr>
                <w:sz w:val="24"/>
                <w:szCs w:val="24"/>
                <w:highlight w:val="yellow"/>
              </w:rPr>
            </w:pPr>
          </w:p>
        </w:tc>
      </w:tr>
    </w:tbl>
    <w:p w:rsidR="00B07043" w:rsidRDefault="00066030" w:rsidP="00B07043">
      <w:pPr>
        <w:spacing w:after="0" w:line="240" w:lineRule="auto"/>
        <w:rPr>
          <w:sz w:val="24"/>
          <w:szCs w:val="24"/>
        </w:rPr>
      </w:pPr>
      <w:r>
        <w:rPr>
          <w:i/>
          <w:sz w:val="24"/>
          <w:szCs w:val="24"/>
          <w:u w:val="single"/>
        </w:rPr>
        <w:t>Source</w:t>
      </w:r>
      <w:r>
        <w:rPr>
          <w:sz w:val="24"/>
          <w:szCs w:val="24"/>
        </w:rPr>
        <w:t>: National TB Indicators Project (NTIP)</w:t>
      </w:r>
      <w:r w:rsidR="009E6CC8">
        <w:rPr>
          <w:sz w:val="24"/>
          <w:szCs w:val="24"/>
        </w:rPr>
        <w:t>, National Electronic Disease Surveillance System (NEDSS)</w:t>
      </w:r>
      <w:r w:rsidR="00CC6912">
        <w:rPr>
          <w:sz w:val="24"/>
          <w:szCs w:val="24"/>
        </w:rPr>
        <w:t xml:space="preserve"> TB Program Area Module (TB PAM)</w:t>
      </w:r>
    </w:p>
    <w:p w:rsidR="00066030" w:rsidRPr="00066030" w:rsidRDefault="00066030" w:rsidP="00B07043">
      <w:pPr>
        <w:spacing w:after="0" w:line="240" w:lineRule="auto"/>
        <w:rPr>
          <w:sz w:val="24"/>
          <w:szCs w:val="24"/>
        </w:rPr>
      </w:pPr>
    </w:p>
    <w:p w:rsidR="00B07043" w:rsidRPr="00480F1C" w:rsidRDefault="00B07043" w:rsidP="00B07043">
      <w:pPr>
        <w:spacing w:after="0" w:line="240" w:lineRule="auto"/>
        <w:rPr>
          <w:b/>
          <w:sz w:val="24"/>
          <w:szCs w:val="24"/>
          <w:u w:val="single"/>
        </w:rPr>
      </w:pPr>
      <w:r w:rsidRPr="00480F1C">
        <w:rPr>
          <w:b/>
          <w:sz w:val="24"/>
          <w:szCs w:val="24"/>
          <w:u w:val="single"/>
        </w:rPr>
        <w:t>Cohort Review</w:t>
      </w:r>
    </w:p>
    <w:p w:rsidR="00B07043" w:rsidRPr="00800176" w:rsidRDefault="00B07043" w:rsidP="00B07043">
      <w:pPr>
        <w:spacing w:after="0" w:line="240" w:lineRule="auto"/>
        <w:rPr>
          <w:b/>
          <w:sz w:val="24"/>
          <w:szCs w:val="24"/>
        </w:rPr>
      </w:pPr>
      <w:r>
        <w:rPr>
          <w:sz w:val="24"/>
          <w:szCs w:val="24"/>
        </w:rPr>
        <w:t xml:space="preserve">The TTBEP implemented the cohort review process in 2011 with the two (2) largest metropolitan areas, Memphis/Shelby County and Nashville/Davidson County, that consistently account for &gt;50% of the state’s burden of active TB.  </w:t>
      </w:r>
      <w:r w:rsidR="00EC7EEC">
        <w:rPr>
          <w:b/>
          <w:sz w:val="24"/>
          <w:szCs w:val="24"/>
        </w:rPr>
        <w:t xml:space="preserve">Table </w:t>
      </w:r>
      <w:r w:rsidR="00EC7EEC" w:rsidRPr="00EC7EEC">
        <w:rPr>
          <w:sz w:val="24"/>
          <w:szCs w:val="24"/>
        </w:rPr>
        <w:t>4</w:t>
      </w:r>
      <w:r w:rsidR="00EC7EEC">
        <w:rPr>
          <w:sz w:val="24"/>
          <w:szCs w:val="24"/>
        </w:rPr>
        <w:t xml:space="preserve"> shows the number of cohort reviews held and the number of patients reviewed during this grant period</w:t>
      </w:r>
      <w:r w:rsidR="00D04E3E">
        <w:rPr>
          <w:sz w:val="24"/>
          <w:szCs w:val="24"/>
        </w:rPr>
        <w:t xml:space="preserve">.  </w:t>
      </w:r>
      <w:r w:rsidRPr="00EC7EEC">
        <w:rPr>
          <w:sz w:val="24"/>
          <w:szCs w:val="24"/>
        </w:rPr>
        <w:t>Systems</w:t>
      </w:r>
      <w:r>
        <w:rPr>
          <w:sz w:val="24"/>
          <w:szCs w:val="24"/>
        </w:rPr>
        <w:t xml:space="preserve"> issues are identified during each review, and regional TB programs are asked to develop a plan to address each systems issue identifie</w:t>
      </w:r>
      <w:r w:rsidR="00F869E6">
        <w:rPr>
          <w:sz w:val="24"/>
          <w:szCs w:val="24"/>
        </w:rPr>
        <w:t xml:space="preserve">d. </w:t>
      </w:r>
    </w:p>
    <w:p w:rsidR="00B07043" w:rsidRDefault="00B07043" w:rsidP="00B07043">
      <w:pPr>
        <w:spacing w:after="0" w:line="240" w:lineRule="auto"/>
        <w:rPr>
          <w:sz w:val="24"/>
          <w:szCs w:val="24"/>
        </w:rPr>
      </w:pPr>
    </w:p>
    <w:p w:rsidR="00B07043" w:rsidRDefault="002063D8" w:rsidP="00B07043">
      <w:pPr>
        <w:spacing w:after="0" w:line="240" w:lineRule="auto"/>
        <w:rPr>
          <w:b/>
          <w:sz w:val="24"/>
          <w:szCs w:val="24"/>
        </w:rPr>
      </w:pPr>
      <w:r>
        <w:rPr>
          <w:b/>
          <w:sz w:val="24"/>
          <w:szCs w:val="24"/>
        </w:rPr>
        <w:t xml:space="preserve">Table </w:t>
      </w:r>
      <w:r w:rsidR="0041398C">
        <w:rPr>
          <w:b/>
          <w:sz w:val="24"/>
          <w:szCs w:val="24"/>
        </w:rPr>
        <w:t>4</w:t>
      </w:r>
      <w:r w:rsidR="00B07043">
        <w:rPr>
          <w:b/>
          <w:sz w:val="24"/>
          <w:szCs w:val="24"/>
        </w:rPr>
        <w:t xml:space="preserve">.  Tennessee TB </w:t>
      </w:r>
      <w:r w:rsidR="00FB7B9F">
        <w:rPr>
          <w:b/>
          <w:sz w:val="24"/>
          <w:szCs w:val="24"/>
        </w:rPr>
        <w:t xml:space="preserve">Cohort Review Summary, 2015 – 2019 </w:t>
      </w:r>
    </w:p>
    <w:tbl>
      <w:tblPr>
        <w:tblStyle w:val="TableGrid"/>
        <w:tblW w:w="0" w:type="auto"/>
        <w:tblLook w:val="04A0" w:firstRow="1" w:lastRow="0" w:firstColumn="1" w:lastColumn="0" w:noHBand="0" w:noVBand="1"/>
      </w:tblPr>
      <w:tblGrid>
        <w:gridCol w:w="3192"/>
        <w:gridCol w:w="3192"/>
        <w:gridCol w:w="3192"/>
      </w:tblGrid>
      <w:tr w:rsidR="00B0303E" w:rsidRPr="00B07043" w:rsidTr="00702B67">
        <w:tc>
          <w:tcPr>
            <w:tcW w:w="3192" w:type="dxa"/>
            <w:shd w:val="clear" w:color="auto" w:fill="D9D9D9" w:themeFill="background1" w:themeFillShade="D9"/>
          </w:tcPr>
          <w:p w:rsidR="00B0303E" w:rsidRPr="00B07043" w:rsidRDefault="00B0303E" w:rsidP="00702B67">
            <w:pPr>
              <w:jc w:val="center"/>
              <w:rPr>
                <w:b/>
                <w:sz w:val="24"/>
                <w:szCs w:val="24"/>
              </w:rPr>
            </w:pPr>
            <w:r>
              <w:rPr>
                <w:b/>
                <w:sz w:val="24"/>
                <w:szCs w:val="24"/>
              </w:rPr>
              <w:t>Year</w:t>
            </w:r>
          </w:p>
        </w:tc>
        <w:tc>
          <w:tcPr>
            <w:tcW w:w="3192" w:type="dxa"/>
            <w:shd w:val="clear" w:color="auto" w:fill="D9D9D9" w:themeFill="background1" w:themeFillShade="D9"/>
          </w:tcPr>
          <w:p w:rsidR="00B0303E" w:rsidRPr="00B07043" w:rsidRDefault="00B0303E" w:rsidP="00B0303E">
            <w:pPr>
              <w:jc w:val="center"/>
              <w:rPr>
                <w:b/>
                <w:sz w:val="24"/>
                <w:szCs w:val="24"/>
              </w:rPr>
            </w:pPr>
            <w:r>
              <w:rPr>
                <w:b/>
                <w:sz w:val="24"/>
                <w:szCs w:val="24"/>
              </w:rPr>
              <w:t>Number of Cohort Reviews Held</w:t>
            </w:r>
          </w:p>
        </w:tc>
        <w:tc>
          <w:tcPr>
            <w:tcW w:w="3192" w:type="dxa"/>
            <w:shd w:val="clear" w:color="auto" w:fill="D9D9D9" w:themeFill="background1" w:themeFillShade="D9"/>
          </w:tcPr>
          <w:p w:rsidR="00B0303E" w:rsidRPr="00B07043" w:rsidRDefault="00B0303E" w:rsidP="00702B67">
            <w:pPr>
              <w:jc w:val="center"/>
              <w:rPr>
                <w:b/>
                <w:sz w:val="24"/>
                <w:szCs w:val="24"/>
              </w:rPr>
            </w:pPr>
            <w:r>
              <w:rPr>
                <w:b/>
                <w:sz w:val="24"/>
                <w:szCs w:val="24"/>
              </w:rPr>
              <w:t xml:space="preserve">Number of Active TB Patients Reviewed </w:t>
            </w:r>
          </w:p>
        </w:tc>
      </w:tr>
      <w:tr w:rsidR="00B0303E" w:rsidTr="00702B67">
        <w:tc>
          <w:tcPr>
            <w:tcW w:w="3192" w:type="dxa"/>
          </w:tcPr>
          <w:p w:rsidR="00B0303E" w:rsidRDefault="00B0303E" w:rsidP="00702B67">
            <w:pPr>
              <w:jc w:val="center"/>
              <w:rPr>
                <w:sz w:val="24"/>
                <w:szCs w:val="24"/>
              </w:rPr>
            </w:pPr>
            <w:r>
              <w:rPr>
                <w:sz w:val="24"/>
                <w:szCs w:val="24"/>
              </w:rPr>
              <w:t>2015</w:t>
            </w:r>
          </w:p>
        </w:tc>
        <w:tc>
          <w:tcPr>
            <w:tcW w:w="3192" w:type="dxa"/>
          </w:tcPr>
          <w:p w:rsidR="00B0303E" w:rsidRDefault="00B0303E" w:rsidP="00702B67">
            <w:pPr>
              <w:jc w:val="center"/>
              <w:rPr>
                <w:sz w:val="24"/>
                <w:szCs w:val="24"/>
              </w:rPr>
            </w:pPr>
            <w:r>
              <w:rPr>
                <w:sz w:val="24"/>
                <w:szCs w:val="24"/>
              </w:rPr>
              <w:t>6</w:t>
            </w:r>
          </w:p>
        </w:tc>
        <w:tc>
          <w:tcPr>
            <w:tcW w:w="3192" w:type="dxa"/>
          </w:tcPr>
          <w:p w:rsidR="00B0303E" w:rsidRDefault="00B0303E" w:rsidP="00702B67">
            <w:pPr>
              <w:jc w:val="center"/>
              <w:rPr>
                <w:sz w:val="24"/>
                <w:szCs w:val="24"/>
              </w:rPr>
            </w:pPr>
            <w:r>
              <w:rPr>
                <w:sz w:val="24"/>
                <w:szCs w:val="24"/>
              </w:rPr>
              <w:t>69</w:t>
            </w:r>
          </w:p>
        </w:tc>
      </w:tr>
      <w:tr w:rsidR="00B0303E" w:rsidTr="00702B67">
        <w:tc>
          <w:tcPr>
            <w:tcW w:w="3192" w:type="dxa"/>
          </w:tcPr>
          <w:p w:rsidR="00B0303E" w:rsidRDefault="00B0303E" w:rsidP="00702B67">
            <w:pPr>
              <w:jc w:val="center"/>
              <w:rPr>
                <w:sz w:val="24"/>
                <w:szCs w:val="24"/>
              </w:rPr>
            </w:pPr>
            <w:r>
              <w:rPr>
                <w:sz w:val="24"/>
                <w:szCs w:val="24"/>
              </w:rPr>
              <w:t>2016</w:t>
            </w:r>
          </w:p>
        </w:tc>
        <w:tc>
          <w:tcPr>
            <w:tcW w:w="3192" w:type="dxa"/>
          </w:tcPr>
          <w:p w:rsidR="00B0303E" w:rsidRDefault="00B0303E" w:rsidP="00702B67">
            <w:pPr>
              <w:jc w:val="center"/>
              <w:rPr>
                <w:sz w:val="24"/>
                <w:szCs w:val="24"/>
              </w:rPr>
            </w:pPr>
            <w:r>
              <w:rPr>
                <w:sz w:val="24"/>
                <w:szCs w:val="24"/>
              </w:rPr>
              <w:t>4</w:t>
            </w:r>
          </w:p>
        </w:tc>
        <w:tc>
          <w:tcPr>
            <w:tcW w:w="3192" w:type="dxa"/>
          </w:tcPr>
          <w:p w:rsidR="00B0303E" w:rsidRDefault="00B0303E" w:rsidP="00702B67">
            <w:pPr>
              <w:jc w:val="center"/>
              <w:rPr>
                <w:sz w:val="24"/>
                <w:szCs w:val="24"/>
              </w:rPr>
            </w:pPr>
            <w:r>
              <w:rPr>
                <w:sz w:val="24"/>
                <w:szCs w:val="24"/>
              </w:rPr>
              <w:t>48</w:t>
            </w:r>
          </w:p>
        </w:tc>
      </w:tr>
      <w:tr w:rsidR="00B0303E" w:rsidTr="00702B67">
        <w:tc>
          <w:tcPr>
            <w:tcW w:w="3192" w:type="dxa"/>
          </w:tcPr>
          <w:p w:rsidR="00B0303E" w:rsidRDefault="00B0303E" w:rsidP="00702B67">
            <w:pPr>
              <w:jc w:val="center"/>
              <w:rPr>
                <w:sz w:val="24"/>
                <w:szCs w:val="24"/>
              </w:rPr>
            </w:pPr>
            <w:r>
              <w:rPr>
                <w:sz w:val="24"/>
                <w:szCs w:val="24"/>
              </w:rPr>
              <w:t>2017</w:t>
            </w:r>
          </w:p>
        </w:tc>
        <w:tc>
          <w:tcPr>
            <w:tcW w:w="3192" w:type="dxa"/>
          </w:tcPr>
          <w:p w:rsidR="00B0303E" w:rsidRDefault="00B0303E" w:rsidP="00702B67">
            <w:pPr>
              <w:jc w:val="center"/>
              <w:rPr>
                <w:sz w:val="24"/>
                <w:szCs w:val="24"/>
              </w:rPr>
            </w:pPr>
            <w:r>
              <w:rPr>
                <w:sz w:val="24"/>
                <w:szCs w:val="24"/>
              </w:rPr>
              <w:t>4</w:t>
            </w:r>
          </w:p>
        </w:tc>
        <w:tc>
          <w:tcPr>
            <w:tcW w:w="3192" w:type="dxa"/>
          </w:tcPr>
          <w:p w:rsidR="00B0303E" w:rsidRDefault="00B0303E" w:rsidP="00702B67">
            <w:pPr>
              <w:jc w:val="center"/>
              <w:rPr>
                <w:sz w:val="24"/>
                <w:szCs w:val="24"/>
              </w:rPr>
            </w:pPr>
            <w:r>
              <w:rPr>
                <w:sz w:val="24"/>
                <w:szCs w:val="24"/>
              </w:rPr>
              <w:t>60</w:t>
            </w:r>
          </w:p>
        </w:tc>
      </w:tr>
      <w:tr w:rsidR="00B0303E" w:rsidTr="00702B67">
        <w:tc>
          <w:tcPr>
            <w:tcW w:w="3192" w:type="dxa"/>
          </w:tcPr>
          <w:p w:rsidR="00B0303E" w:rsidRDefault="00B0303E" w:rsidP="00702B67">
            <w:pPr>
              <w:jc w:val="center"/>
              <w:rPr>
                <w:sz w:val="24"/>
                <w:szCs w:val="24"/>
              </w:rPr>
            </w:pPr>
            <w:r>
              <w:rPr>
                <w:sz w:val="24"/>
                <w:szCs w:val="24"/>
              </w:rPr>
              <w:t>2018</w:t>
            </w:r>
          </w:p>
        </w:tc>
        <w:tc>
          <w:tcPr>
            <w:tcW w:w="3192" w:type="dxa"/>
          </w:tcPr>
          <w:p w:rsidR="00B0303E" w:rsidRDefault="00B0303E" w:rsidP="00702B67">
            <w:pPr>
              <w:jc w:val="center"/>
              <w:rPr>
                <w:sz w:val="24"/>
                <w:szCs w:val="24"/>
              </w:rPr>
            </w:pPr>
            <w:r>
              <w:rPr>
                <w:sz w:val="24"/>
                <w:szCs w:val="24"/>
              </w:rPr>
              <w:t>3</w:t>
            </w:r>
          </w:p>
        </w:tc>
        <w:tc>
          <w:tcPr>
            <w:tcW w:w="3192" w:type="dxa"/>
          </w:tcPr>
          <w:p w:rsidR="00B0303E" w:rsidRDefault="00B0303E" w:rsidP="00702B67">
            <w:pPr>
              <w:jc w:val="center"/>
              <w:rPr>
                <w:sz w:val="24"/>
                <w:szCs w:val="24"/>
              </w:rPr>
            </w:pPr>
            <w:r>
              <w:rPr>
                <w:sz w:val="24"/>
                <w:szCs w:val="24"/>
              </w:rPr>
              <w:t>45</w:t>
            </w:r>
          </w:p>
        </w:tc>
      </w:tr>
      <w:tr w:rsidR="00B0303E" w:rsidTr="00702B67">
        <w:tc>
          <w:tcPr>
            <w:tcW w:w="3192" w:type="dxa"/>
          </w:tcPr>
          <w:p w:rsidR="00B0303E" w:rsidRDefault="00B0303E" w:rsidP="00702B67">
            <w:pPr>
              <w:jc w:val="center"/>
              <w:rPr>
                <w:sz w:val="24"/>
                <w:szCs w:val="24"/>
              </w:rPr>
            </w:pPr>
            <w:r>
              <w:rPr>
                <w:sz w:val="24"/>
                <w:szCs w:val="24"/>
              </w:rPr>
              <w:t>2019</w:t>
            </w:r>
          </w:p>
        </w:tc>
        <w:tc>
          <w:tcPr>
            <w:tcW w:w="3192" w:type="dxa"/>
          </w:tcPr>
          <w:p w:rsidR="00B0303E" w:rsidRDefault="00B0303E" w:rsidP="00702B67">
            <w:pPr>
              <w:jc w:val="center"/>
              <w:rPr>
                <w:sz w:val="24"/>
                <w:szCs w:val="24"/>
              </w:rPr>
            </w:pPr>
            <w:r>
              <w:rPr>
                <w:sz w:val="24"/>
                <w:szCs w:val="24"/>
              </w:rPr>
              <w:t>3</w:t>
            </w:r>
          </w:p>
        </w:tc>
        <w:tc>
          <w:tcPr>
            <w:tcW w:w="3192" w:type="dxa"/>
          </w:tcPr>
          <w:p w:rsidR="00B0303E" w:rsidRDefault="00B0303E" w:rsidP="00702B67">
            <w:pPr>
              <w:jc w:val="center"/>
              <w:rPr>
                <w:sz w:val="24"/>
                <w:szCs w:val="24"/>
              </w:rPr>
            </w:pPr>
            <w:r>
              <w:rPr>
                <w:sz w:val="24"/>
                <w:szCs w:val="24"/>
              </w:rPr>
              <w:t>43</w:t>
            </w:r>
          </w:p>
        </w:tc>
      </w:tr>
    </w:tbl>
    <w:p w:rsidR="00DE55F9" w:rsidRPr="00CD22AA" w:rsidRDefault="00DE55F9" w:rsidP="00DE55F9">
      <w:pPr>
        <w:spacing w:after="0" w:line="240" w:lineRule="auto"/>
        <w:rPr>
          <w:i/>
          <w:sz w:val="24"/>
          <w:szCs w:val="24"/>
        </w:rPr>
      </w:pPr>
      <w:r w:rsidRPr="00466B96">
        <w:rPr>
          <w:i/>
          <w:sz w:val="24"/>
          <w:szCs w:val="24"/>
          <w:u w:val="single"/>
        </w:rPr>
        <w:t>Source</w:t>
      </w:r>
      <w:r w:rsidRPr="00CD22AA">
        <w:rPr>
          <w:i/>
          <w:sz w:val="24"/>
          <w:szCs w:val="24"/>
        </w:rPr>
        <w:t xml:space="preserve">: </w:t>
      </w:r>
      <w:r w:rsidRPr="0038770F">
        <w:rPr>
          <w:sz w:val="24"/>
          <w:szCs w:val="24"/>
        </w:rPr>
        <w:t>Tennessee TB Elimination Program Cohort Review Worksheets</w:t>
      </w:r>
    </w:p>
    <w:p w:rsidR="00917000" w:rsidRDefault="00917000" w:rsidP="00B07043">
      <w:pPr>
        <w:spacing w:after="0" w:line="240" w:lineRule="auto"/>
        <w:rPr>
          <w:sz w:val="24"/>
          <w:szCs w:val="24"/>
        </w:rPr>
      </w:pPr>
    </w:p>
    <w:p w:rsidR="00917000" w:rsidRDefault="00917000" w:rsidP="00B07043">
      <w:pPr>
        <w:spacing w:after="0" w:line="240" w:lineRule="auto"/>
        <w:rPr>
          <w:sz w:val="24"/>
          <w:szCs w:val="24"/>
        </w:rPr>
      </w:pPr>
    </w:p>
    <w:p w:rsidR="00917000" w:rsidRDefault="00917000" w:rsidP="00B07043">
      <w:pPr>
        <w:spacing w:after="0" w:line="240" w:lineRule="auto"/>
        <w:rPr>
          <w:sz w:val="24"/>
          <w:szCs w:val="24"/>
        </w:rPr>
      </w:pPr>
    </w:p>
    <w:p w:rsidR="00917000" w:rsidRDefault="00917000" w:rsidP="00B07043">
      <w:pPr>
        <w:spacing w:after="0" w:line="240" w:lineRule="auto"/>
        <w:rPr>
          <w:sz w:val="24"/>
          <w:szCs w:val="24"/>
        </w:rPr>
      </w:pPr>
    </w:p>
    <w:p w:rsidR="009E6CC8" w:rsidRPr="00F869E6" w:rsidRDefault="00FD336F" w:rsidP="00B07043">
      <w:pPr>
        <w:spacing w:after="0" w:line="240" w:lineRule="auto"/>
        <w:rPr>
          <w:sz w:val="24"/>
          <w:szCs w:val="24"/>
        </w:rPr>
      </w:pPr>
      <w:r w:rsidRPr="00F869E6">
        <w:rPr>
          <w:sz w:val="24"/>
          <w:szCs w:val="24"/>
        </w:rPr>
        <w:t xml:space="preserve">Consistent themes of systems issues identified include: </w:t>
      </w:r>
      <w:r w:rsidR="0002605A">
        <w:rPr>
          <w:sz w:val="24"/>
          <w:szCs w:val="24"/>
        </w:rPr>
        <w:t xml:space="preserve">(a) </w:t>
      </w:r>
      <w:r w:rsidR="00667E97" w:rsidRPr="00F869E6">
        <w:rPr>
          <w:sz w:val="24"/>
          <w:szCs w:val="24"/>
        </w:rPr>
        <w:t>need for improvement in contact investigations (e.g., expanding contact investigation if positivity rate &gt;10%, timely in</w:t>
      </w:r>
      <w:r w:rsidR="0002605A">
        <w:rPr>
          <w:sz w:val="24"/>
          <w:szCs w:val="24"/>
        </w:rPr>
        <w:t xml:space="preserve">itiation and completion, etc.); (b) </w:t>
      </w:r>
      <w:r w:rsidR="00667E97" w:rsidRPr="00F869E6">
        <w:rPr>
          <w:sz w:val="24"/>
          <w:szCs w:val="24"/>
        </w:rPr>
        <w:t>delayed notification to the public health department of persons with</w:t>
      </w:r>
    </w:p>
    <w:p w:rsidR="00FD336F" w:rsidRDefault="00667E97" w:rsidP="00B07043">
      <w:pPr>
        <w:spacing w:after="0" w:line="240" w:lineRule="auto"/>
        <w:rPr>
          <w:sz w:val="24"/>
          <w:szCs w:val="24"/>
        </w:rPr>
      </w:pPr>
      <w:r w:rsidRPr="00F869E6">
        <w:rPr>
          <w:sz w:val="24"/>
          <w:szCs w:val="24"/>
        </w:rPr>
        <w:t>suspected or confirmed TB from outside providers</w:t>
      </w:r>
      <w:r w:rsidR="0002605A">
        <w:rPr>
          <w:sz w:val="24"/>
          <w:szCs w:val="24"/>
        </w:rPr>
        <w:t>;</w:t>
      </w:r>
      <w:r w:rsidRPr="00F869E6">
        <w:rPr>
          <w:sz w:val="24"/>
          <w:szCs w:val="24"/>
        </w:rPr>
        <w:t xml:space="preserve"> and </w:t>
      </w:r>
      <w:r w:rsidR="0002605A">
        <w:rPr>
          <w:sz w:val="24"/>
          <w:szCs w:val="24"/>
        </w:rPr>
        <w:t xml:space="preserve">(c) </w:t>
      </w:r>
      <w:r w:rsidRPr="00F869E6">
        <w:rPr>
          <w:sz w:val="24"/>
          <w:szCs w:val="24"/>
        </w:rPr>
        <w:t>timely use of therapeutic drug monitoring (TDM) for patients with risk factors for malabsorption.</w:t>
      </w:r>
    </w:p>
    <w:p w:rsidR="00FD336F" w:rsidRDefault="00FD336F" w:rsidP="00B07043">
      <w:pPr>
        <w:spacing w:after="0" w:line="240" w:lineRule="auto"/>
        <w:rPr>
          <w:sz w:val="24"/>
          <w:szCs w:val="24"/>
        </w:rPr>
      </w:pPr>
    </w:p>
    <w:p w:rsidR="00F9427C" w:rsidRDefault="00AB13BD" w:rsidP="00B07043">
      <w:pPr>
        <w:spacing w:after="0" w:line="240" w:lineRule="auto"/>
        <w:rPr>
          <w:b/>
          <w:sz w:val="24"/>
          <w:szCs w:val="24"/>
          <w:u w:val="single"/>
        </w:rPr>
      </w:pPr>
      <w:r>
        <w:rPr>
          <w:b/>
          <w:sz w:val="24"/>
          <w:szCs w:val="24"/>
          <w:u w:val="single"/>
        </w:rPr>
        <w:t>GENOTYPING AND RECENT TRANSMISSION</w:t>
      </w:r>
    </w:p>
    <w:p w:rsidR="00E77D82" w:rsidRPr="00E77D82" w:rsidRDefault="00E77D82" w:rsidP="00B07043">
      <w:pPr>
        <w:spacing w:after="0" w:line="240" w:lineRule="auto"/>
        <w:rPr>
          <w:sz w:val="24"/>
          <w:szCs w:val="24"/>
        </w:rPr>
      </w:pPr>
      <w:r>
        <w:rPr>
          <w:sz w:val="24"/>
          <w:szCs w:val="24"/>
        </w:rPr>
        <w:t>During this grant period, there were three (3) clusters that were high alert level clusters based on log likelihood ration</w:t>
      </w:r>
      <w:r w:rsidR="0014030B">
        <w:rPr>
          <w:sz w:val="24"/>
          <w:szCs w:val="24"/>
        </w:rPr>
        <w:t xml:space="preserve"> that were high-alert clusters:</w:t>
      </w:r>
    </w:p>
    <w:p w:rsidR="00E77D82" w:rsidRPr="0014030B" w:rsidRDefault="0014030B" w:rsidP="00B07043">
      <w:pPr>
        <w:spacing w:after="0" w:line="240" w:lineRule="auto"/>
        <w:rPr>
          <w:sz w:val="24"/>
          <w:szCs w:val="24"/>
        </w:rPr>
      </w:pPr>
      <w:r>
        <w:rPr>
          <w:sz w:val="24"/>
          <w:szCs w:val="24"/>
          <w:u w:val="single"/>
        </w:rPr>
        <w:t>G03948 (Shelby County)</w:t>
      </w:r>
      <w:r>
        <w:rPr>
          <w:sz w:val="24"/>
          <w:szCs w:val="24"/>
        </w:rPr>
        <w:t xml:space="preserve">: There were eight (8) cases added to this cluster </w:t>
      </w:r>
      <w:r w:rsidR="00AB13BD">
        <w:rPr>
          <w:sz w:val="24"/>
          <w:szCs w:val="24"/>
        </w:rPr>
        <w:t>from</w:t>
      </w:r>
      <w:r>
        <w:rPr>
          <w:sz w:val="24"/>
          <w:szCs w:val="24"/>
        </w:rPr>
        <w:t xml:space="preserve"> 2015 – 2019.  </w:t>
      </w:r>
      <w:r w:rsidR="00B356EE">
        <w:rPr>
          <w:sz w:val="24"/>
          <w:szCs w:val="24"/>
        </w:rPr>
        <w:t>Characteristics of this cluster include: U.S.-born (100%); African-American (100%); experiencing homelessness (37.5%); and any substance abuse (62.5%).  Whole-genome sequencing</w:t>
      </w:r>
      <w:r w:rsidR="00AB13BD">
        <w:rPr>
          <w:sz w:val="24"/>
          <w:szCs w:val="24"/>
        </w:rPr>
        <w:t xml:space="preserve"> (WGS)</w:t>
      </w:r>
      <w:r w:rsidR="00B356EE">
        <w:rPr>
          <w:sz w:val="24"/>
          <w:szCs w:val="24"/>
        </w:rPr>
        <w:t xml:space="preserve"> identified </w:t>
      </w:r>
      <w:r w:rsidR="003900E3">
        <w:rPr>
          <w:sz w:val="24"/>
          <w:szCs w:val="24"/>
        </w:rPr>
        <w:t>six (6) of the eight cases were considered closely related.  Of those six cases, five (5) had known epidemiologic links that were identified through contact investigations.</w:t>
      </w:r>
    </w:p>
    <w:p w:rsidR="0014030B" w:rsidRPr="003900E3" w:rsidRDefault="0014030B" w:rsidP="00B07043">
      <w:pPr>
        <w:spacing w:after="0" w:line="240" w:lineRule="auto"/>
        <w:rPr>
          <w:sz w:val="24"/>
          <w:szCs w:val="24"/>
        </w:rPr>
      </w:pPr>
      <w:r>
        <w:rPr>
          <w:sz w:val="24"/>
          <w:szCs w:val="24"/>
          <w:u w:val="single"/>
        </w:rPr>
        <w:t>G11097 (Lauderdale County)</w:t>
      </w:r>
      <w:r w:rsidR="003900E3">
        <w:rPr>
          <w:sz w:val="24"/>
          <w:szCs w:val="24"/>
        </w:rPr>
        <w:t>: Two (2) cases were added to this original single-person cluster in 2015 and 2016 for a total of three (3) cases from 2014 – 2016.  Characteristics of this cluster include: U.S.-born (100%) and African-American (100%).</w:t>
      </w:r>
    </w:p>
    <w:p w:rsidR="0014030B" w:rsidRPr="00AB13BD" w:rsidRDefault="003900E3" w:rsidP="00B07043">
      <w:pPr>
        <w:spacing w:after="0" w:line="240" w:lineRule="auto"/>
        <w:rPr>
          <w:sz w:val="24"/>
          <w:szCs w:val="24"/>
        </w:rPr>
      </w:pPr>
      <w:r>
        <w:rPr>
          <w:sz w:val="24"/>
          <w:szCs w:val="24"/>
          <w:u w:val="single"/>
        </w:rPr>
        <w:t>G15975 (Knox, Loudon, and Blount Counties</w:t>
      </w:r>
      <w:r w:rsidR="0014030B">
        <w:rPr>
          <w:sz w:val="24"/>
          <w:szCs w:val="24"/>
          <w:u w:val="single"/>
        </w:rPr>
        <w:t>)</w:t>
      </w:r>
      <w:r w:rsidR="00AB13BD">
        <w:rPr>
          <w:sz w:val="24"/>
          <w:szCs w:val="24"/>
        </w:rPr>
        <w:t xml:space="preserve">: Nine (9) cases were added to this cluster from 2016 – 2019.  Characteristics of this cluster include: U.S-born (100%); white (77.8%); experiencing homelessness (55.6%); corrections at diagnosis (44.4%); current or previous history of incarceration (77.8%); and any substance abuse (66.7%).  The primary sites of exposure included correctional facilities in two (2) counties.  WGS identified eight (8) of the nine (9) cases were considered closely related.  Four (4) cases had two (2) separate social epidemiologic links that were identified through contact investigations.  </w:t>
      </w:r>
    </w:p>
    <w:p w:rsidR="00066030" w:rsidRDefault="00066030" w:rsidP="00B07043">
      <w:pPr>
        <w:spacing w:after="0" w:line="240" w:lineRule="auto"/>
        <w:rPr>
          <w:sz w:val="24"/>
          <w:szCs w:val="24"/>
        </w:rPr>
      </w:pPr>
    </w:p>
    <w:p w:rsidR="00617BDA" w:rsidRDefault="00066030" w:rsidP="00B07043">
      <w:pPr>
        <w:spacing w:after="0" w:line="240" w:lineRule="auto"/>
        <w:rPr>
          <w:sz w:val="24"/>
          <w:szCs w:val="24"/>
        </w:rPr>
      </w:pPr>
      <w:r>
        <w:rPr>
          <w:b/>
          <w:sz w:val="24"/>
          <w:szCs w:val="24"/>
        </w:rPr>
        <w:t xml:space="preserve">Table </w:t>
      </w:r>
      <w:r w:rsidR="0041398C">
        <w:rPr>
          <w:b/>
          <w:sz w:val="24"/>
          <w:szCs w:val="24"/>
        </w:rPr>
        <w:t>5</w:t>
      </w:r>
      <w:r>
        <w:rPr>
          <w:sz w:val="24"/>
          <w:szCs w:val="24"/>
        </w:rPr>
        <w:t xml:space="preserve"> shows estimates of recent transmission 2015-2018</w:t>
      </w:r>
      <w:r w:rsidR="00D6412B">
        <w:rPr>
          <w:sz w:val="24"/>
          <w:szCs w:val="24"/>
        </w:rPr>
        <w:t xml:space="preserve">.  </w:t>
      </w:r>
      <w:r w:rsidR="00702B67">
        <w:rPr>
          <w:b/>
          <w:sz w:val="24"/>
          <w:szCs w:val="24"/>
        </w:rPr>
        <w:t xml:space="preserve">Table </w:t>
      </w:r>
      <w:r w:rsidR="00D6412B">
        <w:rPr>
          <w:b/>
          <w:sz w:val="24"/>
          <w:szCs w:val="24"/>
        </w:rPr>
        <w:t>6</w:t>
      </w:r>
      <w:r w:rsidR="00702B67">
        <w:rPr>
          <w:b/>
          <w:sz w:val="24"/>
          <w:szCs w:val="24"/>
        </w:rPr>
        <w:t xml:space="preserve"> </w:t>
      </w:r>
      <w:r w:rsidR="00702B67">
        <w:rPr>
          <w:sz w:val="24"/>
          <w:szCs w:val="24"/>
        </w:rPr>
        <w:t>shows the number of clusters by size reported during the grant timeframe</w:t>
      </w:r>
      <w:r w:rsidR="00617BDA">
        <w:rPr>
          <w:sz w:val="24"/>
          <w:szCs w:val="24"/>
        </w:rPr>
        <w:t>.</w:t>
      </w:r>
    </w:p>
    <w:p w:rsidR="00617BDA" w:rsidRDefault="00617BDA" w:rsidP="00B07043">
      <w:pPr>
        <w:spacing w:after="0" w:line="240" w:lineRule="auto"/>
        <w:rPr>
          <w:sz w:val="24"/>
          <w:szCs w:val="24"/>
        </w:rPr>
      </w:pPr>
    </w:p>
    <w:p w:rsidR="00617BDA" w:rsidRDefault="002063D8" w:rsidP="00B07043">
      <w:pPr>
        <w:spacing w:after="0" w:line="240" w:lineRule="auto"/>
        <w:rPr>
          <w:b/>
          <w:sz w:val="24"/>
          <w:szCs w:val="24"/>
        </w:rPr>
      </w:pPr>
      <w:r>
        <w:rPr>
          <w:b/>
          <w:sz w:val="24"/>
          <w:szCs w:val="24"/>
        </w:rPr>
        <w:t xml:space="preserve">Table </w:t>
      </w:r>
      <w:r w:rsidR="0041398C">
        <w:rPr>
          <w:b/>
          <w:sz w:val="24"/>
          <w:szCs w:val="24"/>
        </w:rPr>
        <w:t>5</w:t>
      </w:r>
      <w:r w:rsidR="00617BDA">
        <w:rPr>
          <w:b/>
          <w:sz w:val="24"/>
          <w:szCs w:val="24"/>
        </w:rPr>
        <w:t>.  Estimates of Recent Tr</w:t>
      </w:r>
      <w:r w:rsidR="00FB7B9F">
        <w:rPr>
          <w:b/>
          <w:sz w:val="24"/>
          <w:szCs w:val="24"/>
        </w:rPr>
        <w:t xml:space="preserve">ansmission—Tennessee, 2015 – 2018 </w:t>
      </w:r>
    </w:p>
    <w:tbl>
      <w:tblPr>
        <w:tblStyle w:val="TableGrid"/>
        <w:tblW w:w="0" w:type="auto"/>
        <w:tblLook w:val="04A0" w:firstRow="1" w:lastRow="0" w:firstColumn="1" w:lastColumn="0" w:noHBand="0" w:noVBand="1"/>
      </w:tblPr>
      <w:tblGrid>
        <w:gridCol w:w="1306"/>
        <w:gridCol w:w="2132"/>
        <w:gridCol w:w="2880"/>
        <w:gridCol w:w="3258"/>
      </w:tblGrid>
      <w:tr w:rsidR="00617BDA" w:rsidRPr="00617BDA" w:rsidTr="00617BDA">
        <w:tc>
          <w:tcPr>
            <w:tcW w:w="1306" w:type="dxa"/>
            <w:shd w:val="clear" w:color="auto" w:fill="D9D9D9" w:themeFill="background1" w:themeFillShade="D9"/>
            <w:vAlign w:val="center"/>
          </w:tcPr>
          <w:p w:rsidR="00617BDA" w:rsidRPr="00617BDA" w:rsidRDefault="00617BDA" w:rsidP="00617BDA">
            <w:pPr>
              <w:jc w:val="center"/>
              <w:rPr>
                <w:b/>
                <w:sz w:val="24"/>
                <w:szCs w:val="24"/>
              </w:rPr>
            </w:pPr>
            <w:r>
              <w:rPr>
                <w:b/>
                <w:sz w:val="24"/>
                <w:szCs w:val="24"/>
              </w:rPr>
              <w:t>Timeframe</w:t>
            </w:r>
          </w:p>
        </w:tc>
        <w:tc>
          <w:tcPr>
            <w:tcW w:w="2132" w:type="dxa"/>
            <w:shd w:val="clear" w:color="auto" w:fill="D9D9D9" w:themeFill="background1" w:themeFillShade="D9"/>
            <w:vAlign w:val="center"/>
          </w:tcPr>
          <w:p w:rsidR="00617BDA" w:rsidRPr="00617BDA" w:rsidRDefault="00617BDA" w:rsidP="00617BDA">
            <w:pPr>
              <w:jc w:val="center"/>
              <w:rPr>
                <w:b/>
                <w:sz w:val="24"/>
                <w:szCs w:val="24"/>
                <w:vertAlign w:val="superscript"/>
              </w:rPr>
            </w:pPr>
            <w:r>
              <w:rPr>
                <w:b/>
                <w:sz w:val="24"/>
                <w:szCs w:val="24"/>
              </w:rPr>
              <w:t>Number of Genotyped Cases</w:t>
            </w:r>
            <w:r>
              <w:rPr>
                <w:b/>
                <w:sz w:val="24"/>
                <w:szCs w:val="24"/>
                <w:vertAlign w:val="superscript"/>
              </w:rPr>
              <w:t>*</w:t>
            </w:r>
          </w:p>
        </w:tc>
        <w:tc>
          <w:tcPr>
            <w:tcW w:w="2880" w:type="dxa"/>
            <w:shd w:val="clear" w:color="auto" w:fill="D9D9D9" w:themeFill="background1" w:themeFillShade="D9"/>
            <w:vAlign w:val="center"/>
          </w:tcPr>
          <w:p w:rsidR="00617BDA" w:rsidRPr="00617BDA" w:rsidRDefault="00617BDA" w:rsidP="00617BDA">
            <w:pPr>
              <w:jc w:val="center"/>
              <w:rPr>
                <w:b/>
                <w:sz w:val="24"/>
                <w:szCs w:val="24"/>
              </w:rPr>
            </w:pPr>
            <w:r>
              <w:rPr>
                <w:b/>
                <w:sz w:val="24"/>
                <w:szCs w:val="24"/>
              </w:rPr>
              <w:t>Cases Attributed to Recent Transmission</w:t>
            </w:r>
            <w:r>
              <w:rPr>
                <w:b/>
                <w:sz w:val="24"/>
                <w:szCs w:val="24"/>
                <w:vertAlign w:val="superscript"/>
              </w:rPr>
              <w:t>**</w:t>
            </w:r>
            <w:r>
              <w:rPr>
                <w:b/>
                <w:sz w:val="24"/>
                <w:szCs w:val="24"/>
              </w:rPr>
              <w:t xml:space="preserve"> (%)</w:t>
            </w:r>
          </w:p>
        </w:tc>
        <w:tc>
          <w:tcPr>
            <w:tcW w:w="3258" w:type="dxa"/>
            <w:shd w:val="clear" w:color="auto" w:fill="D9D9D9" w:themeFill="background1" w:themeFillShade="D9"/>
            <w:vAlign w:val="center"/>
          </w:tcPr>
          <w:p w:rsidR="00617BDA" w:rsidRPr="00617BDA" w:rsidRDefault="00617BDA" w:rsidP="00617BDA">
            <w:pPr>
              <w:jc w:val="center"/>
              <w:rPr>
                <w:b/>
                <w:sz w:val="24"/>
                <w:szCs w:val="24"/>
              </w:rPr>
            </w:pPr>
            <w:r>
              <w:rPr>
                <w:b/>
                <w:sz w:val="24"/>
                <w:szCs w:val="24"/>
              </w:rPr>
              <w:t>Cases Attributed to Extensive Recent Transmission</w:t>
            </w:r>
            <w:r>
              <w:rPr>
                <w:rFonts w:cstheme="minorHAnsi"/>
                <w:b/>
                <w:sz w:val="24"/>
                <w:szCs w:val="24"/>
                <w:vertAlign w:val="superscript"/>
              </w:rPr>
              <w:t>§</w:t>
            </w:r>
            <w:r>
              <w:rPr>
                <w:b/>
                <w:sz w:val="24"/>
                <w:szCs w:val="24"/>
              </w:rPr>
              <w:t xml:space="preserve"> (%)</w:t>
            </w:r>
          </w:p>
        </w:tc>
      </w:tr>
      <w:tr w:rsidR="00617BDA" w:rsidTr="00617BDA">
        <w:tc>
          <w:tcPr>
            <w:tcW w:w="1306" w:type="dxa"/>
            <w:vAlign w:val="center"/>
          </w:tcPr>
          <w:p w:rsidR="00617BDA" w:rsidRDefault="00617BDA" w:rsidP="00617BDA">
            <w:pPr>
              <w:jc w:val="center"/>
              <w:rPr>
                <w:sz w:val="24"/>
                <w:szCs w:val="24"/>
              </w:rPr>
            </w:pPr>
            <w:r>
              <w:rPr>
                <w:sz w:val="24"/>
                <w:szCs w:val="24"/>
              </w:rPr>
              <w:t>2015-2016</w:t>
            </w:r>
          </w:p>
        </w:tc>
        <w:tc>
          <w:tcPr>
            <w:tcW w:w="2132" w:type="dxa"/>
            <w:vAlign w:val="center"/>
          </w:tcPr>
          <w:p w:rsidR="00617BDA" w:rsidRDefault="00617BDA" w:rsidP="00617BDA">
            <w:pPr>
              <w:jc w:val="center"/>
              <w:rPr>
                <w:sz w:val="24"/>
                <w:szCs w:val="24"/>
              </w:rPr>
            </w:pPr>
            <w:r>
              <w:rPr>
                <w:sz w:val="24"/>
                <w:szCs w:val="24"/>
              </w:rPr>
              <w:t>160</w:t>
            </w:r>
          </w:p>
        </w:tc>
        <w:tc>
          <w:tcPr>
            <w:tcW w:w="2880" w:type="dxa"/>
            <w:vAlign w:val="center"/>
          </w:tcPr>
          <w:p w:rsidR="00617BDA" w:rsidRDefault="00617BDA" w:rsidP="00617BDA">
            <w:pPr>
              <w:jc w:val="center"/>
              <w:rPr>
                <w:sz w:val="24"/>
                <w:szCs w:val="24"/>
              </w:rPr>
            </w:pPr>
            <w:r>
              <w:rPr>
                <w:sz w:val="24"/>
                <w:szCs w:val="24"/>
              </w:rPr>
              <w:t>34 (21.3)</w:t>
            </w:r>
          </w:p>
        </w:tc>
        <w:tc>
          <w:tcPr>
            <w:tcW w:w="3258" w:type="dxa"/>
            <w:vAlign w:val="center"/>
          </w:tcPr>
          <w:p w:rsidR="00617BDA" w:rsidRDefault="00617BDA" w:rsidP="00617BDA">
            <w:pPr>
              <w:jc w:val="center"/>
              <w:rPr>
                <w:sz w:val="24"/>
                <w:szCs w:val="24"/>
              </w:rPr>
            </w:pPr>
            <w:r>
              <w:rPr>
                <w:sz w:val="24"/>
                <w:szCs w:val="24"/>
              </w:rPr>
              <w:t>19 (11.9)</w:t>
            </w:r>
          </w:p>
        </w:tc>
      </w:tr>
      <w:tr w:rsidR="00617BDA" w:rsidTr="00617BDA">
        <w:tc>
          <w:tcPr>
            <w:tcW w:w="1306" w:type="dxa"/>
            <w:vAlign w:val="center"/>
          </w:tcPr>
          <w:p w:rsidR="00617BDA" w:rsidRDefault="00617BDA" w:rsidP="00617BDA">
            <w:pPr>
              <w:jc w:val="center"/>
              <w:rPr>
                <w:sz w:val="24"/>
                <w:szCs w:val="24"/>
              </w:rPr>
            </w:pPr>
            <w:r>
              <w:rPr>
                <w:sz w:val="24"/>
                <w:szCs w:val="24"/>
              </w:rPr>
              <w:t>2016-2017</w:t>
            </w:r>
          </w:p>
        </w:tc>
        <w:tc>
          <w:tcPr>
            <w:tcW w:w="2132" w:type="dxa"/>
            <w:vAlign w:val="center"/>
          </w:tcPr>
          <w:p w:rsidR="00617BDA" w:rsidRDefault="00617BDA" w:rsidP="00617BDA">
            <w:pPr>
              <w:jc w:val="center"/>
              <w:rPr>
                <w:sz w:val="24"/>
                <w:szCs w:val="24"/>
              </w:rPr>
            </w:pPr>
            <w:r>
              <w:rPr>
                <w:sz w:val="24"/>
                <w:szCs w:val="24"/>
              </w:rPr>
              <w:t>171</w:t>
            </w:r>
          </w:p>
        </w:tc>
        <w:tc>
          <w:tcPr>
            <w:tcW w:w="2880" w:type="dxa"/>
            <w:vAlign w:val="center"/>
          </w:tcPr>
          <w:p w:rsidR="00617BDA" w:rsidRDefault="00617BDA" w:rsidP="00617BDA">
            <w:pPr>
              <w:jc w:val="center"/>
              <w:rPr>
                <w:sz w:val="24"/>
                <w:szCs w:val="24"/>
              </w:rPr>
            </w:pPr>
            <w:r>
              <w:rPr>
                <w:sz w:val="24"/>
                <w:szCs w:val="24"/>
              </w:rPr>
              <w:t>30 (17.5)</w:t>
            </w:r>
          </w:p>
        </w:tc>
        <w:tc>
          <w:tcPr>
            <w:tcW w:w="3258" w:type="dxa"/>
            <w:vAlign w:val="center"/>
          </w:tcPr>
          <w:p w:rsidR="00617BDA" w:rsidRDefault="00617BDA" w:rsidP="00617BDA">
            <w:pPr>
              <w:jc w:val="center"/>
              <w:rPr>
                <w:sz w:val="24"/>
                <w:szCs w:val="24"/>
              </w:rPr>
            </w:pPr>
            <w:r>
              <w:rPr>
                <w:sz w:val="24"/>
                <w:szCs w:val="24"/>
              </w:rPr>
              <w:t>17 (9.9)</w:t>
            </w:r>
          </w:p>
        </w:tc>
      </w:tr>
      <w:tr w:rsidR="00617BDA" w:rsidTr="00617BDA">
        <w:tc>
          <w:tcPr>
            <w:tcW w:w="1306" w:type="dxa"/>
            <w:vAlign w:val="center"/>
          </w:tcPr>
          <w:p w:rsidR="00617BDA" w:rsidRDefault="00AA6485" w:rsidP="00617BDA">
            <w:pPr>
              <w:jc w:val="center"/>
              <w:rPr>
                <w:sz w:val="24"/>
                <w:szCs w:val="24"/>
              </w:rPr>
            </w:pPr>
            <w:r>
              <w:rPr>
                <w:sz w:val="24"/>
                <w:szCs w:val="24"/>
              </w:rPr>
              <w:t>2017-2018</w:t>
            </w:r>
          </w:p>
        </w:tc>
        <w:tc>
          <w:tcPr>
            <w:tcW w:w="2132" w:type="dxa"/>
            <w:vAlign w:val="center"/>
          </w:tcPr>
          <w:p w:rsidR="00617BDA" w:rsidRDefault="00AA6485" w:rsidP="00617BDA">
            <w:pPr>
              <w:jc w:val="center"/>
              <w:rPr>
                <w:sz w:val="24"/>
                <w:szCs w:val="24"/>
              </w:rPr>
            </w:pPr>
            <w:r>
              <w:rPr>
                <w:sz w:val="24"/>
                <w:szCs w:val="24"/>
              </w:rPr>
              <w:t>182</w:t>
            </w:r>
          </w:p>
        </w:tc>
        <w:tc>
          <w:tcPr>
            <w:tcW w:w="2880" w:type="dxa"/>
            <w:vAlign w:val="center"/>
          </w:tcPr>
          <w:p w:rsidR="00617BDA" w:rsidRDefault="00AA6485" w:rsidP="00617BDA">
            <w:pPr>
              <w:jc w:val="center"/>
              <w:rPr>
                <w:sz w:val="24"/>
                <w:szCs w:val="24"/>
              </w:rPr>
            </w:pPr>
            <w:r>
              <w:rPr>
                <w:sz w:val="24"/>
                <w:szCs w:val="24"/>
              </w:rPr>
              <w:t>31 (17.0)</w:t>
            </w:r>
          </w:p>
        </w:tc>
        <w:tc>
          <w:tcPr>
            <w:tcW w:w="3258" w:type="dxa"/>
            <w:vAlign w:val="center"/>
          </w:tcPr>
          <w:p w:rsidR="00617BDA" w:rsidRDefault="00AA6485" w:rsidP="00617BDA">
            <w:pPr>
              <w:jc w:val="center"/>
              <w:rPr>
                <w:sz w:val="24"/>
                <w:szCs w:val="24"/>
              </w:rPr>
            </w:pPr>
            <w:r>
              <w:rPr>
                <w:sz w:val="24"/>
                <w:szCs w:val="24"/>
              </w:rPr>
              <w:t>13 (7.1)</w:t>
            </w:r>
          </w:p>
        </w:tc>
      </w:tr>
    </w:tbl>
    <w:p w:rsidR="00AA6485" w:rsidRDefault="00AA6485" w:rsidP="00B07043">
      <w:pPr>
        <w:spacing w:after="0" w:line="240" w:lineRule="auto"/>
        <w:rPr>
          <w:sz w:val="24"/>
          <w:szCs w:val="24"/>
        </w:rPr>
      </w:pPr>
      <w:r>
        <w:rPr>
          <w:sz w:val="24"/>
          <w:szCs w:val="24"/>
          <w:vertAlign w:val="superscript"/>
        </w:rPr>
        <w:t>*</w:t>
      </w:r>
      <w:r>
        <w:rPr>
          <w:sz w:val="24"/>
          <w:szCs w:val="24"/>
        </w:rPr>
        <w:t xml:space="preserve">Total number of </w:t>
      </w:r>
      <w:r>
        <w:rPr>
          <w:i/>
          <w:sz w:val="24"/>
          <w:szCs w:val="24"/>
        </w:rPr>
        <w:t>M. tuberculosis</w:t>
      </w:r>
      <w:r>
        <w:rPr>
          <w:sz w:val="24"/>
          <w:szCs w:val="24"/>
        </w:rPr>
        <w:t xml:space="preserve"> genotyped cases who are eligible to be evaluated for recent transmission (i.e., complete data for the plausible-source case method’s algorithm).</w:t>
      </w:r>
    </w:p>
    <w:p w:rsidR="00AE1E9F" w:rsidRDefault="00AA6485" w:rsidP="00B07043">
      <w:pPr>
        <w:spacing w:after="0" w:line="240" w:lineRule="auto"/>
        <w:rPr>
          <w:sz w:val="24"/>
          <w:szCs w:val="24"/>
        </w:rPr>
      </w:pPr>
      <w:r>
        <w:rPr>
          <w:sz w:val="24"/>
          <w:szCs w:val="24"/>
          <w:vertAlign w:val="superscript"/>
        </w:rPr>
        <w:t>**</w:t>
      </w:r>
      <w:r>
        <w:rPr>
          <w:sz w:val="24"/>
          <w:szCs w:val="24"/>
        </w:rPr>
        <w:t>Number of cases attributed to recent transmission includes any given case with a plausible source case regardless of cluster size.</w:t>
      </w:r>
      <w:r w:rsidR="00066030">
        <w:rPr>
          <w:sz w:val="24"/>
          <w:szCs w:val="24"/>
        </w:rPr>
        <w:t xml:space="preserve">  </w:t>
      </w:r>
    </w:p>
    <w:p w:rsidR="00AA6485" w:rsidRDefault="00AA6485" w:rsidP="00B07043">
      <w:pPr>
        <w:spacing w:after="0" w:line="240" w:lineRule="auto"/>
        <w:rPr>
          <w:sz w:val="24"/>
          <w:szCs w:val="24"/>
        </w:rPr>
      </w:pPr>
      <w:r>
        <w:rPr>
          <w:rFonts w:cstheme="minorHAnsi"/>
          <w:sz w:val="24"/>
          <w:szCs w:val="24"/>
          <w:vertAlign w:val="superscript"/>
        </w:rPr>
        <w:t>§</w:t>
      </w:r>
      <w:r>
        <w:rPr>
          <w:sz w:val="24"/>
          <w:szCs w:val="24"/>
        </w:rPr>
        <w:t>Number of cases attributed to extensive recent transmission includes only cases in a plausible chain of transmission of six (6) or more cases (five secondary and one source case).</w:t>
      </w:r>
    </w:p>
    <w:p w:rsidR="00AA6485" w:rsidRDefault="00AA6485" w:rsidP="00B07043">
      <w:pPr>
        <w:spacing w:after="0" w:line="240" w:lineRule="auto"/>
        <w:rPr>
          <w:sz w:val="24"/>
          <w:szCs w:val="24"/>
        </w:rPr>
      </w:pPr>
      <w:r>
        <w:rPr>
          <w:i/>
          <w:sz w:val="24"/>
          <w:szCs w:val="24"/>
          <w:u w:val="single"/>
        </w:rPr>
        <w:t>Source</w:t>
      </w:r>
      <w:r>
        <w:rPr>
          <w:sz w:val="24"/>
          <w:szCs w:val="24"/>
        </w:rPr>
        <w:t>: USDHHS, CDC, TB Genotyping Information Management System (TB GIMS)</w:t>
      </w:r>
    </w:p>
    <w:p w:rsidR="00702B67" w:rsidRDefault="00702B67" w:rsidP="00B07043">
      <w:pPr>
        <w:spacing w:after="0" w:line="240" w:lineRule="auto"/>
        <w:rPr>
          <w:sz w:val="24"/>
          <w:szCs w:val="24"/>
        </w:rPr>
      </w:pPr>
    </w:p>
    <w:p w:rsidR="00917000" w:rsidRDefault="00917000" w:rsidP="00B07043">
      <w:pPr>
        <w:spacing w:after="0" w:line="240" w:lineRule="auto"/>
        <w:rPr>
          <w:b/>
          <w:sz w:val="24"/>
          <w:szCs w:val="24"/>
        </w:rPr>
      </w:pPr>
    </w:p>
    <w:p w:rsidR="002F5A31" w:rsidRPr="002F5A31" w:rsidRDefault="002F5A31" w:rsidP="00B07043">
      <w:pPr>
        <w:spacing w:after="0" w:line="240" w:lineRule="auto"/>
        <w:rPr>
          <w:b/>
          <w:sz w:val="24"/>
          <w:szCs w:val="24"/>
          <w:vertAlign w:val="superscript"/>
        </w:rPr>
      </w:pPr>
      <w:r>
        <w:rPr>
          <w:b/>
          <w:sz w:val="24"/>
          <w:szCs w:val="24"/>
        </w:rPr>
        <w:t xml:space="preserve">Table </w:t>
      </w:r>
      <w:r w:rsidR="0041398C">
        <w:rPr>
          <w:b/>
          <w:sz w:val="24"/>
          <w:szCs w:val="24"/>
        </w:rPr>
        <w:t>6</w:t>
      </w:r>
      <w:r w:rsidR="00FB7B9F">
        <w:rPr>
          <w:b/>
          <w:sz w:val="24"/>
          <w:szCs w:val="24"/>
        </w:rPr>
        <w:t>.  Genotype Clusters by Size—Tennessee, 2015 – 2019</w:t>
      </w:r>
    </w:p>
    <w:tbl>
      <w:tblPr>
        <w:tblStyle w:val="TableGrid"/>
        <w:tblW w:w="0" w:type="auto"/>
        <w:tblLook w:val="04A0" w:firstRow="1" w:lastRow="0" w:firstColumn="1" w:lastColumn="0" w:noHBand="0" w:noVBand="1"/>
      </w:tblPr>
      <w:tblGrid>
        <w:gridCol w:w="1458"/>
        <w:gridCol w:w="2070"/>
        <w:gridCol w:w="2070"/>
        <w:gridCol w:w="2062"/>
        <w:gridCol w:w="1916"/>
      </w:tblGrid>
      <w:tr w:rsidR="00702B67" w:rsidTr="00702B67">
        <w:tc>
          <w:tcPr>
            <w:tcW w:w="1458" w:type="dxa"/>
            <w:shd w:val="clear" w:color="auto" w:fill="D9D9D9" w:themeFill="background1" w:themeFillShade="D9"/>
            <w:vAlign w:val="center"/>
          </w:tcPr>
          <w:p w:rsidR="00702B67" w:rsidRPr="00702B67" w:rsidRDefault="00702B67" w:rsidP="00702B67">
            <w:pPr>
              <w:jc w:val="center"/>
              <w:rPr>
                <w:b/>
                <w:sz w:val="24"/>
                <w:szCs w:val="24"/>
              </w:rPr>
            </w:pPr>
            <w:r>
              <w:rPr>
                <w:b/>
                <w:sz w:val="24"/>
                <w:szCs w:val="24"/>
              </w:rPr>
              <w:t>Year Reported</w:t>
            </w:r>
          </w:p>
        </w:tc>
        <w:tc>
          <w:tcPr>
            <w:tcW w:w="2070" w:type="dxa"/>
            <w:shd w:val="clear" w:color="auto" w:fill="D9D9D9" w:themeFill="background1" w:themeFillShade="D9"/>
            <w:vAlign w:val="center"/>
          </w:tcPr>
          <w:p w:rsidR="00702B67" w:rsidRPr="00702B67" w:rsidRDefault="00702B67" w:rsidP="00702B67">
            <w:pPr>
              <w:jc w:val="center"/>
              <w:rPr>
                <w:b/>
                <w:sz w:val="24"/>
                <w:szCs w:val="24"/>
              </w:rPr>
            </w:pPr>
            <w:r>
              <w:rPr>
                <w:b/>
                <w:sz w:val="24"/>
                <w:szCs w:val="24"/>
              </w:rPr>
              <w:t>Two (2)-Person Cluster</w:t>
            </w:r>
          </w:p>
        </w:tc>
        <w:tc>
          <w:tcPr>
            <w:tcW w:w="2070" w:type="dxa"/>
            <w:shd w:val="clear" w:color="auto" w:fill="D9D9D9" w:themeFill="background1" w:themeFillShade="D9"/>
            <w:vAlign w:val="center"/>
          </w:tcPr>
          <w:p w:rsidR="00702B67" w:rsidRPr="00702B67" w:rsidRDefault="00702B67" w:rsidP="00702B67">
            <w:pPr>
              <w:jc w:val="center"/>
              <w:rPr>
                <w:b/>
                <w:sz w:val="24"/>
                <w:szCs w:val="24"/>
              </w:rPr>
            </w:pPr>
            <w:r>
              <w:rPr>
                <w:b/>
                <w:sz w:val="24"/>
                <w:szCs w:val="24"/>
              </w:rPr>
              <w:t>Three (3)-Person Cluster</w:t>
            </w:r>
          </w:p>
        </w:tc>
        <w:tc>
          <w:tcPr>
            <w:tcW w:w="2062" w:type="dxa"/>
            <w:shd w:val="clear" w:color="auto" w:fill="D9D9D9" w:themeFill="background1" w:themeFillShade="D9"/>
            <w:vAlign w:val="center"/>
          </w:tcPr>
          <w:p w:rsidR="00702B67" w:rsidRPr="00702B67" w:rsidRDefault="00702B67" w:rsidP="00702B67">
            <w:pPr>
              <w:jc w:val="center"/>
              <w:rPr>
                <w:b/>
                <w:sz w:val="24"/>
                <w:szCs w:val="24"/>
              </w:rPr>
            </w:pPr>
            <w:r>
              <w:rPr>
                <w:b/>
                <w:sz w:val="24"/>
                <w:szCs w:val="24"/>
              </w:rPr>
              <w:t>Four (4) – Nine (9)-Person Cluster</w:t>
            </w:r>
          </w:p>
        </w:tc>
        <w:tc>
          <w:tcPr>
            <w:tcW w:w="1916" w:type="dxa"/>
            <w:shd w:val="clear" w:color="auto" w:fill="D9D9D9" w:themeFill="background1" w:themeFillShade="D9"/>
            <w:vAlign w:val="center"/>
          </w:tcPr>
          <w:p w:rsidR="00702B67" w:rsidRPr="00702B67" w:rsidRDefault="00702B67" w:rsidP="00702B67">
            <w:pPr>
              <w:jc w:val="center"/>
              <w:rPr>
                <w:b/>
                <w:sz w:val="24"/>
                <w:szCs w:val="24"/>
              </w:rPr>
            </w:pPr>
            <w:r>
              <w:rPr>
                <w:b/>
                <w:sz w:val="24"/>
                <w:szCs w:val="24"/>
              </w:rPr>
              <w:t>10+-Person Cluster</w:t>
            </w:r>
          </w:p>
        </w:tc>
      </w:tr>
      <w:tr w:rsidR="00702B67" w:rsidTr="00702B67">
        <w:tc>
          <w:tcPr>
            <w:tcW w:w="1458" w:type="dxa"/>
          </w:tcPr>
          <w:p w:rsidR="00702B67" w:rsidRDefault="00702B67" w:rsidP="00702B67">
            <w:pPr>
              <w:jc w:val="center"/>
              <w:rPr>
                <w:sz w:val="24"/>
                <w:szCs w:val="24"/>
              </w:rPr>
            </w:pPr>
            <w:r>
              <w:rPr>
                <w:sz w:val="24"/>
                <w:szCs w:val="24"/>
              </w:rPr>
              <w:t>2015</w:t>
            </w:r>
          </w:p>
        </w:tc>
        <w:tc>
          <w:tcPr>
            <w:tcW w:w="2070" w:type="dxa"/>
          </w:tcPr>
          <w:p w:rsidR="00702B67" w:rsidRDefault="00702B67" w:rsidP="00702B67">
            <w:pPr>
              <w:jc w:val="center"/>
              <w:rPr>
                <w:sz w:val="24"/>
                <w:szCs w:val="24"/>
              </w:rPr>
            </w:pPr>
            <w:r>
              <w:rPr>
                <w:sz w:val="24"/>
                <w:szCs w:val="24"/>
              </w:rPr>
              <w:t>2</w:t>
            </w:r>
          </w:p>
        </w:tc>
        <w:tc>
          <w:tcPr>
            <w:tcW w:w="2070" w:type="dxa"/>
          </w:tcPr>
          <w:p w:rsidR="00702B67" w:rsidRDefault="00702B67" w:rsidP="00702B67">
            <w:pPr>
              <w:jc w:val="center"/>
              <w:rPr>
                <w:sz w:val="24"/>
                <w:szCs w:val="24"/>
              </w:rPr>
            </w:pPr>
            <w:r>
              <w:rPr>
                <w:sz w:val="24"/>
                <w:szCs w:val="24"/>
              </w:rPr>
              <w:t>2</w:t>
            </w:r>
          </w:p>
        </w:tc>
        <w:tc>
          <w:tcPr>
            <w:tcW w:w="2062" w:type="dxa"/>
          </w:tcPr>
          <w:p w:rsidR="00702B67" w:rsidRDefault="00702B67" w:rsidP="00702B67">
            <w:pPr>
              <w:jc w:val="center"/>
              <w:rPr>
                <w:sz w:val="24"/>
                <w:szCs w:val="24"/>
              </w:rPr>
            </w:pPr>
            <w:r>
              <w:rPr>
                <w:sz w:val="24"/>
                <w:szCs w:val="24"/>
              </w:rPr>
              <w:t>1</w:t>
            </w:r>
          </w:p>
        </w:tc>
        <w:tc>
          <w:tcPr>
            <w:tcW w:w="1916" w:type="dxa"/>
          </w:tcPr>
          <w:p w:rsidR="00702B67" w:rsidRDefault="00702B67" w:rsidP="00702B67">
            <w:pPr>
              <w:jc w:val="center"/>
              <w:rPr>
                <w:sz w:val="24"/>
                <w:szCs w:val="24"/>
              </w:rPr>
            </w:pPr>
            <w:r>
              <w:rPr>
                <w:sz w:val="24"/>
                <w:szCs w:val="24"/>
              </w:rPr>
              <w:t>0</w:t>
            </w:r>
          </w:p>
        </w:tc>
      </w:tr>
      <w:tr w:rsidR="00702B67" w:rsidTr="00702B67">
        <w:tc>
          <w:tcPr>
            <w:tcW w:w="1458" w:type="dxa"/>
          </w:tcPr>
          <w:p w:rsidR="00702B67" w:rsidRDefault="00702B67" w:rsidP="00702B67">
            <w:pPr>
              <w:jc w:val="center"/>
              <w:rPr>
                <w:sz w:val="24"/>
                <w:szCs w:val="24"/>
              </w:rPr>
            </w:pPr>
            <w:r>
              <w:rPr>
                <w:sz w:val="24"/>
                <w:szCs w:val="24"/>
              </w:rPr>
              <w:t>2016</w:t>
            </w:r>
          </w:p>
        </w:tc>
        <w:tc>
          <w:tcPr>
            <w:tcW w:w="2070" w:type="dxa"/>
          </w:tcPr>
          <w:p w:rsidR="00702B67" w:rsidRDefault="00702B67" w:rsidP="00702B67">
            <w:pPr>
              <w:jc w:val="center"/>
              <w:rPr>
                <w:sz w:val="24"/>
                <w:szCs w:val="24"/>
              </w:rPr>
            </w:pPr>
            <w:r>
              <w:rPr>
                <w:sz w:val="24"/>
                <w:szCs w:val="24"/>
              </w:rPr>
              <w:t>5</w:t>
            </w:r>
          </w:p>
        </w:tc>
        <w:tc>
          <w:tcPr>
            <w:tcW w:w="2070" w:type="dxa"/>
          </w:tcPr>
          <w:p w:rsidR="00702B67" w:rsidRDefault="00702B67" w:rsidP="00702B67">
            <w:pPr>
              <w:jc w:val="center"/>
              <w:rPr>
                <w:sz w:val="24"/>
                <w:szCs w:val="24"/>
              </w:rPr>
            </w:pPr>
            <w:r>
              <w:rPr>
                <w:sz w:val="24"/>
                <w:szCs w:val="24"/>
              </w:rPr>
              <w:t>3</w:t>
            </w:r>
          </w:p>
        </w:tc>
        <w:tc>
          <w:tcPr>
            <w:tcW w:w="2062" w:type="dxa"/>
          </w:tcPr>
          <w:p w:rsidR="00702B67" w:rsidRDefault="00702B67" w:rsidP="00702B67">
            <w:pPr>
              <w:jc w:val="center"/>
              <w:rPr>
                <w:sz w:val="24"/>
                <w:szCs w:val="24"/>
              </w:rPr>
            </w:pPr>
            <w:r>
              <w:rPr>
                <w:sz w:val="24"/>
                <w:szCs w:val="24"/>
              </w:rPr>
              <w:t>1</w:t>
            </w:r>
          </w:p>
        </w:tc>
        <w:tc>
          <w:tcPr>
            <w:tcW w:w="1916" w:type="dxa"/>
          </w:tcPr>
          <w:p w:rsidR="00702B67" w:rsidRDefault="00702B67" w:rsidP="00702B67">
            <w:pPr>
              <w:jc w:val="center"/>
              <w:rPr>
                <w:sz w:val="24"/>
                <w:szCs w:val="24"/>
              </w:rPr>
            </w:pPr>
            <w:r>
              <w:rPr>
                <w:sz w:val="24"/>
                <w:szCs w:val="24"/>
              </w:rPr>
              <w:t>0</w:t>
            </w:r>
          </w:p>
        </w:tc>
      </w:tr>
      <w:tr w:rsidR="00702B67" w:rsidTr="00702B67">
        <w:tc>
          <w:tcPr>
            <w:tcW w:w="1458" w:type="dxa"/>
          </w:tcPr>
          <w:p w:rsidR="00702B67" w:rsidRDefault="00702B67" w:rsidP="00702B67">
            <w:pPr>
              <w:jc w:val="center"/>
              <w:rPr>
                <w:sz w:val="24"/>
                <w:szCs w:val="24"/>
              </w:rPr>
            </w:pPr>
            <w:r>
              <w:rPr>
                <w:sz w:val="24"/>
                <w:szCs w:val="24"/>
              </w:rPr>
              <w:t>2017</w:t>
            </w:r>
          </w:p>
        </w:tc>
        <w:tc>
          <w:tcPr>
            <w:tcW w:w="2070" w:type="dxa"/>
          </w:tcPr>
          <w:p w:rsidR="00702B67" w:rsidRDefault="00702B67" w:rsidP="00702B67">
            <w:pPr>
              <w:jc w:val="center"/>
              <w:rPr>
                <w:sz w:val="24"/>
                <w:szCs w:val="24"/>
              </w:rPr>
            </w:pPr>
            <w:r>
              <w:rPr>
                <w:sz w:val="24"/>
                <w:szCs w:val="24"/>
              </w:rPr>
              <w:t>3</w:t>
            </w:r>
          </w:p>
        </w:tc>
        <w:tc>
          <w:tcPr>
            <w:tcW w:w="2070" w:type="dxa"/>
          </w:tcPr>
          <w:p w:rsidR="00702B67" w:rsidRDefault="002F5A31" w:rsidP="00702B67">
            <w:pPr>
              <w:jc w:val="center"/>
              <w:rPr>
                <w:sz w:val="24"/>
                <w:szCs w:val="24"/>
              </w:rPr>
            </w:pPr>
            <w:r>
              <w:rPr>
                <w:sz w:val="24"/>
                <w:szCs w:val="24"/>
              </w:rPr>
              <w:t>4</w:t>
            </w:r>
          </w:p>
        </w:tc>
        <w:tc>
          <w:tcPr>
            <w:tcW w:w="2062" w:type="dxa"/>
          </w:tcPr>
          <w:p w:rsidR="00702B67" w:rsidRDefault="002F5A31" w:rsidP="00702B67">
            <w:pPr>
              <w:jc w:val="center"/>
              <w:rPr>
                <w:sz w:val="24"/>
                <w:szCs w:val="24"/>
              </w:rPr>
            </w:pPr>
            <w:r>
              <w:rPr>
                <w:sz w:val="24"/>
                <w:szCs w:val="24"/>
              </w:rPr>
              <w:t>1</w:t>
            </w:r>
          </w:p>
        </w:tc>
        <w:tc>
          <w:tcPr>
            <w:tcW w:w="1916" w:type="dxa"/>
          </w:tcPr>
          <w:p w:rsidR="00702B67" w:rsidRDefault="002F5A31" w:rsidP="00702B67">
            <w:pPr>
              <w:jc w:val="center"/>
              <w:rPr>
                <w:sz w:val="24"/>
                <w:szCs w:val="24"/>
              </w:rPr>
            </w:pPr>
            <w:r>
              <w:rPr>
                <w:sz w:val="24"/>
                <w:szCs w:val="24"/>
              </w:rPr>
              <w:t>0</w:t>
            </w:r>
          </w:p>
        </w:tc>
      </w:tr>
      <w:tr w:rsidR="00702B67" w:rsidTr="00702B67">
        <w:tc>
          <w:tcPr>
            <w:tcW w:w="1458" w:type="dxa"/>
          </w:tcPr>
          <w:p w:rsidR="00702B67" w:rsidRDefault="00702B67" w:rsidP="00702B67">
            <w:pPr>
              <w:jc w:val="center"/>
              <w:rPr>
                <w:sz w:val="24"/>
                <w:szCs w:val="24"/>
              </w:rPr>
            </w:pPr>
            <w:r>
              <w:rPr>
                <w:sz w:val="24"/>
                <w:szCs w:val="24"/>
              </w:rPr>
              <w:t>2018</w:t>
            </w:r>
          </w:p>
        </w:tc>
        <w:tc>
          <w:tcPr>
            <w:tcW w:w="2070" w:type="dxa"/>
          </w:tcPr>
          <w:p w:rsidR="00702B67" w:rsidRDefault="002F5A31" w:rsidP="00702B67">
            <w:pPr>
              <w:jc w:val="center"/>
              <w:rPr>
                <w:sz w:val="24"/>
                <w:szCs w:val="24"/>
              </w:rPr>
            </w:pPr>
            <w:r>
              <w:rPr>
                <w:sz w:val="24"/>
                <w:szCs w:val="24"/>
              </w:rPr>
              <w:t>5</w:t>
            </w:r>
          </w:p>
        </w:tc>
        <w:tc>
          <w:tcPr>
            <w:tcW w:w="2070" w:type="dxa"/>
          </w:tcPr>
          <w:p w:rsidR="00702B67" w:rsidRDefault="002F5A31" w:rsidP="00702B67">
            <w:pPr>
              <w:jc w:val="center"/>
              <w:rPr>
                <w:sz w:val="24"/>
                <w:szCs w:val="24"/>
              </w:rPr>
            </w:pPr>
            <w:r>
              <w:rPr>
                <w:sz w:val="24"/>
                <w:szCs w:val="24"/>
              </w:rPr>
              <w:t>1</w:t>
            </w:r>
          </w:p>
        </w:tc>
        <w:tc>
          <w:tcPr>
            <w:tcW w:w="2062" w:type="dxa"/>
          </w:tcPr>
          <w:p w:rsidR="00702B67" w:rsidRDefault="002F5A31" w:rsidP="00702B67">
            <w:pPr>
              <w:jc w:val="center"/>
              <w:rPr>
                <w:sz w:val="24"/>
                <w:szCs w:val="24"/>
              </w:rPr>
            </w:pPr>
            <w:r>
              <w:rPr>
                <w:sz w:val="24"/>
                <w:szCs w:val="24"/>
              </w:rPr>
              <w:t>2</w:t>
            </w:r>
          </w:p>
        </w:tc>
        <w:tc>
          <w:tcPr>
            <w:tcW w:w="1916" w:type="dxa"/>
          </w:tcPr>
          <w:p w:rsidR="00702B67" w:rsidRDefault="002F5A31" w:rsidP="00702B67">
            <w:pPr>
              <w:jc w:val="center"/>
              <w:rPr>
                <w:sz w:val="24"/>
                <w:szCs w:val="24"/>
              </w:rPr>
            </w:pPr>
            <w:r>
              <w:rPr>
                <w:sz w:val="24"/>
                <w:szCs w:val="24"/>
              </w:rPr>
              <w:t>0</w:t>
            </w:r>
          </w:p>
        </w:tc>
      </w:tr>
      <w:tr w:rsidR="00702B67" w:rsidTr="00702B67">
        <w:tc>
          <w:tcPr>
            <w:tcW w:w="1458" w:type="dxa"/>
          </w:tcPr>
          <w:p w:rsidR="00702B67" w:rsidRDefault="00702B67" w:rsidP="00702B67">
            <w:pPr>
              <w:jc w:val="center"/>
              <w:rPr>
                <w:sz w:val="24"/>
                <w:szCs w:val="24"/>
              </w:rPr>
            </w:pPr>
            <w:r>
              <w:rPr>
                <w:sz w:val="24"/>
                <w:szCs w:val="24"/>
              </w:rPr>
              <w:t>2019</w:t>
            </w:r>
          </w:p>
        </w:tc>
        <w:tc>
          <w:tcPr>
            <w:tcW w:w="2070" w:type="dxa"/>
          </w:tcPr>
          <w:p w:rsidR="00702B67" w:rsidRDefault="002F5A31" w:rsidP="00702B67">
            <w:pPr>
              <w:jc w:val="center"/>
              <w:rPr>
                <w:sz w:val="24"/>
                <w:szCs w:val="24"/>
              </w:rPr>
            </w:pPr>
            <w:r>
              <w:rPr>
                <w:sz w:val="24"/>
                <w:szCs w:val="24"/>
              </w:rPr>
              <w:t>4</w:t>
            </w:r>
          </w:p>
        </w:tc>
        <w:tc>
          <w:tcPr>
            <w:tcW w:w="2070" w:type="dxa"/>
          </w:tcPr>
          <w:p w:rsidR="00702B67" w:rsidRDefault="002F5A31" w:rsidP="00702B67">
            <w:pPr>
              <w:jc w:val="center"/>
              <w:rPr>
                <w:sz w:val="24"/>
                <w:szCs w:val="24"/>
              </w:rPr>
            </w:pPr>
            <w:r>
              <w:rPr>
                <w:sz w:val="24"/>
                <w:szCs w:val="24"/>
              </w:rPr>
              <w:t>1</w:t>
            </w:r>
          </w:p>
        </w:tc>
        <w:tc>
          <w:tcPr>
            <w:tcW w:w="2062" w:type="dxa"/>
          </w:tcPr>
          <w:p w:rsidR="00702B67" w:rsidRDefault="002F5A31" w:rsidP="00702B67">
            <w:pPr>
              <w:jc w:val="center"/>
              <w:rPr>
                <w:sz w:val="24"/>
                <w:szCs w:val="24"/>
              </w:rPr>
            </w:pPr>
            <w:r>
              <w:rPr>
                <w:sz w:val="24"/>
                <w:szCs w:val="24"/>
              </w:rPr>
              <w:t>0</w:t>
            </w:r>
          </w:p>
        </w:tc>
        <w:tc>
          <w:tcPr>
            <w:tcW w:w="1916" w:type="dxa"/>
          </w:tcPr>
          <w:p w:rsidR="00702B67" w:rsidRDefault="002F5A31" w:rsidP="00702B67">
            <w:pPr>
              <w:jc w:val="center"/>
              <w:rPr>
                <w:sz w:val="24"/>
                <w:szCs w:val="24"/>
              </w:rPr>
            </w:pPr>
            <w:r>
              <w:rPr>
                <w:sz w:val="24"/>
                <w:szCs w:val="24"/>
              </w:rPr>
              <w:t>0</w:t>
            </w:r>
          </w:p>
        </w:tc>
      </w:tr>
    </w:tbl>
    <w:p w:rsidR="002F5A31" w:rsidRDefault="002F5A31" w:rsidP="002F5A31">
      <w:pPr>
        <w:spacing w:after="0" w:line="240" w:lineRule="auto"/>
        <w:rPr>
          <w:sz w:val="24"/>
          <w:szCs w:val="24"/>
        </w:rPr>
      </w:pPr>
      <w:r>
        <w:rPr>
          <w:i/>
          <w:sz w:val="24"/>
          <w:szCs w:val="24"/>
          <w:u w:val="single"/>
        </w:rPr>
        <w:t>Source</w:t>
      </w:r>
      <w:r>
        <w:rPr>
          <w:sz w:val="24"/>
          <w:szCs w:val="24"/>
        </w:rPr>
        <w:t>: USDHHS, CDC, TB Genotyping Information Management System (TB GIMS)</w:t>
      </w:r>
    </w:p>
    <w:p w:rsidR="00620779" w:rsidRDefault="00620779" w:rsidP="00B07043">
      <w:pPr>
        <w:spacing w:after="0" w:line="240" w:lineRule="auto"/>
        <w:rPr>
          <w:sz w:val="24"/>
          <w:szCs w:val="24"/>
        </w:rPr>
      </w:pPr>
    </w:p>
    <w:p w:rsidR="00620779" w:rsidRDefault="00AB13BD" w:rsidP="00B07043">
      <w:pPr>
        <w:spacing w:after="0" w:line="240" w:lineRule="auto"/>
        <w:rPr>
          <w:sz w:val="24"/>
          <w:szCs w:val="24"/>
        </w:rPr>
      </w:pPr>
      <w:r>
        <w:rPr>
          <w:b/>
          <w:sz w:val="24"/>
          <w:szCs w:val="24"/>
          <w:u w:val="single"/>
        </w:rPr>
        <w:t>P</w:t>
      </w:r>
      <w:r w:rsidR="00116347">
        <w:rPr>
          <w:b/>
          <w:sz w:val="24"/>
          <w:szCs w:val="24"/>
          <w:u w:val="single"/>
        </w:rPr>
        <w:t>R</w:t>
      </w:r>
      <w:r>
        <w:rPr>
          <w:b/>
          <w:sz w:val="24"/>
          <w:szCs w:val="24"/>
          <w:u w:val="single"/>
        </w:rPr>
        <w:t>OGRAM ACCOMPLISHMENTS/SUCCESSES</w:t>
      </w:r>
    </w:p>
    <w:p w:rsidR="009E6CC8" w:rsidRDefault="00620779" w:rsidP="00620779">
      <w:pPr>
        <w:pStyle w:val="ListParagraph"/>
        <w:numPr>
          <w:ilvl w:val="0"/>
          <w:numId w:val="1"/>
        </w:numPr>
        <w:spacing w:after="0" w:line="240" w:lineRule="auto"/>
        <w:rPr>
          <w:sz w:val="24"/>
          <w:szCs w:val="24"/>
        </w:rPr>
      </w:pPr>
      <w:r>
        <w:rPr>
          <w:sz w:val="24"/>
          <w:szCs w:val="24"/>
        </w:rPr>
        <w:t>Program Collaboration and Service Integration (PCSI)—In 2015, the Tennessee Department of Health (TDH) TB Elimination Program, HIV, STD, and Viral Hepatitis Program, Division of Laboratory Services, and the Tennessee Department of Correction (TDOC) began a collaborative initiative to test for TB in</w:t>
      </w:r>
      <w:r w:rsidR="004C3782">
        <w:rPr>
          <w:sz w:val="24"/>
          <w:szCs w:val="24"/>
        </w:rPr>
        <w:t xml:space="preserve">fection (using QuantiFERON Gold In-Tube), HIV, syphilis, chlamydia and gonorrhea in all state inmates upon intake at the two (2) TDOC intake facilities in Tennessee.  Labs are collected at each of the intake facilities and transported to the TDH state lab via a state lab courier.  Results are available electronically and available to public health staff for monitoring.  </w:t>
      </w:r>
      <w:r w:rsidR="00FA03E4">
        <w:rPr>
          <w:sz w:val="24"/>
          <w:szCs w:val="24"/>
        </w:rPr>
        <w:t xml:space="preserve">In 2017, this </w:t>
      </w:r>
    </w:p>
    <w:p w:rsidR="00620779" w:rsidRDefault="00116347" w:rsidP="009E6CC8">
      <w:pPr>
        <w:pStyle w:val="ListParagraph"/>
        <w:spacing w:after="0" w:line="240" w:lineRule="auto"/>
        <w:rPr>
          <w:sz w:val="24"/>
          <w:szCs w:val="24"/>
        </w:rPr>
      </w:pPr>
      <w:r>
        <w:rPr>
          <w:sz w:val="24"/>
          <w:szCs w:val="24"/>
        </w:rPr>
        <w:t>collaboration</w:t>
      </w:r>
      <w:r w:rsidR="00FA03E4">
        <w:rPr>
          <w:sz w:val="24"/>
          <w:szCs w:val="24"/>
        </w:rPr>
        <w:t xml:space="preserve"> was awarded a CDC U.S. TB Elimination Champions.  </w:t>
      </w:r>
      <w:r w:rsidR="004C3782">
        <w:rPr>
          <w:sz w:val="24"/>
          <w:szCs w:val="24"/>
        </w:rPr>
        <w:t>In 2018, opt-out Hepatitis C virus (HCV) testing was added to the intake laboratory panel for all new intakes.</w:t>
      </w:r>
    </w:p>
    <w:p w:rsidR="00112EC1" w:rsidRDefault="00112EC1" w:rsidP="00620779">
      <w:pPr>
        <w:pStyle w:val="ListParagraph"/>
        <w:numPr>
          <w:ilvl w:val="0"/>
          <w:numId w:val="1"/>
        </w:numPr>
        <w:spacing w:after="0" w:line="240" w:lineRule="auto"/>
        <w:rPr>
          <w:sz w:val="24"/>
          <w:szCs w:val="24"/>
        </w:rPr>
      </w:pPr>
      <w:r>
        <w:rPr>
          <w:sz w:val="24"/>
          <w:szCs w:val="24"/>
        </w:rPr>
        <w:t xml:space="preserve">Revised Tennessee TB Elimination Program (TTBEP) TB manual—In 2015, the TTBEP completely revised the existing TB manual.  </w:t>
      </w:r>
      <w:r w:rsidR="00FA03E4">
        <w:rPr>
          <w:sz w:val="24"/>
          <w:szCs w:val="24"/>
        </w:rPr>
        <w:t>The revised manual contains self-contained modules and standards of public health practice for each module.  The standards of public health practice form the standards used during the program’s annual regional TB programmatic assessments that are conducted with each of the regional TB programs throughout the state.</w:t>
      </w:r>
    </w:p>
    <w:p w:rsidR="00170377" w:rsidRDefault="00170377" w:rsidP="00620779">
      <w:pPr>
        <w:pStyle w:val="ListParagraph"/>
        <w:numPr>
          <w:ilvl w:val="0"/>
          <w:numId w:val="1"/>
        </w:numPr>
        <w:spacing w:after="0" w:line="240" w:lineRule="auto"/>
        <w:rPr>
          <w:sz w:val="24"/>
          <w:szCs w:val="24"/>
        </w:rPr>
      </w:pPr>
      <w:r>
        <w:rPr>
          <w:sz w:val="24"/>
          <w:szCs w:val="24"/>
        </w:rPr>
        <w:t>Isoniazid-Rifapentine (3HP) short-course regimen for treatment of TB infection (TBI)—In 2015, the Tennessee TB Elimination Program began offering the 12-week 3HP regimen for the treatment of TB infection.  A programmatic protocol was developed to include inclusion/exclusion criteria, dosage tables, monitoring, and medication delivery.  Initially, all doses of 3HP were required to be given in person via directly observed therapy (DOT) at the local health department.  However, after receiving feedback from regional TB program staff and patients regarding barriers to treatment with this regimen (i.e., in-person DOT), changes were made that allowed for DOT to be administered at sites other than the local health department and/or via electronic DOT (eDOT).</w:t>
      </w:r>
    </w:p>
    <w:p w:rsidR="00463FA9" w:rsidRDefault="00861081" w:rsidP="00620779">
      <w:pPr>
        <w:pStyle w:val="ListParagraph"/>
        <w:numPr>
          <w:ilvl w:val="0"/>
          <w:numId w:val="1"/>
        </w:numPr>
        <w:spacing w:after="0" w:line="240" w:lineRule="auto"/>
        <w:rPr>
          <w:sz w:val="24"/>
          <w:szCs w:val="24"/>
        </w:rPr>
      </w:pPr>
      <w:r>
        <w:rPr>
          <w:sz w:val="24"/>
          <w:szCs w:val="24"/>
        </w:rPr>
        <w:t xml:space="preserve">Addition of positive interferon gamma release assays (IGRA) and positive tuberculin skin test (TST) results to the Tennessee Reportable Conditions list—In 2017, </w:t>
      </w:r>
      <w:r w:rsidR="0093546F">
        <w:rPr>
          <w:sz w:val="24"/>
          <w:szCs w:val="24"/>
        </w:rPr>
        <w:t xml:space="preserve">positive IGRA results and positive TST results (for patients &lt;18 years of age) were added to the </w:t>
      </w:r>
    </w:p>
    <w:p w:rsidR="00917000" w:rsidRDefault="00917000" w:rsidP="00917000">
      <w:pPr>
        <w:pStyle w:val="ListParagraph"/>
        <w:spacing w:after="0" w:line="240" w:lineRule="auto"/>
        <w:rPr>
          <w:sz w:val="24"/>
          <w:szCs w:val="24"/>
        </w:rPr>
      </w:pPr>
    </w:p>
    <w:p w:rsidR="00463FA9" w:rsidRDefault="00463FA9" w:rsidP="00463FA9">
      <w:pPr>
        <w:pStyle w:val="ListParagraph"/>
        <w:spacing w:after="0" w:line="240" w:lineRule="auto"/>
        <w:rPr>
          <w:sz w:val="24"/>
          <w:szCs w:val="24"/>
        </w:rPr>
      </w:pPr>
    </w:p>
    <w:p w:rsidR="00463FA9" w:rsidRDefault="00463FA9" w:rsidP="00463FA9">
      <w:pPr>
        <w:pStyle w:val="ListParagraph"/>
        <w:spacing w:after="0" w:line="240" w:lineRule="auto"/>
        <w:rPr>
          <w:sz w:val="24"/>
          <w:szCs w:val="24"/>
        </w:rPr>
      </w:pPr>
    </w:p>
    <w:p w:rsidR="00F40C27" w:rsidRDefault="0093546F" w:rsidP="00463FA9">
      <w:pPr>
        <w:pStyle w:val="ListParagraph"/>
        <w:spacing w:after="0" w:line="240" w:lineRule="auto"/>
        <w:rPr>
          <w:sz w:val="24"/>
          <w:szCs w:val="24"/>
        </w:rPr>
      </w:pPr>
      <w:r>
        <w:rPr>
          <w:sz w:val="24"/>
          <w:szCs w:val="24"/>
        </w:rPr>
        <w:t xml:space="preserve">Tennessee Reportable Conditions list.  Providers now submit reports of positive tests via fax or electronically through the state surveillance system.  Data from these reports are </w:t>
      </w:r>
    </w:p>
    <w:p w:rsidR="00AA40FB" w:rsidRDefault="0093546F" w:rsidP="00F40C27">
      <w:pPr>
        <w:pStyle w:val="ListParagraph"/>
        <w:spacing w:after="0" w:line="240" w:lineRule="auto"/>
        <w:rPr>
          <w:sz w:val="24"/>
          <w:szCs w:val="24"/>
        </w:rPr>
      </w:pPr>
      <w:r>
        <w:rPr>
          <w:sz w:val="24"/>
          <w:szCs w:val="24"/>
        </w:rPr>
        <w:t>entered into a program-maintained database and provided to regional TB programs upon request.</w:t>
      </w:r>
    </w:p>
    <w:p w:rsidR="003B052B" w:rsidRDefault="00A36895" w:rsidP="00620779">
      <w:pPr>
        <w:pStyle w:val="ListParagraph"/>
        <w:numPr>
          <w:ilvl w:val="0"/>
          <w:numId w:val="1"/>
        </w:numPr>
        <w:spacing w:after="0" w:line="240" w:lineRule="auto"/>
        <w:rPr>
          <w:sz w:val="24"/>
          <w:szCs w:val="24"/>
        </w:rPr>
      </w:pPr>
      <w:r>
        <w:rPr>
          <w:sz w:val="24"/>
          <w:szCs w:val="24"/>
        </w:rPr>
        <w:t xml:space="preserve">TTBEP central office staff assisted with two (2) large contact investigations at a high school and a state prison.  A total of 433 students and staff were tested at the high school with a 0.5% TB test for infection positivity rate.  </w:t>
      </w:r>
      <w:r w:rsidR="00C12F0D">
        <w:rPr>
          <w:sz w:val="24"/>
          <w:szCs w:val="24"/>
        </w:rPr>
        <w:t>A total of 117 staff and inmates were tested at the prison with a TB test for infection positivity rate of 5.1%.  Both contact investigations highlighted the successful collaboration between the TB elimination program and outside entities (i.e., public school system and Department of Correction).</w:t>
      </w:r>
    </w:p>
    <w:p w:rsidR="00000FFF" w:rsidRDefault="00000FFF" w:rsidP="00620779">
      <w:pPr>
        <w:pStyle w:val="ListParagraph"/>
        <w:numPr>
          <w:ilvl w:val="0"/>
          <w:numId w:val="1"/>
        </w:numPr>
        <w:spacing w:after="0" w:line="240" w:lineRule="auto"/>
        <w:rPr>
          <w:sz w:val="24"/>
          <w:szCs w:val="24"/>
        </w:rPr>
      </w:pPr>
      <w:r>
        <w:rPr>
          <w:sz w:val="24"/>
          <w:szCs w:val="24"/>
        </w:rPr>
        <w:t>Implementation of electronic directly observed therapy (eDOT)—In 2017, the Tennessee TB Elimination Program (TTBEP) developed guidance for the use of eDOT platforms of Skype and VSee that were approved by Tennessee Department of Health legal section.  One (1) public health region elected to use a different service, Scopia; however, the use and parameters of use were dictated by the TTBEP Use of eDOT guidance document.  In 2019, the TTBEP expanded use of eDOT to include those patients on</w:t>
      </w:r>
      <w:r w:rsidR="00F538FF">
        <w:rPr>
          <w:sz w:val="24"/>
          <w:szCs w:val="24"/>
        </w:rPr>
        <w:t xml:space="preserve"> the 3HP short-course regimen.  In December 2019, a five-year contract was approved to purchase and use emocha Mobile Health asynchronous video DOT.  A pilot project is expected to start in 2020.</w:t>
      </w:r>
    </w:p>
    <w:p w:rsidR="00412F72" w:rsidRDefault="00412F72" w:rsidP="00D14A09">
      <w:pPr>
        <w:spacing w:after="0" w:line="240" w:lineRule="auto"/>
        <w:rPr>
          <w:b/>
          <w:sz w:val="24"/>
          <w:szCs w:val="24"/>
          <w:u w:val="single"/>
        </w:rPr>
      </w:pPr>
    </w:p>
    <w:p w:rsidR="00D14A09" w:rsidRDefault="00AB13BD" w:rsidP="00D14A09">
      <w:pPr>
        <w:spacing w:after="0" w:line="240" w:lineRule="auto"/>
        <w:rPr>
          <w:sz w:val="24"/>
          <w:szCs w:val="24"/>
        </w:rPr>
      </w:pPr>
      <w:r>
        <w:rPr>
          <w:b/>
          <w:sz w:val="24"/>
          <w:szCs w:val="24"/>
          <w:u w:val="single"/>
        </w:rPr>
        <w:t>PROGRAM BARRIERS/CHALLENGES</w:t>
      </w:r>
    </w:p>
    <w:p w:rsidR="00D14A09" w:rsidRDefault="00FE6A28" w:rsidP="00D14A09">
      <w:pPr>
        <w:pStyle w:val="ListParagraph"/>
        <w:numPr>
          <w:ilvl w:val="0"/>
          <w:numId w:val="9"/>
        </w:numPr>
        <w:spacing w:after="0" w:line="240" w:lineRule="auto"/>
        <w:rPr>
          <w:sz w:val="24"/>
          <w:szCs w:val="24"/>
        </w:rPr>
      </w:pPr>
      <w:r>
        <w:rPr>
          <w:sz w:val="24"/>
          <w:szCs w:val="24"/>
        </w:rPr>
        <w:t>Staffing</w:t>
      </w:r>
      <w:r w:rsidR="009019F3">
        <w:rPr>
          <w:sz w:val="24"/>
          <w:szCs w:val="24"/>
        </w:rPr>
        <w:t xml:space="preserve">—Staff turnover, shortages, and retirements have plagued the statewide TB program throughout this grant cycle.  Within central office, the nurse consultant manager </w:t>
      </w:r>
      <w:r w:rsidR="00EC5EB6">
        <w:rPr>
          <w:sz w:val="24"/>
          <w:szCs w:val="24"/>
        </w:rPr>
        <w:t>with greater than 15 years of TB knowledge and experience retired in early 2019.  In late 2019, the two largest metropolitan regions in Tennessee that account for greater than 50% of the statewide burden of TB, experienced significant staffing shortages that resulted in redistribution of workloads and changes to processes within the respective TB programs.</w:t>
      </w:r>
    </w:p>
    <w:p w:rsidR="00412F72" w:rsidRDefault="00412F72" w:rsidP="00D14A09">
      <w:pPr>
        <w:pStyle w:val="ListParagraph"/>
        <w:numPr>
          <w:ilvl w:val="0"/>
          <w:numId w:val="9"/>
        </w:numPr>
        <w:spacing w:after="0" w:line="240" w:lineRule="auto"/>
        <w:rPr>
          <w:sz w:val="24"/>
          <w:szCs w:val="24"/>
        </w:rPr>
      </w:pPr>
      <w:r>
        <w:rPr>
          <w:sz w:val="24"/>
          <w:szCs w:val="24"/>
        </w:rPr>
        <w:t>Implementation of electronic medical record</w:t>
      </w:r>
      <w:r w:rsidR="00BC0B1B">
        <w:rPr>
          <w:sz w:val="24"/>
          <w:szCs w:val="24"/>
        </w:rPr>
        <w:t xml:space="preserve">—In 2015, implementation of a “statewide” public health electronic medical record (EMR) began in a low-burden TB clinic in the eastern part of the state.  Since 2015, the EMR has been implemented in six (6) “rural” public health regions and two (2) metropolitan public health regions.  Two (2) metropolitan public health regions elected not to implement the statewide system and use their own commercial product.  The remaining public health regions have not implemented an electronic system at the time of this report.  </w:t>
      </w:r>
      <w:r w:rsidR="00BC79FD">
        <w:rPr>
          <w:sz w:val="24"/>
          <w:szCs w:val="24"/>
        </w:rPr>
        <w:t>The disparate systems for maintaining health information on patients with active TB and TB infection create barriers for staff at central office and other regions needing to access patient information (e.g., for auditing, monitoring or if a patient transfers jurisdictions).</w:t>
      </w:r>
    </w:p>
    <w:p w:rsidR="00163B00" w:rsidRDefault="00163B00" w:rsidP="00163B00">
      <w:pPr>
        <w:spacing w:after="0" w:line="240" w:lineRule="auto"/>
        <w:rPr>
          <w:sz w:val="24"/>
          <w:szCs w:val="24"/>
        </w:rPr>
      </w:pPr>
    </w:p>
    <w:p w:rsidR="00163B00" w:rsidRDefault="00163B00" w:rsidP="00163B00">
      <w:pPr>
        <w:spacing w:after="0" w:line="240" w:lineRule="auto"/>
        <w:rPr>
          <w:sz w:val="24"/>
          <w:szCs w:val="24"/>
        </w:rPr>
        <w:sectPr w:rsidR="00163B00" w:rsidSect="006A6419">
          <w:footerReference w:type="default" r:id="rId11"/>
          <w:pgSz w:w="12240" w:h="15840"/>
          <w:pgMar w:top="1440" w:right="1440" w:bottom="1440" w:left="1440" w:header="720" w:footer="720" w:gutter="0"/>
          <w:cols w:space="720"/>
          <w:docGrid w:linePitch="360"/>
        </w:sectPr>
      </w:pPr>
    </w:p>
    <w:p w:rsidR="00AA40FB" w:rsidRDefault="00AA40FB" w:rsidP="00AA40FB">
      <w:pPr>
        <w:spacing w:after="0" w:line="240" w:lineRule="auto"/>
        <w:rPr>
          <w:sz w:val="24"/>
          <w:szCs w:val="24"/>
        </w:rPr>
      </w:pPr>
    </w:p>
    <w:p w:rsidR="00AA40FB" w:rsidRDefault="00AA40FB" w:rsidP="00AA40FB">
      <w:pPr>
        <w:spacing w:after="0" w:line="240" w:lineRule="auto"/>
        <w:rPr>
          <w:b/>
          <w:sz w:val="24"/>
          <w:szCs w:val="24"/>
        </w:rPr>
      </w:pPr>
      <w:r>
        <w:rPr>
          <w:b/>
          <w:sz w:val="24"/>
          <w:szCs w:val="24"/>
        </w:rPr>
        <w:t xml:space="preserve">Table </w:t>
      </w:r>
      <w:r w:rsidR="0041398C">
        <w:rPr>
          <w:b/>
          <w:sz w:val="24"/>
          <w:szCs w:val="24"/>
        </w:rPr>
        <w:t>7</w:t>
      </w:r>
      <w:r>
        <w:rPr>
          <w:b/>
          <w:sz w:val="24"/>
          <w:szCs w:val="24"/>
        </w:rPr>
        <w:t>.  Strategies, Work Plan</w:t>
      </w:r>
      <w:r w:rsidR="00FB7B9F">
        <w:rPr>
          <w:b/>
          <w:sz w:val="24"/>
          <w:szCs w:val="24"/>
        </w:rPr>
        <w:t>,</w:t>
      </w:r>
      <w:r>
        <w:rPr>
          <w:b/>
          <w:sz w:val="24"/>
          <w:szCs w:val="24"/>
        </w:rPr>
        <w:t xml:space="preserve"> and Activities</w:t>
      </w:r>
    </w:p>
    <w:tbl>
      <w:tblPr>
        <w:tblStyle w:val="TableGrid"/>
        <w:tblW w:w="0" w:type="auto"/>
        <w:tblLook w:val="04A0" w:firstRow="1" w:lastRow="0" w:firstColumn="1" w:lastColumn="0" w:noHBand="0" w:noVBand="1"/>
      </w:tblPr>
      <w:tblGrid>
        <w:gridCol w:w="2498"/>
        <w:gridCol w:w="2541"/>
        <w:gridCol w:w="2538"/>
        <w:gridCol w:w="2469"/>
        <w:gridCol w:w="3130"/>
      </w:tblGrid>
      <w:tr w:rsidR="00AA40FB" w:rsidRPr="00AA40FB" w:rsidTr="00E328EF">
        <w:tc>
          <w:tcPr>
            <w:tcW w:w="2498" w:type="dxa"/>
            <w:shd w:val="clear" w:color="auto" w:fill="D9D9D9" w:themeFill="background1" w:themeFillShade="D9"/>
            <w:vAlign w:val="center"/>
          </w:tcPr>
          <w:p w:rsidR="00AA40FB" w:rsidRPr="00AA40FB" w:rsidRDefault="00AA40FB" w:rsidP="007E450E">
            <w:pPr>
              <w:jc w:val="center"/>
              <w:rPr>
                <w:b/>
                <w:sz w:val="24"/>
                <w:szCs w:val="24"/>
              </w:rPr>
            </w:pPr>
            <w:r>
              <w:rPr>
                <w:b/>
                <w:sz w:val="24"/>
                <w:szCs w:val="24"/>
              </w:rPr>
              <w:t>Strategy</w:t>
            </w:r>
          </w:p>
        </w:tc>
        <w:tc>
          <w:tcPr>
            <w:tcW w:w="2541" w:type="dxa"/>
            <w:shd w:val="clear" w:color="auto" w:fill="D9D9D9" w:themeFill="background1" w:themeFillShade="D9"/>
            <w:vAlign w:val="center"/>
          </w:tcPr>
          <w:p w:rsidR="00AA40FB" w:rsidRPr="00AA40FB" w:rsidRDefault="00AA40FB" w:rsidP="007E450E">
            <w:pPr>
              <w:jc w:val="center"/>
              <w:rPr>
                <w:b/>
                <w:sz w:val="24"/>
                <w:szCs w:val="24"/>
              </w:rPr>
            </w:pPr>
            <w:r>
              <w:rPr>
                <w:b/>
                <w:sz w:val="24"/>
                <w:szCs w:val="24"/>
              </w:rPr>
              <w:t>Task</w:t>
            </w:r>
          </w:p>
        </w:tc>
        <w:tc>
          <w:tcPr>
            <w:tcW w:w="2538" w:type="dxa"/>
            <w:shd w:val="clear" w:color="auto" w:fill="D9D9D9" w:themeFill="background1" w:themeFillShade="D9"/>
            <w:vAlign w:val="center"/>
          </w:tcPr>
          <w:p w:rsidR="00AA40FB" w:rsidRPr="00AA40FB" w:rsidRDefault="00AA40FB" w:rsidP="007E450E">
            <w:pPr>
              <w:jc w:val="center"/>
              <w:rPr>
                <w:b/>
                <w:sz w:val="24"/>
                <w:szCs w:val="24"/>
              </w:rPr>
            </w:pPr>
            <w:r>
              <w:rPr>
                <w:b/>
                <w:sz w:val="24"/>
                <w:szCs w:val="24"/>
              </w:rPr>
              <w:t>Work Plan</w:t>
            </w:r>
          </w:p>
        </w:tc>
        <w:tc>
          <w:tcPr>
            <w:tcW w:w="2469" w:type="dxa"/>
            <w:shd w:val="clear" w:color="auto" w:fill="D9D9D9" w:themeFill="background1" w:themeFillShade="D9"/>
            <w:vAlign w:val="center"/>
          </w:tcPr>
          <w:p w:rsidR="00AA40FB" w:rsidRPr="00AA40FB" w:rsidRDefault="00AA40FB" w:rsidP="003F233E">
            <w:pPr>
              <w:jc w:val="center"/>
              <w:rPr>
                <w:b/>
                <w:sz w:val="24"/>
                <w:szCs w:val="24"/>
              </w:rPr>
            </w:pPr>
            <w:r>
              <w:rPr>
                <w:b/>
                <w:sz w:val="24"/>
                <w:szCs w:val="24"/>
              </w:rPr>
              <w:t>Activities</w:t>
            </w:r>
            <w:r w:rsidR="00D549D3">
              <w:rPr>
                <w:b/>
                <w:sz w:val="24"/>
                <w:szCs w:val="24"/>
              </w:rPr>
              <w:t xml:space="preserve"> </w:t>
            </w:r>
          </w:p>
        </w:tc>
        <w:tc>
          <w:tcPr>
            <w:tcW w:w="3130" w:type="dxa"/>
            <w:shd w:val="clear" w:color="auto" w:fill="D9D9D9" w:themeFill="background1" w:themeFillShade="D9"/>
            <w:vAlign w:val="center"/>
          </w:tcPr>
          <w:p w:rsidR="00D549D3" w:rsidRDefault="00D549D3" w:rsidP="007E450E">
            <w:pPr>
              <w:jc w:val="center"/>
              <w:rPr>
                <w:b/>
                <w:sz w:val="24"/>
                <w:szCs w:val="24"/>
              </w:rPr>
            </w:pPr>
            <w:r>
              <w:rPr>
                <w:b/>
                <w:sz w:val="24"/>
                <w:szCs w:val="24"/>
              </w:rPr>
              <w:t>Overall Progress &amp;</w:t>
            </w:r>
          </w:p>
          <w:p w:rsidR="00AA40FB" w:rsidRPr="00AA40FB" w:rsidRDefault="00AA40FB" w:rsidP="007E450E">
            <w:pPr>
              <w:jc w:val="center"/>
              <w:rPr>
                <w:b/>
                <w:sz w:val="24"/>
                <w:szCs w:val="24"/>
              </w:rPr>
            </w:pPr>
            <w:r>
              <w:rPr>
                <w:b/>
                <w:sz w:val="24"/>
                <w:szCs w:val="24"/>
              </w:rPr>
              <w:t>2018-2019 Progress</w:t>
            </w:r>
          </w:p>
        </w:tc>
      </w:tr>
      <w:tr w:rsidR="00BF410E" w:rsidTr="00E328EF">
        <w:trPr>
          <w:trHeight w:val="937"/>
        </w:trPr>
        <w:tc>
          <w:tcPr>
            <w:tcW w:w="2498" w:type="dxa"/>
            <w:vMerge w:val="restart"/>
            <w:vAlign w:val="center"/>
          </w:tcPr>
          <w:p w:rsidR="00BF410E" w:rsidRDefault="00BF410E" w:rsidP="00AA40FB">
            <w:pPr>
              <w:jc w:val="center"/>
              <w:rPr>
                <w:sz w:val="24"/>
                <w:szCs w:val="24"/>
              </w:rPr>
            </w:pPr>
            <w:r>
              <w:rPr>
                <w:b/>
                <w:sz w:val="24"/>
                <w:szCs w:val="24"/>
                <w:u w:val="single"/>
              </w:rPr>
              <w:t>Strategy 1</w:t>
            </w:r>
            <w:r>
              <w:rPr>
                <w:sz w:val="24"/>
                <w:szCs w:val="24"/>
              </w:rPr>
              <w:t xml:space="preserve">: </w:t>
            </w:r>
          </w:p>
          <w:p w:rsidR="00BF410E" w:rsidRPr="004F31D0" w:rsidRDefault="00BF410E" w:rsidP="00AA40FB">
            <w:pPr>
              <w:jc w:val="center"/>
              <w:rPr>
                <w:sz w:val="24"/>
                <w:szCs w:val="24"/>
              </w:rPr>
            </w:pPr>
            <w:r>
              <w:rPr>
                <w:sz w:val="24"/>
                <w:szCs w:val="24"/>
              </w:rPr>
              <w:t>Improved Case Detection and Management</w:t>
            </w:r>
          </w:p>
        </w:tc>
        <w:tc>
          <w:tcPr>
            <w:tcW w:w="2541" w:type="dxa"/>
            <w:vMerge w:val="restart"/>
            <w:vAlign w:val="center"/>
          </w:tcPr>
          <w:p w:rsidR="00BF410E" w:rsidRPr="004F31D0" w:rsidRDefault="00BF410E" w:rsidP="00D0071D">
            <w:pPr>
              <w:pStyle w:val="ListParagraph"/>
              <w:numPr>
                <w:ilvl w:val="0"/>
                <w:numId w:val="2"/>
              </w:numPr>
              <w:ind w:left="335"/>
              <w:rPr>
                <w:sz w:val="24"/>
                <w:szCs w:val="24"/>
              </w:rPr>
            </w:pPr>
            <w:r>
              <w:rPr>
                <w:sz w:val="24"/>
                <w:szCs w:val="24"/>
              </w:rPr>
              <w:t>Ensure case management and treatment of TB cases</w:t>
            </w:r>
          </w:p>
        </w:tc>
        <w:tc>
          <w:tcPr>
            <w:tcW w:w="2538" w:type="dxa"/>
            <w:vMerge w:val="restart"/>
            <w:vAlign w:val="center"/>
          </w:tcPr>
          <w:p w:rsidR="00BF410E" w:rsidRDefault="00BF410E" w:rsidP="009E6CC8">
            <w:pPr>
              <w:rPr>
                <w:sz w:val="24"/>
                <w:szCs w:val="24"/>
              </w:rPr>
            </w:pPr>
            <w:r>
              <w:rPr>
                <w:sz w:val="24"/>
                <w:szCs w:val="24"/>
              </w:rPr>
              <w:t>Implementation of reviewed TTBEP Manual for all public health regions</w:t>
            </w:r>
          </w:p>
        </w:tc>
        <w:tc>
          <w:tcPr>
            <w:tcW w:w="2469" w:type="dxa"/>
            <w:vMerge w:val="restart"/>
            <w:vAlign w:val="center"/>
          </w:tcPr>
          <w:p w:rsidR="00BF410E" w:rsidRDefault="00BF410E" w:rsidP="0082779D">
            <w:pPr>
              <w:rPr>
                <w:sz w:val="24"/>
                <w:szCs w:val="24"/>
              </w:rPr>
            </w:pPr>
            <w:r>
              <w:rPr>
                <w:sz w:val="24"/>
                <w:szCs w:val="24"/>
              </w:rPr>
              <w:t>Review TB Manual annually and revise as needed.  Provide refresher training</w:t>
            </w:r>
          </w:p>
        </w:tc>
        <w:tc>
          <w:tcPr>
            <w:tcW w:w="3130" w:type="dxa"/>
          </w:tcPr>
          <w:p w:rsidR="00BF410E" w:rsidRPr="00D549D3" w:rsidRDefault="00BF410E" w:rsidP="00B90289">
            <w:pPr>
              <w:rPr>
                <w:sz w:val="24"/>
                <w:szCs w:val="24"/>
              </w:rPr>
            </w:pPr>
            <w:r>
              <w:rPr>
                <w:sz w:val="24"/>
                <w:szCs w:val="24"/>
              </w:rPr>
              <w:t>The TB Manual was initially revised in 2015 (see “Program Accomplishments/Successes” section).  A schedule for annual revisions was established.</w:t>
            </w:r>
          </w:p>
        </w:tc>
      </w:tr>
      <w:tr w:rsidR="00BF410E" w:rsidTr="00E328EF">
        <w:trPr>
          <w:trHeight w:val="935"/>
        </w:trPr>
        <w:tc>
          <w:tcPr>
            <w:tcW w:w="2498" w:type="dxa"/>
            <w:vMerge/>
            <w:vAlign w:val="center"/>
          </w:tcPr>
          <w:p w:rsidR="00BF410E" w:rsidRDefault="00BF410E" w:rsidP="00AA40FB">
            <w:pPr>
              <w:jc w:val="center"/>
              <w:rPr>
                <w:b/>
                <w:sz w:val="24"/>
                <w:szCs w:val="24"/>
                <w:u w:val="single"/>
              </w:rPr>
            </w:pPr>
          </w:p>
        </w:tc>
        <w:tc>
          <w:tcPr>
            <w:tcW w:w="2541" w:type="dxa"/>
            <w:vMerge/>
            <w:vAlign w:val="center"/>
          </w:tcPr>
          <w:p w:rsidR="00BF410E" w:rsidRDefault="00BF410E" w:rsidP="00D0071D">
            <w:pPr>
              <w:pStyle w:val="ListParagraph"/>
              <w:numPr>
                <w:ilvl w:val="0"/>
                <w:numId w:val="2"/>
              </w:numPr>
              <w:ind w:left="335"/>
              <w:rPr>
                <w:sz w:val="24"/>
                <w:szCs w:val="24"/>
              </w:rPr>
            </w:pPr>
          </w:p>
        </w:tc>
        <w:tc>
          <w:tcPr>
            <w:tcW w:w="2538" w:type="dxa"/>
            <w:vMerge/>
            <w:vAlign w:val="center"/>
          </w:tcPr>
          <w:p w:rsidR="00BF410E" w:rsidRDefault="00BF410E" w:rsidP="009E6CC8">
            <w:pPr>
              <w:rPr>
                <w:sz w:val="24"/>
                <w:szCs w:val="24"/>
              </w:rPr>
            </w:pPr>
          </w:p>
        </w:tc>
        <w:tc>
          <w:tcPr>
            <w:tcW w:w="2469" w:type="dxa"/>
            <w:vMerge/>
          </w:tcPr>
          <w:p w:rsidR="00BF410E" w:rsidRDefault="00BF410E" w:rsidP="00AA40FB">
            <w:pPr>
              <w:rPr>
                <w:sz w:val="24"/>
                <w:szCs w:val="24"/>
              </w:rPr>
            </w:pPr>
          </w:p>
        </w:tc>
        <w:tc>
          <w:tcPr>
            <w:tcW w:w="3130" w:type="dxa"/>
          </w:tcPr>
          <w:p w:rsidR="00BF410E" w:rsidRDefault="006577F6" w:rsidP="006577F6">
            <w:pPr>
              <w:rPr>
                <w:sz w:val="24"/>
                <w:szCs w:val="24"/>
              </w:rPr>
            </w:pPr>
            <w:r>
              <w:rPr>
                <w:sz w:val="24"/>
                <w:szCs w:val="24"/>
              </w:rPr>
              <w:t>F</w:t>
            </w:r>
            <w:r w:rsidR="00BF410E">
              <w:rPr>
                <w:sz w:val="24"/>
                <w:szCs w:val="24"/>
              </w:rPr>
              <w:t>inal revisions were made and the manual was made available in April 2018.</w:t>
            </w:r>
          </w:p>
        </w:tc>
      </w:tr>
      <w:tr w:rsidR="00BF410E" w:rsidTr="00E328EF">
        <w:trPr>
          <w:trHeight w:val="935"/>
        </w:trPr>
        <w:tc>
          <w:tcPr>
            <w:tcW w:w="2498" w:type="dxa"/>
            <w:vMerge/>
            <w:vAlign w:val="center"/>
          </w:tcPr>
          <w:p w:rsidR="00BF410E" w:rsidRDefault="00BF410E" w:rsidP="00AA40FB">
            <w:pPr>
              <w:jc w:val="center"/>
              <w:rPr>
                <w:b/>
                <w:sz w:val="24"/>
                <w:szCs w:val="24"/>
                <w:u w:val="single"/>
              </w:rPr>
            </w:pPr>
          </w:p>
        </w:tc>
        <w:tc>
          <w:tcPr>
            <w:tcW w:w="2541" w:type="dxa"/>
            <w:vMerge/>
            <w:vAlign w:val="center"/>
          </w:tcPr>
          <w:p w:rsidR="00BF410E" w:rsidRDefault="00BF410E" w:rsidP="00D0071D">
            <w:pPr>
              <w:pStyle w:val="ListParagraph"/>
              <w:numPr>
                <w:ilvl w:val="0"/>
                <w:numId w:val="2"/>
              </w:numPr>
              <w:ind w:left="335"/>
              <w:rPr>
                <w:sz w:val="24"/>
                <w:szCs w:val="24"/>
              </w:rPr>
            </w:pPr>
          </w:p>
        </w:tc>
        <w:tc>
          <w:tcPr>
            <w:tcW w:w="2538" w:type="dxa"/>
            <w:vMerge/>
            <w:vAlign w:val="center"/>
          </w:tcPr>
          <w:p w:rsidR="00BF410E" w:rsidRDefault="00BF410E" w:rsidP="009E6CC8">
            <w:pPr>
              <w:rPr>
                <w:sz w:val="24"/>
                <w:szCs w:val="24"/>
              </w:rPr>
            </w:pPr>
          </w:p>
        </w:tc>
        <w:tc>
          <w:tcPr>
            <w:tcW w:w="2469" w:type="dxa"/>
            <w:vMerge/>
          </w:tcPr>
          <w:p w:rsidR="00BF410E" w:rsidRDefault="00BF410E" w:rsidP="00AA40FB">
            <w:pPr>
              <w:rPr>
                <w:sz w:val="24"/>
                <w:szCs w:val="24"/>
              </w:rPr>
            </w:pPr>
          </w:p>
        </w:tc>
        <w:tc>
          <w:tcPr>
            <w:tcW w:w="3130" w:type="dxa"/>
          </w:tcPr>
          <w:p w:rsidR="00BF410E" w:rsidRDefault="00BF410E" w:rsidP="00AA40FB">
            <w:pPr>
              <w:rPr>
                <w:sz w:val="24"/>
                <w:szCs w:val="24"/>
              </w:rPr>
            </w:pPr>
            <w:r>
              <w:rPr>
                <w:sz w:val="24"/>
                <w:szCs w:val="24"/>
              </w:rPr>
              <w:t>Final revisions were made and the manual was made available in March 2019.</w:t>
            </w:r>
          </w:p>
        </w:tc>
      </w:tr>
      <w:tr w:rsidR="00BF410E" w:rsidTr="0046568B">
        <w:tc>
          <w:tcPr>
            <w:tcW w:w="2498" w:type="dxa"/>
            <w:vMerge/>
            <w:vAlign w:val="center"/>
          </w:tcPr>
          <w:p w:rsidR="00BF410E" w:rsidRDefault="00BF410E" w:rsidP="00AA40FB">
            <w:pPr>
              <w:jc w:val="center"/>
              <w:rPr>
                <w:sz w:val="24"/>
                <w:szCs w:val="24"/>
              </w:rPr>
            </w:pPr>
          </w:p>
        </w:tc>
        <w:tc>
          <w:tcPr>
            <w:tcW w:w="2541" w:type="dxa"/>
            <w:vMerge w:val="restart"/>
            <w:vAlign w:val="center"/>
          </w:tcPr>
          <w:p w:rsidR="00BF410E" w:rsidRPr="004F31D0" w:rsidRDefault="00BF410E" w:rsidP="00D0071D">
            <w:pPr>
              <w:pStyle w:val="ListParagraph"/>
              <w:numPr>
                <w:ilvl w:val="0"/>
                <w:numId w:val="2"/>
              </w:numPr>
              <w:rPr>
                <w:sz w:val="24"/>
                <w:szCs w:val="24"/>
              </w:rPr>
            </w:pPr>
            <w:r>
              <w:rPr>
                <w:sz w:val="24"/>
                <w:szCs w:val="24"/>
              </w:rPr>
              <w:t>Assess adequacy and appropriateness of therapy</w:t>
            </w:r>
          </w:p>
        </w:tc>
        <w:tc>
          <w:tcPr>
            <w:tcW w:w="2538" w:type="dxa"/>
            <w:vMerge w:val="restart"/>
            <w:vAlign w:val="center"/>
          </w:tcPr>
          <w:p w:rsidR="00BF410E" w:rsidRDefault="00BF410E" w:rsidP="009E6CC8">
            <w:pPr>
              <w:rPr>
                <w:sz w:val="24"/>
                <w:szCs w:val="24"/>
              </w:rPr>
            </w:pPr>
            <w:r>
              <w:rPr>
                <w:sz w:val="24"/>
                <w:szCs w:val="24"/>
              </w:rPr>
              <w:t>Review all drug regimens entered into surveillance system</w:t>
            </w:r>
          </w:p>
        </w:tc>
        <w:tc>
          <w:tcPr>
            <w:tcW w:w="2469" w:type="dxa"/>
            <w:vMerge w:val="restart"/>
            <w:vAlign w:val="center"/>
          </w:tcPr>
          <w:p w:rsidR="00BF410E" w:rsidRDefault="00BF410E" w:rsidP="0046568B">
            <w:pPr>
              <w:rPr>
                <w:sz w:val="24"/>
                <w:szCs w:val="24"/>
              </w:rPr>
            </w:pPr>
            <w:r>
              <w:rPr>
                <w:sz w:val="24"/>
                <w:szCs w:val="24"/>
              </w:rPr>
              <w:t>In-depth chart review of patients not placed on standard four (4) drug therapy to determine rationale for alternative regimen.</w:t>
            </w:r>
          </w:p>
        </w:tc>
        <w:tc>
          <w:tcPr>
            <w:tcW w:w="3130" w:type="dxa"/>
          </w:tcPr>
          <w:p w:rsidR="00BF410E" w:rsidRDefault="00BF410E" w:rsidP="00AA40FB">
            <w:pPr>
              <w:rPr>
                <w:sz w:val="24"/>
                <w:szCs w:val="24"/>
              </w:rPr>
            </w:pPr>
            <w:r>
              <w:rPr>
                <w:sz w:val="24"/>
                <w:szCs w:val="24"/>
              </w:rPr>
              <w:t xml:space="preserve">For patients not starting on the standard four (4) - drug regimen, all charts were reviewed to determine the reason. </w:t>
            </w:r>
          </w:p>
        </w:tc>
      </w:tr>
      <w:tr w:rsidR="00BF410E" w:rsidTr="00E328EF">
        <w:tc>
          <w:tcPr>
            <w:tcW w:w="2498" w:type="dxa"/>
            <w:vMerge/>
            <w:vAlign w:val="center"/>
          </w:tcPr>
          <w:p w:rsidR="00BF410E" w:rsidRDefault="00BF410E" w:rsidP="00AA40FB">
            <w:pPr>
              <w:jc w:val="center"/>
              <w:rPr>
                <w:sz w:val="24"/>
                <w:szCs w:val="24"/>
              </w:rPr>
            </w:pPr>
          </w:p>
        </w:tc>
        <w:tc>
          <w:tcPr>
            <w:tcW w:w="2541" w:type="dxa"/>
            <w:vMerge/>
            <w:vAlign w:val="center"/>
          </w:tcPr>
          <w:p w:rsidR="00BF410E" w:rsidRDefault="00BF410E" w:rsidP="00D0071D">
            <w:pPr>
              <w:pStyle w:val="ListParagraph"/>
              <w:numPr>
                <w:ilvl w:val="0"/>
                <w:numId w:val="2"/>
              </w:numPr>
              <w:rPr>
                <w:sz w:val="24"/>
                <w:szCs w:val="24"/>
              </w:rPr>
            </w:pPr>
          </w:p>
        </w:tc>
        <w:tc>
          <w:tcPr>
            <w:tcW w:w="2538" w:type="dxa"/>
            <w:vMerge/>
            <w:vAlign w:val="center"/>
          </w:tcPr>
          <w:p w:rsidR="00BF410E" w:rsidRDefault="00BF410E" w:rsidP="009E6CC8">
            <w:pPr>
              <w:rPr>
                <w:sz w:val="24"/>
                <w:szCs w:val="24"/>
              </w:rPr>
            </w:pPr>
          </w:p>
        </w:tc>
        <w:tc>
          <w:tcPr>
            <w:tcW w:w="2469" w:type="dxa"/>
            <w:vMerge/>
          </w:tcPr>
          <w:p w:rsidR="00BF410E" w:rsidRDefault="00BF410E" w:rsidP="002A36CE">
            <w:pPr>
              <w:rPr>
                <w:sz w:val="24"/>
                <w:szCs w:val="24"/>
              </w:rPr>
            </w:pPr>
          </w:p>
        </w:tc>
        <w:tc>
          <w:tcPr>
            <w:tcW w:w="3130" w:type="dxa"/>
          </w:tcPr>
          <w:p w:rsidR="00BF410E" w:rsidRPr="002A36CE" w:rsidRDefault="006577F6" w:rsidP="002A36CE">
            <w:pPr>
              <w:rPr>
                <w:sz w:val="24"/>
                <w:szCs w:val="24"/>
              </w:rPr>
            </w:pPr>
            <w:r>
              <w:rPr>
                <w:sz w:val="24"/>
                <w:szCs w:val="24"/>
              </w:rPr>
              <w:t xml:space="preserve">In 2018, </w:t>
            </w:r>
            <w:r w:rsidR="00BF410E">
              <w:rPr>
                <w:sz w:val="24"/>
                <w:szCs w:val="24"/>
              </w:rPr>
              <w:t xml:space="preserve">The most common reasons for not starting one of the drugs in the standard regimen were pregnancy (PZA) and patients’ age (EMB).  In December 2018, the TTBEP issued a memo to all regional TB staff reminding that non-formulary medications used to treat TB required central office approval prior to issuance. </w:t>
            </w:r>
          </w:p>
        </w:tc>
      </w:tr>
      <w:tr w:rsidR="00BF410E" w:rsidTr="00E328EF">
        <w:tc>
          <w:tcPr>
            <w:tcW w:w="2498" w:type="dxa"/>
            <w:vMerge/>
            <w:vAlign w:val="center"/>
          </w:tcPr>
          <w:p w:rsidR="00BF410E" w:rsidRDefault="00BF410E" w:rsidP="00AA40FB">
            <w:pPr>
              <w:jc w:val="center"/>
              <w:rPr>
                <w:sz w:val="24"/>
                <w:szCs w:val="24"/>
              </w:rPr>
            </w:pPr>
          </w:p>
        </w:tc>
        <w:tc>
          <w:tcPr>
            <w:tcW w:w="2541" w:type="dxa"/>
            <w:vMerge/>
            <w:vAlign w:val="center"/>
          </w:tcPr>
          <w:p w:rsidR="00BF410E" w:rsidRDefault="00BF410E" w:rsidP="00D0071D">
            <w:pPr>
              <w:pStyle w:val="ListParagraph"/>
              <w:numPr>
                <w:ilvl w:val="0"/>
                <w:numId w:val="2"/>
              </w:numPr>
              <w:rPr>
                <w:sz w:val="24"/>
                <w:szCs w:val="24"/>
              </w:rPr>
            </w:pPr>
          </w:p>
        </w:tc>
        <w:tc>
          <w:tcPr>
            <w:tcW w:w="2538" w:type="dxa"/>
            <w:vMerge/>
            <w:vAlign w:val="center"/>
          </w:tcPr>
          <w:p w:rsidR="00BF410E" w:rsidRDefault="00BF410E" w:rsidP="009E6CC8">
            <w:pPr>
              <w:rPr>
                <w:sz w:val="24"/>
                <w:szCs w:val="24"/>
              </w:rPr>
            </w:pPr>
          </w:p>
        </w:tc>
        <w:tc>
          <w:tcPr>
            <w:tcW w:w="2469" w:type="dxa"/>
            <w:vMerge/>
          </w:tcPr>
          <w:p w:rsidR="00BF410E" w:rsidRDefault="00BF410E" w:rsidP="002A36CE">
            <w:pPr>
              <w:rPr>
                <w:sz w:val="24"/>
                <w:szCs w:val="24"/>
              </w:rPr>
            </w:pPr>
          </w:p>
        </w:tc>
        <w:tc>
          <w:tcPr>
            <w:tcW w:w="3130" w:type="dxa"/>
          </w:tcPr>
          <w:p w:rsidR="00BF410E" w:rsidRPr="002A36CE" w:rsidRDefault="006577F6" w:rsidP="006577F6">
            <w:pPr>
              <w:rPr>
                <w:sz w:val="24"/>
                <w:szCs w:val="24"/>
              </w:rPr>
            </w:pPr>
            <w:r>
              <w:rPr>
                <w:sz w:val="24"/>
                <w:szCs w:val="24"/>
              </w:rPr>
              <w:t>In 2019, t</w:t>
            </w:r>
            <w:r w:rsidR="00BF410E">
              <w:rPr>
                <w:sz w:val="24"/>
                <w:szCs w:val="24"/>
              </w:rPr>
              <w:t>he most common reasons for not starting one or more of the drugs in the standard regimen include: pre-existing medical conditions that may be further complicated with one or more of the anti-TB drugs and patients’ age</w:t>
            </w:r>
          </w:p>
        </w:tc>
      </w:tr>
      <w:tr w:rsidR="00BF410E" w:rsidTr="00177E76">
        <w:tc>
          <w:tcPr>
            <w:tcW w:w="2498" w:type="dxa"/>
            <w:vMerge/>
            <w:vAlign w:val="center"/>
          </w:tcPr>
          <w:p w:rsidR="00BF410E" w:rsidRDefault="00BF410E" w:rsidP="00AA40FB">
            <w:pPr>
              <w:jc w:val="center"/>
              <w:rPr>
                <w:sz w:val="24"/>
                <w:szCs w:val="24"/>
              </w:rPr>
            </w:pPr>
          </w:p>
        </w:tc>
        <w:tc>
          <w:tcPr>
            <w:tcW w:w="2541" w:type="dxa"/>
            <w:vMerge/>
            <w:vAlign w:val="center"/>
          </w:tcPr>
          <w:p w:rsidR="00BF410E" w:rsidRDefault="00BF410E" w:rsidP="00D0071D">
            <w:pPr>
              <w:pStyle w:val="ListParagraph"/>
              <w:ind w:left="360"/>
              <w:rPr>
                <w:sz w:val="24"/>
                <w:szCs w:val="24"/>
              </w:rPr>
            </w:pPr>
          </w:p>
        </w:tc>
        <w:tc>
          <w:tcPr>
            <w:tcW w:w="2538" w:type="dxa"/>
            <w:vAlign w:val="center"/>
          </w:tcPr>
          <w:p w:rsidR="00BF410E" w:rsidRDefault="00BF410E" w:rsidP="009E6CC8">
            <w:pPr>
              <w:rPr>
                <w:sz w:val="24"/>
                <w:szCs w:val="24"/>
              </w:rPr>
            </w:pPr>
            <w:r>
              <w:rPr>
                <w:sz w:val="24"/>
                <w:szCs w:val="24"/>
              </w:rPr>
              <w:t>Reiterate use of therapeutic drug monitoring (TDM) on patients with risk factors for malabsorption and provide guidance on use of TDM</w:t>
            </w:r>
          </w:p>
        </w:tc>
        <w:tc>
          <w:tcPr>
            <w:tcW w:w="2469" w:type="dxa"/>
            <w:vAlign w:val="center"/>
          </w:tcPr>
          <w:p w:rsidR="00BF410E" w:rsidRDefault="00BF410E" w:rsidP="00177E76">
            <w:pPr>
              <w:rPr>
                <w:sz w:val="24"/>
                <w:szCs w:val="24"/>
              </w:rPr>
            </w:pPr>
            <w:r>
              <w:rPr>
                <w:sz w:val="24"/>
                <w:szCs w:val="24"/>
              </w:rPr>
              <w:t>Guidance for the use of TDM and examples of situations in which TDM should be useful were included in the TTBEP Manual.</w:t>
            </w:r>
          </w:p>
        </w:tc>
        <w:tc>
          <w:tcPr>
            <w:tcW w:w="3130" w:type="dxa"/>
          </w:tcPr>
          <w:p w:rsidR="00BF410E" w:rsidRDefault="00BF410E" w:rsidP="00AA40FB">
            <w:pPr>
              <w:rPr>
                <w:sz w:val="24"/>
                <w:szCs w:val="24"/>
              </w:rPr>
            </w:pPr>
            <w:r>
              <w:rPr>
                <w:sz w:val="24"/>
                <w:szCs w:val="24"/>
              </w:rPr>
              <w:t>In 2018 – 2019, the total percentage of patients that received TDMs with the following risk factors was:</w:t>
            </w:r>
          </w:p>
          <w:p w:rsidR="00BF410E" w:rsidRDefault="00BF410E" w:rsidP="00AA40FB">
            <w:pPr>
              <w:rPr>
                <w:sz w:val="24"/>
                <w:szCs w:val="24"/>
              </w:rPr>
            </w:pPr>
            <w:r>
              <w:rPr>
                <w:sz w:val="24"/>
                <w:szCs w:val="24"/>
              </w:rPr>
              <w:t>Diabetes mellitus: 71.1%</w:t>
            </w:r>
          </w:p>
          <w:p w:rsidR="00BF410E" w:rsidRDefault="00BF410E" w:rsidP="00AA40FB">
            <w:pPr>
              <w:rPr>
                <w:sz w:val="24"/>
                <w:szCs w:val="24"/>
              </w:rPr>
            </w:pPr>
            <w:r>
              <w:rPr>
                <w:sz w:val="24"/>
                <w:szCs w:val="24"/>
              </w:rPr>
              <w:t>Excessive alcohol use: 72.1%</w:t>
            </w:r>
          </w:p>
          <w:p w:rsidR="00BF410E" w:rsidRDefault="00BF410E" w:rsidP="00AA40FB">
            <w:pPr>
              <w:rPr>
                <w:sz w:val="24"/>
                <w:szCs w:val="24"/>
              </w:rPr>
            </w:pPr>
            <w:r>
              <w:rPr>
                <w:sz w:val="24"/>
                <w:szCs w:val="24"/>
              </w:rPr>
              <w:t>Immunosuppression: 46.2%</w:t>
            </w:r>
          </w:p>
          <w:p w:rsidR="00BF410E" w:rsidRDefault="00BF410E" w:rsidP="00AA40FB">
            <w:pPr>
              <w:rPr>
                <w:sz w:val="24"/>
                <w:szCs w:val="24"/>
              </w:rPr>
            </w:pPr>
            <w:r>
              <w:rPr>
                <w:sz w:val="24"/>
                <w:szCs w:val="24"/>
              </w:rPr>
              <w:t>Injecting drug use: 57.1%</w:t>
            </w:r>
          </w:p>
          <w:p w:rsidR="00BF410E" w:rsidRDefault="00BF410E" w:rsidP="00AA40FB">
            <w:pPr>
              <w:rPr>
                <w:sz w:val="24"/>
                <w:szCs w:val="24"/>
              </w:rPr>
            </w:pPr>
            <w:r>
              <w:rPr>
                <w:sz w:val="24"/>
                <w:szCs w:val="24"/>
              </w:rPr>
              <w:t>Non-injecting drug use: 67.7%</w:t>
            </w:r>
          </w:p>
          <w:p w:rsidR="00BF410E" w:rsidRDefault="00BF410E" w:rsidP="00AA40FB">
            <w:pPr>
              <w:rPr>
                <w:sz w:val="24"/>
                <w:szCs w:val="24"/>
              </w:rPr>
            </w:pPr>
            <w:r>
              <w:rPr>
                <w:sz w:val="24"/>
                <w:szCs w:val="24"/>
              </w:rPr>
              <w:t>HIV-positive: 63.6%</w:t>
            </w:r>
          </w:p>
          <w:p w:rsidR="00BF410E" w:rsidRDefault="00BF410E" w:rsidP="00AA40FB">
            <w:pPr>
              <w:rPr>
                <w:sz w:val="24"/>
                <w:szCs w:val="24"/>
              </w:rPr>
            </w:pPr>
            <w:r>
              <w:rPr>
                <w:sz w:val="24"/>
                <w:szCs w:val="24"/>
              </w:rPr>
              <w:t>End-stage renal disease: 50.0%</w:t>
            </w:r>
          </w:p>
        </w:tc>
      </w:tr>
      <w:tr w:rsidR="00BF410E" w:rsidTr="00E328EF">
        <w:tc>
          <w:tcPr>
            <w:tcW w:w="2498" w:type="dxa"/>
            <w:vMerge/>
            <w:vAlign w:val="center"/>
          </w:tcPr>
          <w:p w:rsidR="00BF410E" w:rsidRDefault="00BF410E" w:rsidP="00AA40FB">
            <w:pPr>
              <w:jc w:val="center"/>
              <w:rPr>
                <w:sz w:val="24"/>
                <w:szCs w:val="24"/>
              </w:rPr>
            </w:pPr>
          </w:p>
        </w:tc>
        <w:tc>
          <w:tcPr>
            <w:tcW w:w="2541" w:type="dxa"/>
            <w:vMerge/>
            <w:vAlign w:val="center"/>
          </w:tcPr>
          <w:p w:rsidR="00BF410E" w:rsidRDefault="00BF410E" w:rsidP="00D0071D">
            <w:pPr>
              <w:pStyle w:val="ListParagraph"/>
              <w:ind w:left="360"/>
              <w:rPr>
                <w:sz w:val="24"/>
                <w:szCs w:val="24"/>
              </w:rPr>
            </w:pPr>
          </w:p>
        </w:tc>
        <w:tc>
          <w:tcPr>
            <w:tcW w:w="2538" w:type="dxa"/>
            <w:vAlign w:val="center"/>
          </w:tcPr>
          <w:p w:rsidR="00BF410E" w:rsidRDefault="00BF410E" w:rsidP="009E6CC8">
            <w:pPr>
              <w:rPr>
                <w:sz w:val="24"/>
                <w:szCs w:val="24"/>
              </w:rPr>
            </w:pPr>
            <w:r>
              <w:rPr>
                <w:sz w:val="24"/>
                <w:szCs w:val="24"/>
              </w:rPr>
              <w:t>Regional notification to central office nurse consultants of patients placed on non-standard regimen</w:t>
            </w:r>
          </w:p>
        </w:tc>
        <w:tc>
          <w:tcPr>
            <w:tcW w:w="2469" w:type="dxa"/>
          </w:tcPr>
          <w:p w:rsidR="00BF410E" w:rsidRDefault="00BF410E" w:rsidP="00AA40FB">
            <w:pPr>
              <w:rPr>
                <w:sz w:val="24"/>
                <w:szCs w:val="24"/>
              </w:rPr>
            </w:pPr>
            <w:r>
              <w:rPr>
                <w:sz w:val="24"/>
                <w:szCs w:val="24"/>
              </w:rPr>
              <w:t>Standard IV-18 in the 2019 TTBEP Manual states: “For each patient with suspected or confirmed TB disease placed on a non-standard regimen, the regional TB program provides documentation of the TB clinician’s order and rationale to TTBEP Central Office (C.O.) within two (2) business days.</w:t>
            </w:r>
          </w:p>
        </w:tc>
        <w:tc>
          <w:tcPr>
            <w:tcW w:w="3130" w:type="dxa"/>
          </w:tcPr>
          <w:p w:rsidR="00BF410E" w:rsidRDefault="00BF410E" w:rsidP="00AA40FB">
            <w:pPr>
              <w:rPr>
                <w:sz w:val="24"/>
                <w:szCs w:val="24"/>
              </w:rPr>
            </w:pPr>
            <w:r>
              <w:rPr>
                <w:sz w:val="24"/>
                <w:szCs w:val="24"/>
              </w:rPr>
              <w:t>The TTBEP leadership has worked closely with the Tennessee Department of Health, Director of the Office of Pharmacy to ensure that if orders for non-standard regimens are placed that (a) the TTBEP is aware and (b) the medications are approved for use by the regional TB program.  The TTBEP, in conjunction with the Director of Pharmacy, established a communication mechanism by which notification is received and approved/rejected for non-standard TB medication.</w:t>
            </w:r>
          </w:p>
        </w:tc>
      </w:tr>
      <w:tr w:rsidR="00BF410E" w:rsidTr="00D6303A">
        <w:trPr>
          <w:trHeight w:val="892"/>
        </w:trPr>
        <w:tc>
          <w:tcPr>
            <w:tcW w:w="2498" w:type="dxa"/>
            <w:vMerge/>
            <w:vAlign w:val="center"/>
          </w:tcPr>
          <w:p w:rsidR="00BF410E" w:rsidRDefault="00BF410E" w:rsidP="00AA40FB">
            <w:pPr>
              <w:jc w:val="center"/>
              <w:rPr>
                <w:sz w:val="24"/>
                <w:szCs w:val="24"/>
              </w:rPr>
            </w:pPr>
          </w:p>
        </w:tc>
        <w:tc>
          <w:tcPr>
            <w:tcW w:w="2541" w:type="dxa"/>
            <w:vMerge w:val="restart"/>
            <w:vAlign w:val="center"/>
          </w:tcPr>
          <w:p w:rsidR="00BF410E" w:rsidRPr="004F31D0" w:rsidRDefault="00BF410E" w:rsidP="00D0071D">
            <w:pPr>
              <w:pStyle w:val="ListParagraph"/>
              <w:numPr>
                <w:ilvl w:val="0"/>
                <w:numId w:val="2"/>
              </w:numPr>
              <w:rPr>
                <w:sz w:val="24"/>
                <w:szCs w:val="24"/>
              </w:rPr>
            </w:pPr>
            <w:r>
              <w:rPr>
                <w:sz w:val="24"/>
                <w:szCs w:val="24"/>
              </w:rPr>
              <w:t>Seek expert consultation</w:t>
            </w:r>
          </w:p>
        </w:tc>
        <w:tc>
          <w:tcPr>
            <w:tcW w:w="2538" w:type="dxa"/>
            <w:vMerge w:val="restart"/>
            <w:vAlign w:val="center"/>
          </w:tcPr>
          <w:p w:rsidR="00BF410E" w:rsidRDefault="00BF410E" w:rsidP="009E6CC8">
            <w:pPr>
              <w:rPr>
                <w:sz w:val="24"/>
                <w:szCs w:val="24"/>
              </w:rPr>
            </w:pPr>
            <w:r>
              <w:rPr>
                <w:sz w:val="24"/>
                <w:szCs w:val="24"/>
              </w:rPr>
              <w:t>Clarify circumstances which warrant seeking expert consultation with state TB program, Southeastern National TB Center (SNTC), and CDC</w:t>
            </w:r>
          </w:p>
        </w:tc>
        <w:tc>
          <w:tcPr>
            <w:tcW w:w="2469" w:type="dxa"/>
            <w:vMerge w:val="restart"/>
          </w:tcPr>
          <w:p w:rsidR="00BF410E" w:rsidRDefault="00BF410E" w:rsidP="00AA40FB">
            <w:pPr>
              <w:rPr>
                <w:sz w:val="24"/>
                <w:szCs w:val="24"/>
              </w:rPr>
            </w:pPr>
            <w:r>
              <w:rPr>
                <w:sz w:val="24"/>
                <w:szCs w:val="24"/>
              </w:rPr>
              <w:t xml:space="preserve">The TTBEP medical director routinely reviews cases and determines if a consultation with SNTC is warranted.  </w:t>
            </w:r>
          </w:p>
        </w:tc>
        <w:tc>
          <w:tcPr>
            <w:tcW w:w="3130" w:type="dxa"/>
            <w:vAlign w:val="center"/>
          </w:tcPr>
          <w:p w:rsidR="00BF410E" w:rsidRPr="00CA7532" w:rsidRDefault="00BF410E" w:rsidP="00D6303A">
            <w:pPr>
              <w:rPr>
                <w:sz w:val="24"/>
                <w:szCs w:val="24"/>
              </w:rPr>
            </w:pPr>
            <w:r>
              <w:rPr>
                <w:sz w:val="24"/>
                <w:szCs w:val="24"/>
              </w:rPr>
              <w:t xml:space="preserve">In 2018, the TTBEP had two (2) consultations with SNTC.  </w:t>
            </w:r>
          </w:p>
        </w:tc>
      </w:tr>
      <w:tr w:rsidR="00BF410E" w:rsidTr="00E328EF">
        <w:trPr>
          <w:trHeight w:val="892"/>
        </w:trPr>
        <w:tc>
          <w:tcPr>
            <w:tcW w:w="2498" w:type="dxa"/>
            <w:vMerge/>
            <w:vAlign w:val="center"/>
          </w:tcPr>
          <w:p w:rsidR="00BF410E" w:rsidRDefault="00BF410E" w:rsidP="00AA40FB">
            <w:pPr>
              <w:jc w:val="center"/>
              <w:rPr>
                <w:sz w:val="24"/>
                <w:szCs w:val="24"/>
              </w:rPr>
            </w:pPr>
          </w:p>
        </w:tc>
        <w:tc>
          <w:tcPr>
            <w:tcW w:w="2541" w:type="dxa"/>
            <w:vMerge/>
            <w:vAlign w:val="center"/>
          </w:tcPr>
          <w:p w:rsidR="00BF410E" w:rsidRDefault="00BF410E" w:rsidP="00D0071D">
            <w:pPr>
              <w:pStyle w:val="ListParagraph"/>
              <w:numPr>
                <w:ilvl w:val="0"/>
                <w:numId w:val="2"/>
              </w:numPr>
              <w:rPr>
                <w:sz w:val="24"/>
                <w:szCs w:val="24"/>
              </w:rPr>
            </w:pPr>
          </w:p>
        </w:tc>
        <w:tc>
          <w:tcPr>
            <w:tcW w:w="2538" w:type="dxa"/>
            <w:vMerge/>
            <w:vAlign w:val="center"/>
          </w:tcPr>
          <w:p w:rsidR="00BF410E" w:rsidRDefault="00BF410E" w:rsidP="009E6CC8">
            <w:pPr>
              <w:rPr>
                <w:sz w:val="24"/>
                <w:szCs w:val="24"/>
              </w:rPr>
            </w:pPr>
          </w:p>
        </w:tc>
        <w:tc>
          <w:tcPr>
            <w:tcW w:w="2469" w:type="dxa"/>
            <w:vMerge/>
          </w:tcPr>
          <w:p w:rsidR="00BF410E" w:rsidRDefault="00BF410E" w:rsidP="00AA40FB">
            <w:pPr>
              <w:rPr>
                <w:sz w:val="24"/>
                <w:szCs w:val="24"/>
              </w:rPr>
            </w:pPr>
          </w:p>
        </w:tc>
        <w:tc>
          <w:tcPr>
            <w:tcW w:w="3130" w:type="dxa"/>
          </w:tcPr>
          <w:p w:rsidR="00BF410E" w:rsidRDefault="00BF410E" w:rsidP="00AA40FB">
            <w:pPr>
              <w:rPr>
                <w:sz w:val="24"/>
                <w:szCs w:val="24"/>
              </w:rPr>
            </w:pPr>
            <w:r>
              <w:rPr>
                <w:sz w:val="24"/>
                <w:szCs w:val="24"/>
              </w:rPr>
              <w:t>In 2019, there were 29 consultations between the TTBEP and SNTC as of 10/28/19.</w:t>
            </w:r>
          </w:p>
        </w:tc>
      </w:tr>
      <w:tr w:rsidR="00BF410E" w:rsidTr="0024345D">
        <w:tc>
          <w:tcPr>
            <w:tcW w:w="2498" w:type="dxa"/>
            <w:vMerge/>
            <w:vAlign w:val="center"/>
          </w:tcPr>
          <w:p w:rsidR="00BF410E" w:rsidRDefault="00BF410E" w:rsidP="00AA40FB">
            <w:pPr>
              <w:jc w:val="center"/>
              <w:rPr>
                <w:sz w:val="24"/>
                <w:szCs w:val="24"/>
              </w:rPr>
            </w:pPr>
          </w:p>
        </w:tc>
        <w:tc>
          <w:tcPr>
            <w:tcW w:w="2541" w:type="dxa"/>
            <w:tcBorders>
              <w:bottom w:val="nil"/>
            </w:tcBorders>
            <w:vAlign w:val="center"/>
          </w:tcPr>
          <w:p w:rsidR="00BF410E" w:rsidRPr="004F31D0" w:rsidRDefault="00BF410E" w:rsidP="00D0071D">
            <w:pPr>
              <w:pStyle w:val="ListParagraph"/>
              <w:numPr>
                <w:ilvl w:val="0"/>
                <w:numId w:val="2"/>
              </w:numPr>
              <w:rPr>
                <w:sz w:val="24"/>
                <w:szCs w:val="24"/>
              </w:rPr>
            </w:pPr>
            <w:r>
              <w:rPr>
                <w:sz w:val="24"/>
                <w:szCs w:val="24"/>
              </w:rPr>
              <w:t>Collaborate with HIV/AIDS programs</w:t>
            </w:r>
          </w:p>
        </w:tc>
        <w:tc>
          <w:tcPr>
            <w:tcW w:w="2538" w:type="dxa"/>
            <w:vAlign w:val="center"/>
          </w:tcPr>
          <w:p w:rsidR="00BF410E" w:rsidRDefault="00BF410E" w:rsidP="009E6CC8">
            <w:pPr>
              <w:rPr>
                <w:sz w:val="24"/>
                <w:szCs w:val="24"/>
              </w:rPr>
            </w:pPr>
            <w:r>
              <w:rPr>
                <w:sz w:val="24"/>
                <w:szCs w:val="24"/>
              </w:rPr>
              <w:t xml:space="preserve">Provide cross-match of TB/HIV co-infected patients to HIV program semi-annually </w:t>
            </w:r>
          </w:p>
          <w:p w:rsidR="00BF410E" w:rsidRDefault="00BF410E" w:rsidP="009E6CC8">
            <w:pPr>
              <w:rPr>
                <w:sz w:val="24"/>
                <w:szCs w:val="24"/>
              </w:rPr>
            </w:pPr>
          </w:p>
        </w:tc>
        <w:tc>
          <w:tcPr>
            <w:tcW w:w="2469" w:type="dxa"/>
          </w:tcPr>
          <w:p w:rsidR="00BF410E" w:rsidRPr="00662601" w:rsidRDefault="00BF410E" w:rsidP="00662601">
            <w:pPr>
              <w:rPr>
                <w:sz w:val="24"/>
                <w:szCs w:val="24"/>
              </w:rPr>
            </w:pPr>
            <w:r w:rsidRPr="00662601">
              <w:rPr>
                <w:sz w:val="24"/>
                <w:szCs w:val="24"/>
              </w:rPr>
              <w:t>Epidemiologists in the TB and HIV programs coordinate on a semi-annual basis to perform cross-matches.  The HIV program is provided with the TB state case number and site of disease for entry into the electronic HIV system (eHARS)</w:t>
            </w:r>
          </w:p>
        </w:tc>
        <w:tc>
          <w:tcPr>
            <w:tcW w:w="3130" w:type="dxa"/>
          </w:tcPr>
          <w:p w:rsidR="00BF410E" w:rsidRDefault="00BF410E" w:rsidP="00AA40FB">
            <w:pPr>
              <w:rPr>
                <w:sz w:val="24"/>
                <w:szCs w:val="24"/>
              </w:rPr>
            </w:pPr>
            <w:r>
              <w:rPr>
                <w:sz w:val="24"/>
                <w:szCs w:val="24"/>
              </w:rPr>
              <w:t>Cross matches of TB/HIV co-infected cases are provided to the HIV program on a quarterly basis to ensure that documentation of TB diagnosis is present in electronic HIV record.  The electronic HIV database (eHARS) is referenced if HIV status is unknown for any TB patient.  Discussions between the TB and HIV programs are ongoing about how best to ensure that TB diagnosis is recorded in the HIV record since TB is an AIDS-defining condition.</w:t>
            </w:r>
          </w:p>
        </w:tc>
      </w:tr>
      <w:tr w:rsidR="00BF410E" w:rsidTr="0024345D">
        <w:tc>
          <w:tcPr>
            <w:tcW w:w="2498" w:type="dxa"/>
            <w:vMerge/>
            <w:vAlign w:val="center"/>
          </w:tcPr>
          <w:p w:rsidR="00BF410E" w:rsidRDefault="00BF410E" w:rsidP="00AA40FB">
            <w:pPr>
              <w:jc w:val="center"/>
              <w:rPr>
                <w:sz w:val="24"/>
                <w:szCs w:val="24"/>
              </w:rPr>
            </w:pPr>
          </w:p>
        </w:tc>
        <w:tc>
          <w:tcPr>
            <w:tcW w:w="2541" w:type="dxa"/>
            <w:tcBorders>
              <w:top w:val="nil"/>
            </w:tcBorders>
            <w:vAlign w:val="center"/>
          </w:tcPr>
          <w:p w:rsidR="00BF410E" w:rsidRPr="0024345D" w:rsidRDefault="00BF410E" w:rsidP="0024345D">
            <w:pPr>
              <w:rPr>
                <w:sz w:val="24"/>
                <w:szCs w:val="24"/>
              </w:rPr>
            </w:pPr>
          </w:p>
        </w:tc>
        <w:tc>
          <w:tcPr>
            <w:tcW w:w="2538" w:type="dxa"/>
            <w:vAlign w:val="center"/>
          </w:tcPr>
          <w:p w:rsidR="00BF410E" w:rsidRDefault="00BF410E" w:rsidP="009E6CC8">
            <w:pPr>
              <w:rPr>
                <w:sz w:val="24"/>
                <w:szCs w:val="24"/>
              </w:rPr>
            </w:pPr>
            <w:r>
              <w:rPr>
                <w:sz w:val="24"/>
                <w:szCs w:val="24"/>
              </w:rPr>
              <w:t>Solicit input from HIV program for topics to include in statewide conference calls and meetings</w:t>
            </w:r>
          </w:p>
        </w:tc>
        <w:tc>
          <w:tcPr>
            <w:tcW w:w="2469" w:type="dxa"/>
            <w:vAlign w:val="center"/>
          </w:tcPr>
          <w:p w:rsidR="00BF410E" w:rsidRDefault="00BF410E" w:rsidP="0024345D">
            <w:pPr>
              <w:rPr>
                <w:sz w:val="24"/>
                <w:szCs w:val="24"/>
              </w:rPr>
            </w:pPr>
            <w:r>
              <w:rPr>
                <w:sz w:val="24"/>
                <w:szCs w:val="24"/>
              </w:rPr>
              <w:t>HIV program was included on initial statewide meeting and TB clinical symposium planning.</w:t>
            </w:r>
          </w:p>
        </w:tc>
        <w:tc>
          <w:tcPr>
            <w:tcW w:w="3130" w:type="dxa"/>
          </w:tcPr>
          <w:p w:rsidR="00BF410E" w:rsidRDefault="00BF410E" w:rsidP="00AA40FB">
            <w:pPr>
              <w:rPr>
                <w:sz w:val="24"/>
                <w:szCs w:val="24"/>
              </w:rPr>
            </w:pPr>
            <w:r w:rsidRPr="0024345D">
              <w:rPr>
                <w:sz w:val="24"/>
                <w:szCs w:val="24"/>
              </w:rPr>
              <w:t>In 2018, a TB clinical symposium was held.  A presentation was provided on TB/Hepatitis C co-infection and staff from the Tennessee Department of health HIV/STD/Viral Hepatitis Program attended the symposium.</w:t>
            </w:r>
          </w:p>
        </w:tc>
      </w:tr>
      <w:tr w:rsidR="00BF410E" w:rsidTr="00BF410E">
        <w:trPr>
          <w:trHeight w:val="1763"/>
        </w:trPr>
        <w:tc>
          <w:tcPr>
            <w:tcW w:w="2498" w:type="dxa"/>
            <w:vMerge/>
            <w:vAlign w:val="center"/>
          </w:tcPr>
          <w:p w:rsidR="00BF410E" w:rsidRDefault="00BF410E" w:rsidP="00AA40FB">
            <w:pPr>
              <w:jc w:val="center"/>
              <w:rPr>
                <w:sz w:val="24"/>
                <w:szCs w:val="24"/>
              </w:rPr>
            </w:pPr>
          </w:p>
        </w:tc>
        <w:tc>
          <w:tcPr>
            <w:tcW w:w="2541" w:type="dxa"/>
            <w:vMerge w:val="restart"/>
            <w:vAlign w:val="center"/>
          </w:tcPr>
          <w:p w:rsidR="00BF410E" w:rsidRPr="004F31D0" w:rsidRDefault="00BF410E" w:rsidP="00D0071D">
            <w:pPr>
              <w:pStyle w:val="ListParagraph"/>
              <w:numPr>
                <w:ilvl w:val="0"/>
                <w:numId w:val="2"/>
              </w:numPr>
              <w:rPr>
                <w:sz w:val="24"/>
                <w:szCs w:val="24"/>
              </w:rPr>
            </w:pPr>
            <w:r>
              <w:rPr>
                <w:sz w:val="24"/>
                <w:szCs w:val="24"/>
              </w:rPr>
              <w:t>Collaborate with external partners</w:t>
            </w:r>
          </w:p>
        </w:tc>
        <w:tc>
          <w:tcPr>
            <w:tcW w:w="2538" w:type="dxa"/>
            <w:vMerge w:val="restart"/>
            <w:vAlign w:val="center"/>
          </w:tcPr>
          <w:p w:rsidR="00BF410E" w:rsidRDefault="00BF410E" w:rsidP="004217A3">
            <w:pPr>
              <w:rPr>
                <w:sz w:val="24"/>
                <w:szCs w:val="24"/>
              </w:rPr>
            </w:pPr>
            <w:r>
              <w:rPr>
                <w:sz w:val="24"/>
                <w:szCs w:val="24"/>
              </w:rPr>
              <w:t>Identify a liaison to collaborate with partners that serve high-risk populations (e.g., corrections, community health centers, A&amp;D facilities, homeless shelters, etc.)</w:t>
            </w:r>
          </w:p>
        </w:tc>
        <w:tc>
          <w:tcPr>
            <w:tcW w:w="2469" w:type="dxa"/>
            <w:vMerge w:val="restart"/>
          </w:tcPr>
          <w:p w:rsidR="00BF410E" w:rsidRPr="00DE2B72" w:rsidRDefault="00BF410E" w:rsidP="000A0369">
            <w:pPr>
              <w:rPr>
                <w:sz w:val="24"/>
                <w:szCs w:val="24"/>
              </w:rPr>
            </w:pPr>
            <w:r>
              <w:rPr>
                <w:sz w:val="24"/>
                <w:szCs w:val="24"/>
              </w:rPr>
              <w:t>The TTBEP medical director serves as liaison for CHCs, A&amp;D facilities, TN Sheriff’s Association and TN Academy of Family Physicians.  The TTBEP program manager serves as the liaison for corrections and A&amp;D facilities.</w:t>
            </w:r>
          </w:p>
        </w:tc>
        <w:tc>
          <w:tcPr>
            <w:tcW w:w="3130" w:type="dxa"/>
          </w:tcPr>
          <w:p w:rsidR="00BF410E" w:rsidRDefault="00BF410E" w:rsidP="00E96E9C">
            <w:pPr>
              <w:rPr>
                <w:sz w:val="24"/>
                <w:szCs w:val="24"/>
              </w:rPr>
            </w:pPr>
            <w:r>
              <w:rPr>
                <w:sz w:val="24"/>
                <w:szCs w:val="24"/>
              </w:rPr>
              <w:t>In 2018, 4,687 QFTs were collected at the men’s intake facility (5.2% positivity)</w:t>
            </w:r>
            <w:r w:rsidR="0046568B">
              <w:rPr>
                <w:sz w:val="24"/>
                <w:szCs w:val="24"/>
              </w:rPr>
              <w:t>, and 849</w:t>
            </w:r>
            <w:r>
              <w:rPr>
                <w:sz w:val="24"/>
                <w:szCs w:val="24"/>
              </w:rPr>
              <w:t xml:space="preserve"> QFTs collected at the women’s intake facility (2.7% positivity). </w:t>
            </w:r>
          </w:p>
        </w:tc>
      </w:tr>
      <w:tr w:rsidR="00BF410E" w:rsidTr="00E96E9C">
        <w:trPr>
          <w:trHeight w:val="892"/>
        </w:trPr>
        <w:tc>
          <w:tcPr>
            <w:tcW w:w="2498" w:type="dxa"/>
            <w:vMerge/>
            <w:vAlign w:val="center"/>
          </w:tcPr>
          <w:p w:rsidR="00BF410E" w:rsidRDefault="00BF410E" w:rsidP="00AA40FB">
            <w:pPr>
              <w:jc w:val="center"/>
              <w:rPr>
                <w:sz w:val="24"/>
                <w:szCs w:val="24"/>
              </w:rPr>
            </w:pPr>
          </w:p>
        </w:tc>
        <w:tc>
          <w:tcPr>
            <w:tcW w:w="2541" w:type="dxa"/>
            <w:vMerge/>
            <w:vAlign w:val="center"/>
          </w:tcPr>
          <w:p w:rsidR="00BF410E" w:rsidRDefault="00BF410E" w:rsidP="00D0071D">
            <w:pPr>
              <w:pStyle w:val="ListParagraph"/>
              <w:numPr>
                <w:ilvl w:val="0"/>
                <w:numId w:val="2"/>
              </w:numPr>
              <w:rPr>
                <w:sz w:val="24"/>
                <w:szCs w:val="24"/>
              </w:rPr>
            </w:pPr>
          </w:p>
        </w:tc>
        <w:tc>
          <w:tcPr>
            <w:tcW w:w="2538" w:type="dxa"/>
            <w:vMerge/>
            <w:vAlign w:val="center"/>
          </w:tcPr>
          <w:p w:rsidR="00BF410E" w:rsidRDefault="00BF410E" w:rsidP="004217A3">
            <w:pPr>
              <w:rPr>
                <w:sz w:val="24"/>
                <w:szCs w:val="24"/>
              </w:rPr>
            </w:pPr>
          </w:p>
        </w:tc>
        <w:tc>
          <w:tcPr>
            <w:tcW w:w="2469" w:type="dxa"/>
            <w:vMerge/>
          </w:tcPr>
          <w:p w:rsidR="00BF410E" w:rsidRDefault="00BF410E" w:rsidP="000A0369">
            <w:pPr>
              <w:rPr>
                <w:sz w:val="24"/>
                <w:szCs w:val="24"/>
              </w:rPr>
            </w:pPr>
          </w:p>
        </w:tc>
        <w:tc>
          <w:tcPr>
            <w:tcW w:w="3130" w:type="dxa"/>
          </w:tcPr>
          <w:p w:rsidR="00BF410E" w:rsidRDefault="00BF410E" w:rsidP="00E96E9C">
            <w:pPr>
              <w:rPr>
                <w:sz w:val="24"/>
                <w:szCs w:val="24"/>
              </w:rPr>
            </w:pPr>
            <w:r w:rsidRPr="0046568B">
              <w:rPr>
                <w:sz w:val="24"/>
                <w:szCs w:val="24"/>
                <w:highlight w:val="yellow"/>
              </w:rPr>
              <w:t>In 2019</w:t>
            </w:r>
          </w:p>
        </w:tc>
      </w:tr>
      <w:tr w:rsidR="00BF410E" w:rsidTr="00E328EF">
        <w:trPr>
          <w:trHeight w:val="2421"/>
        </w:trPr>
        <w:tc>
          <w:tcPr>
            <w:tcW w:w="2498" w:type="dxa"/>
            <w:vMerge/>
            <w:vAlign w:val="center"/>
          </w:tcPr>
          <w:p w:rsidR="00BF410E" w:rsidRDefault="00BF410E" w:rsidP="00AA40FB">
            <w:pPr>
              <w:jc w:val="center"/>
              <w:rPr>
                <w:sz w:val="24"/>
                <w:szCs w:val="24"/>
              </w:rPr>
            </w:pPr>
          </w:p>
        </w:tc>
        <w:tc>
          <w:tcPr>
            <w:tcW w:w="2541" w:type="dxa"/>
            <w:vMerge/>
            <w:vAlign w:val="center"/>
          </w:tcPr>
          <w:p w:rsidR="00BF410E" w:rsidRDefault="00BF410E" w:rsidP="00D0071D">
            <w:pPr>
              <w:pStyle w:val="ListParagraph"/>
              <w:numPr>
                <w:ilvl w:val="0"/>
                <w:numId w:val="2"/>
              </w:numPr>
              <w:rPr>
                <w:sz w:val="24"/>
                <w:szCs w:val="24"/>
              </w:rPr>
            </w:pPr>
          </w:p>
        </w:tc>
        <w:tc>
          <w:tcPr>
            <w:tcW w:w="2538" w:type="dxa"/>
            <w:vMerge/>
            <w:vAlign w:val="center"/>
          </w:tcPr>
          <w:p w:rsidR="00BF410E" w:rsidRDefault="00BF410E" w:rsidP="004217A3">
            <w:pPr>
              <w:rPr>
                <w:sz w:val="24"/>
                <w:szCs w:val="24"/>
              </w:rPr>
            </w:pPr>
          </w:p>
        </w:tc>
        <w:tc>
          <w:tcPr>
            <w:tcW w:w="2469" w:type="dxa"/>
            <w:vMerge/>
          </w:tcPr>
          <w:p w:rsidR="00BF410E" w:rsidRDefault="00BF410E" w:rsidP="00AA40FB">
            <w:pPr>
              <w:rPr>
                <w:sz w:val="24"/>
                <w:szCs w:val="24"/>
              </w:rPr>
            </w:pPr>
          </w:p>
        </w:tc>
        <w:tc>
          <w:tcPr>
            <w:tcW w:w="3130" w:type="dxa"/>
          </w:tcPr>
          <w:p w:rsidR="00BF410E" w:rsidRDefault="00BF410E" w:rsidP="00380B6E">
            <w:pPr>
              <w:rPr>
                <w:sz w:val="24"/>
                <w:szCs w:val="24"/>
              </w:rPr>
            </w:pPr>
          </w:p>
        </w:tc>
      </w:tr>
      <w:tr w:rsidR="00BF410E" w:rsidTr="00BF410E">
        <w:trPr>
          <w:trHeight w:val="1404"/>
        </w:trPr>
        <w:tc>
          <w:tcPr>
            <w:tcW w:w="2498" w:type="dxa"/>
            <w:vMerge/>
            <w:vAlign w:val="center"/>
          </w:tcPr>
          <w:p w:rsidR="00BF410E" w:rsidRDefault="00BF410E" w:rsidP="00AA40FB">
            <w:pPr>
              <w:jc w:val="center"/>
              <w:rPr>
                <w:sz w:val="24"/>
                <w:szCs w:val="24"/>
              </w:rPr>
            </w:pPr>
          </w:p>
        </w:tc>
        <w:tc>
          <w:tcPr>
            <w:tcW w:w="2541" w:type="dxa"/>
            <w:vMerge w:val="restart"/>
            <w:vAlign w:val="center"/>
          </w:tcPr>
          <w:p w:rsidR="00BF410E" w:rsidRPr="004F31D0" w:rsidRDefault="00BF410E" w:rsidP="00D0071D">
            <w:pPr>
              <w:pStyle w:val="ListParagraph"/>
              <w:numPr>
                <w:ilvl w:val="0"/>
                <w:numId w:val="2"/>
              </w:numPr>
              <w:rPr>
                <w:sz w:val="24"/>
                <w:szCs w:val="24"/>
              </w:rPr>
            </w:pPr>
            <w:r>
              <w:rPr>
                <w:sz w:val="24"/>
                <w:szCs w:val="24"/>
              </w:rPr>
              <w:t>Binational referral</w:t>
            </w:r>
          </w:p>
        </w:tc>
        <w:tc>
          <w:tcPr>
            <w:tcW w:w="2538" w:type="dxa"/>
            <w:vMerge w:val="restart"/>
            <w:vAlign w:val="center"/>
          </w:tcPr>
          <w:p w:rsidR="00BF410E" w:rsidRDefault="00BF410E" w:rsidP="004217A3">
            <w:pPr>
              <w:rPr>
                <w:sz w:val="24"/>
                <w:szCs w:val="24"/>
              </w:rPr>
            </w:pPr>
            <w:r>
              <w:rPr>
                <w:sz w:val="24"/>
                <w:szCs w:val="24"/>
              </w:rPr>
              <w:t>Provide binational referral toolkit to all regional TB program managers</w:t>
            </w:r>
          </w:p>
        </w:tc>
        <w:tc>
          <w:tcPr>
            <w:tcW w:w="2469" w:type="dxa"/>
            <w:vMerge w:val="restart"/>
          </w:tcPr>
          <w:p w:rsidR="00BF410E" w:rsidRDefault="00BF410E" w:rsidP="00172B62">
            <w:pPr>
              <w:rPr>
                <w:sz w:val="24"/>
                <w:szCs w:val="24"/>
              </w:rPr>
            </w:pPr>
            <w:r>
              <w:rPr>
                <w:sz w:val="24"/>
                <w:szCs w:val="24"/>
              </w:rPr>
              <w:t>The program’s interjurisdictional point-of-contact also served as the binational point of contact.  Guidelines for submitting binational referrals were included in the updated TTBEP Manual.</w:t>
            </w:r>
          </w:p>
        </w:tc>
        <w:tc>
          <w:tcPr>
            <w:tcW w:w="3130" w:type="dxa"/>
            <w:vAlign w:val="center"/>
          </w:tcPr>
          <w:p w:rsidR="00BF410E" w:rsidRDefault="00BF410E" w:rsidP="00685783">
            <w:pPr>
              <w:rPr>
                <w:sz w:val="24"/>
                <w:szCs w:val="24"/>
              </w:rPr>
            </w:pPr>
            <w:r>
              <w:rPr>
                <w:sz w:val="24"/>
                <w:szCs w:val="24"/>
              </w:rPr>
              <w:t xml:space="preserve">In 2018, the TTBEP made two (2) binational referrals.  </w:t>
            </w:r>
          </w:p>
          <w:p w:rsidR="00BF410E" w:rsidRDefault="00BF410E" w:rsidP="00685783">
            <w:pPr>
              <w:rPr>
                <w:sz w:val="24"/>
                <w:szCs w:val="24"/>
              </w:rPr>
            </w:pPr>
          </w:p>
        </w:tc>
      </w:tr>
      <w:tr w:rsidR="00BF410E" w:rsidTr="00685783">
        <w:trPr>
          <w:trHeight w:val="1403"/>
        </w:trPr>
        <w:tc>
          <w:tcPr>
            <w:tcW w:w="2498" w:type="dxa"/>
            <w:vMerge/>
            <w:vAlign w:val="center"/>
          </w:tcPr>
          <w:p w:rsidR="00BF410E" w:rsidRDefault="00BF410E" w:rsidP="00AA40FB">
            <w:pPr>
              <w:jc w:val="center"/>
              <w:rPr>
                <w:sz w:val="24"/>
                <w:szCs w:val="24"/>
              </w:rPr>
            </w:pPr>
          </w:p>
        </w:tc>
        <w:tc>
          <w:tcPr>
            <w:tcW w:w="2541" w:type="dxa"/>
            <w:vMerge/>
            <w:vAlign w:val="center"/>
          </w:tcPr>
          <w:p w:rsidR="00BF410E" w:rsidRDefault="00BF410E" w:rsidP="00D0071D">
            <w:pPr>
              <w:pStyle w:val="ListParagraph"/>
              <w:numPr>
                <w:ilvl w:val="0"/>
                <w:numId w:val="2"/>
              </w:numPr>
              <w:rPr>
                <w:sz w:val="24"/>
                <w:szCs w:val="24"/>
              </w:rPr>
            </w:pPr>
          </w:p>
        </w:tc>
        <w:tc>
          <w:tcPr>
            <w:tcW w:w="2538" w:type="dxa"/>
            <w:vMerge/>
            <w:vAlign w:val="center"/>
          </w:tcPr>
          <w:p w:rsidR="00BF410E" w:rsidRDefault="00BF410E" w:rsidP="004217A3">
            <w:pPr>
              <w:rPr>
                <w:sz w:val="24"/>
                <w:szCs w:val="24"/>
              </w:rPr>
            </w:pPr>
          </w:p>
        </w:tc>
        <w:tc>
          <w:tcPr>
            <w:tcW w:w="2469" w:type="dxa"/>
            <w:vMerge/>
          </w:tcPr>
          <w:p w:rsidR="00BF410E" w:rsidRDefault="00BF410E" w:rsidP="00172B62">
            <w:pPr>
              <w:rPr>
                <w:sz w:val="24"/>
                <w:szCs w:val="24"/>
              </w:rPr>
            </w:pPr>
          </w:p>
        </w:tc>
        <w:tc>
          <w:tcPr>
            <w:tcW w:w="3130" w:type="dxa"/>
            <w:vAlign w:val="center"/>
          </w:tcPr>
          <w:p w:rsidR="00BF410E" w:rsidRDefault="00BF410E" w:rsidP="00685783">
            <w:pPr>
              <w:rPr>
                <w:sz w:val="24"/>
                <w:szCs w:val="24"/>
              </w:rPr>
            </w:pPr>
            <w:r>
              <w:rPr>
                <w:sz w:val="24"/>
                <w:szCs w:val="24"/>
              </w:rPr>
              <w:t>In 2019, six (6) binational referrals were made by the TTBEP.</w:t>
            </w:r>
          </w:p>
        </w:tc>
      </w:tr>
      <w:tr w:rsidR="00BF410E" w:rsidTr="00E328EF">
        <w:trPr>
          <w:trHeight w:val="1313"/>
        </w:trPr>
        <w:tc>
          <w:tcPr>
            <w:tcW w:w="2498" w:type="dxa"/>
            <w:vMerge/>
            <w:vAlign w:val="center"/>
          </w:tcPr>
          <w:p w:rsidR="00BF410E" w:rsidRDefault="00BF410E" w:rsidP="00AA40FB">
            <w:pPr>
              <w:jc w:val="center"/>
              <w:rPr>
                <w:sz w:val="24"/>
                <w:szCs w:val="24"/>
              </w:rPr>
            </w:pPr>
          </w:p>
        </w:tc>
        <w:tc>
          <w:tcPr>
            <w:tcW w:w="2541" w:type="dxa"/>
            <w:vAlign w:val="center"/>
          </w:tcPr>
          <w:p w:rsidR="00BF410E" w:rsidRPr="004F31D0" w:rsidRDefault="00BF410E" w:rsidP="00D0071D">
            <w:pPr>
              <w:pStyle w:val="ListParagraph"/>
              <w:numPr>
                <w:ilvl w:val="0"/>
                <w:numId w:val="2"/>
              </w:numPr>
              <w:rPr>
                <w:sz w:val="24"/>
                <w:szCs w:val="24"/>
              </w:rPr>
            </w:pPr>
            <w:r>
              <w:rPr>
                <w:sz w:val="24"/>
                <w:szCs w:val="24"/>
              </w:rPr>
              <w:t>Partner with DGMQ</w:t>
            </w:r>
          </w:p>
        </w:tc>
        <w:tc>
          <w:tcPr>
            <w:tcW w:w="2538" w:type="dxa"/>
            <w:vAlign w:val="center"/>
          </w:tcPr>
          <w:p w:rsidR="00BF410E" w:rsidRDefault="00BF410E" w:rsidP="00D0071D">
            <w:pPr>
              <w:rPr>
                <w:sz w:val="24"/>
                <w:szCs w:val="24"/>
              </w:rPr>
            </w:pPr>
            <w:r>
              <w:rPr>
                <w:sz w:val="24"/>
                <w:szCs w:val="24"/>
              </w:rPr>
              <w:t>Clarify criteria for “Do Not Board” in updated TB Manual</w:t>
            </w:r>
          </w:p>
        </w:tc>
        <w:tc>
          <w:tcPr>
            <w:tcW w:w="5599" w:type="dxa"/>
            <w:gridSpan w:val="2"/>
          </w:tcPr>
          <w:p w:rsidR="00BF410E" w:rsidRDefault="00BF410E" w:rsidP="00AA40FB">
            <w:pPr>
              <w:rPr>
                <w:sz w:val="24"/>
                <w:szCs w:val="24"/>
              </w:rPr>
            </w:pPr>
            <w:r>
              <w:rPr>
                <w:sz w:val="24"/>
                <w:szCs w:val="24"/>
              </w:rPr>
              <w:t>Because the TTBEP central office (C.O.) staff work with DGMQ for all cases placed on the “Do Not Board” list, it was decided not to include this information for regional TB programs in the TB Manual.</w:t>
            </w:r>
          </w:p>
        </w:tc>
      </w:tr>
      <w:tr w:rsidR="00BF410E" w:rsidTr="00BF410E">
        <w:trPr>
          <w:trHeight w:val="377"/>
        </w:trPr>
        <w:tc>
          <w:tcPr>
            <w:tcW w:w="2498" w:type="dxa"/>
            <w:vMerge/>
            <w:vAlign w:val="center"/>
          </w:tcPr>
          <w:p w:rsidR="00BF410E" w:rsidRDefault="00BF410E" w:rsidP="00AA40FB">
            <w:pPr>
              <w:jc w:val="center"/>
              <w:rPr>
                <w:sz w:val="24"/>
                <w:szCs w:val="24"/>
              </w:rPr>
            </w:pPr>
          </w:p>
        </w:tc>
        <w:tc>
          <w:tcPr>
            <w:tcW w:w="2541" w:type="dxa"/>
            <w:vMerge w:val="restart"/>
            <w:vAlign w:val="center"/>
          </w:tcPr>
          <w:p w:rsidR="00BF410E" w:rsidRDefault="00BF410E" w:rsidP="00D0071D">
            <w:pPr>
              <w:pStyle w:val="ListParagraph"/>
              <w:numPr>
                <w:ilvl w:val="0"/>
                <w:numId w:val="2"/>
              </w:numPr>
              <w:rPr>
                <w:sz w:val="24"/>
                <w:szCs w:val="24"/>
              </w:rPr>
            </w:pPr>
            <w:r>
              <w:rPr>
                <w:sz w:val="24"/>
                <w:szCs w:val="24"/>
              </w:rPr>
              <w:t>Evaluate case management</w:t>
            </w:r>
          </w:p>
        </w:tc>
        <w:tc>
          <w:tcPr>
            <w:tcW w:w="2538" w:type="dxa"/>
            <w:vMerge w:val="restart"/>
            <w:vAlign w:val="center"/>
          </w:tcPr>
          <w:p w:rsidR="00BF410E" w:rsidRDefault="00BF410E" w:rsidP="00D0071D">
            <w:pPr>
              <w:rPr>
                <w:sz w:val="24"/>
                <w:szCs w:val="24"/>
              </w:rPr>
            </w:pPr>
            <w:r>
              <w:rPr>
                <w:sz w:val="24"/>
                <w:szCs w:val="24"/>
              </w:rPr>
              <w:t>Perform systematic annual programmatic assessments of TB cases and TBI cases</w:t>
            </w:r>
          </w:p>
        </w:tc>
        <w:tc>
          <w:tcPr>
            <w:tcW w:w="2469" w:type="dxa"/>
            <w:vMerge w:val="restart"/>
          </w:tcPr>
          <w:p w:rsidR="00BF410E" w:rsidRDefault="00BF410E" w:rsidP="00AA40FB">
            <w:pPr>
              <w:rPr>
                <w:sz w:val="24"/>
                <w:szCs w:val="24"/>
              </w:rPr>
            </w:pPr>
            <w:r>
              <w:rPr>
                <w:sz w:val="24"/>
                <w:szCs w:val="24"/>
              </w:rPr>
              <w:t>All 13 regional TB programs received a programmatic assessment for cases of TB, cases of TBI, and program operations during 2018 and 2019 calendar years.</w:t>
            </w:r>
          </w:p>
        </w:tc>
        <w:tc>
          <w:tcPr>
            <w:tcW w:w="3130" w:type="dxa"/>
          </w:tcPr>
          <w:p w:rsidR="00BF410E" w:rsidRDefault="00BF410E" w:rsidP="00BF410E">
            <w:pPr>
              <w:rPr>
                <w:sz w:val="24"/>
                <w:szCs w:val="24"/>
              </w:rPr>
            </w:pPr>
            <w:r>
              <w:rPr>
                <w:sz w:val="24"/>
                <w:szCs w:val="24"/>
              </w:rPr>
              <w:t>In 2018, a total of 46 public health standards were assessed for each of the 83 randomly selected case records for a total of 3,818 public health standards assessed.  There were 167 findings (4.4%).</w:t>
            </w:r>
          </w:p>
        </w:tc>
      </w:tr>
      <w:tr w:rsidR="00BF410E" w:rsidTr="00E328EF">
        <w:trPr>
          <w:trHeight w:val="1148"/>
        </w:trPr>
        <w:tc>
          <w:tcPr>
            <w:tcW w:w="2498" w:type="dxa"/>
            <w:vMerge/>
            <w:vAlign w:val="center"/>
          </w:tcPr>
          <w:p w:rsidR="00BF410E" w:rsidRDefault="00BF410E" w:rsidP="00AA40FB">
            <w:pPr>
              <w:jc w:val="center"/>
              <w:rPr>
                <w:sz w:val="24"/>
                <w:szCs w:val="24"/>
              </w:rPr>
            </w:pPr>
          </w:p>
        </w:tc>
        <w:tc>
          <w:tcPr>
            <w:tcW w:w="2541" w:type="dxa"/>
            <w:vMerge/>
            <w:vAlign w:val="center"/>
          </w:tcPr>
          <w:p w:rsidR="00BF410E" w:rsidRDefault="00BF410E" w:rsidP="00D0071D">
            <w:pPr>
              <w:pStyle w:val="ListParagraph"/>
              <w:numPr>
                <w:ilvl w:val="0"/>
                <w:numId w:val="2"/>
              </w:numPr>
              <w:rPr>
                <w:sz w:val="24"/>
                <w:szCs w:val="24"/>
              </w:rPr>
            </w:pPr>
          </w:p>
        </w:tc>
        <w:tc>
          <w:tcPr>
            <w:tcW w:w="2538" w:type="dxa"/>
            <w:vMerge/>
            <w:vAlign w:val="center"/>
          </w:tcPr>
          <w:p w:rsidR="00BF410E" w:rsidRDefault="00BF410E" w:rsidP="00D0071D">
            <w:pPr>
              <w:rPr>
                <w:sz w:val="24"/>
                <w:szCs w:val="24"/>
              </w:rPr>
            </w:pPr>
          </w:p>
        </w:tc>
        <w:tc>
          <w:tcPr>
            <w:tcW w:w="2469" w:type="dxa"/>
            <w:vMerge/>
          </w:tcPr>
          <w:p w:rsidR="00BF410E" w:rsidRDefault="00BF410E" w:rsidP="00AA40FB">
            <w:pPr>
              <w:rPr>
                <w:sz w:val="24"/>
                <w:szCs w:val="24"/>
              </w:rPr>
            </w:pPr>
          </w:p>
        </w:tc>
        <w:tc>
          <w:tcPr>
            <w:tcW w:w="3130" w:type="dxa"/>
          </w:tcPr>
          <w:p w:rsidR="00BF410E" w:rsidRDefault="00BF410E" w:rsidP="00A12A5E">
            <w:pPr>
              <w:rPr>
                <w:sz w:val="24"/>
                <w:szCs w:val="24"/>
              </w:rPr>
            </w:pPr>
            <w:r w:rsidRPr="006577F6">
              <w:rPr>
                <w:sz w:val="24"/>
                <w:szCs w:val="24"/>
                <w:highlight w:val="yellow"/>
              </w:rPr>
              <w:t>In 2019, a total of</w:t>
            </w:r>
            <w:r>
              <w:rPr>
                <w:sz w:val="24"/>
                <w:szCs w:val="24"/>
              </w:rPr>
              <w:t xml:space="preserve">  </w:t>
            </w:r>
          </w:p>
        </w:tc>
      </w:tr>
      <w:tr w:rsidR="00BF410E" w:rsidTr="00BF410E">
        <w:trPr>
          <w:trHeight w:val="2802"/>
        </w:trPr>
        <w:tc>
          <w:tcPr>
            <w:tcW w:w="2498" w:type="dxa"/>
            <w:vMerge/>
            <w:vAlign w:val="center"/>
          </w:tcPr>
          <w:p w:rsidR="00BF410E" w:rsidRDefault="00BF410E" w:rsidP="00AA40FB">
            <w:pPr>
              <w:jc w:val="center"/>
              <w:rPr>
                <w:sz w:val="24"/>
                <w:szCs w:val="24"/>
              </w:rPr>
            </w:pPr>
          </w:p>
        </w:tc>
        <w:tc>
          <w:tcPr>
            <w:tcW w:w="2541" w:type="dxa"/>
            <w:vMerge w:val="restart"/>
            <w:vAlign w:val="center"/>
          </w:tcPr>
          <w:p w:rsidR="00BF410E" w:rsidRDefault="00BF410E" w:rsidP="00D0071D">
            <w:pPr>
              <w:pStyle w:val="ListParagraph"/>
              <w:numPr>
                <w:ilvl w:val="0"/>
                <w:numId w:val="2"/>
              </w:numPr>
              <w:rPr>
                <w:sz w:val="24"/>
                <w:szCs w:val="24"/>
              </w:rPr>
            </w:pPr>
            <w:r>
              <w:rPr>
                <w:sz w:val="24"/>
                <w:szCs w:val="24"/>
              </w:rPr>
              <w:t>TB elimination advisory committee</w:t>
            </w:r>
          </w:p>
        </w:tc>
        <w:tc>
          <w:tcPr>
            <w:tcW w:w="2538" w:type="dxa"/>
            <w:vMerge w:val="restart"/>
            <w:vAlign w:val="center"/>
          </w:tcPr>
          <w:p w:rsidR="00BF410E" w:rsidRDefault="00BF410E" w:rsidP="00D0071D">
            <w:pPr>
              <w:rPr>
                <w:sz w:val="24"/>
                <w:szCs w:val="24"/>
              </w:rPr>
            </w:pPr>
            <w:r>
              <w:rPr>
                <w:sz w:val="24"/>
                <w:szCs w:val="24"/>
              </w:rPr>
              <w:t>Establish a TB medical advisory committee</w:t>
            </w:r>
          </w:p>
        </w:tc>
        <w:tc>
          <w:tcPr>
            <w:tcW w:w="2469" w:type="dxa"/>
            <w:vMerge w:val="restart"/>
            <w:vAlign w:val="center"/>
          </w:tcPr>
          <w:p w:rsidR="00BF410E" w:rsidRDefault="00BF410E" w:rsidP="00E3690E">
            <w:pPr>
              <w:rPr>
                <w:sz w:val="24"/>
                <w:szCs w:val="24"/>
              </w:rPr>
            </w:pPr>
            <w:r>
              <w:rPr>
                <w:sz w:val="24"/>
                <w:szCs w:val="24"/>
              </w:rPr>
              <w:t>TB clinicians from the 13 public health regions were recruited to serve on a medical leadership team (MLT) workgroup to address/discuss TB activities across the state.  Representation was from rural and metropolitan public health regions with high, medium, and low incidences of TB.</w:t>
            </w:r>
          </w:p>
        </w:tc>
        <w:tc>
          <w:tcPr>
            <w:tcW w:w="3130" w:type="dxa"/>
            <w:vAlign w:val="center"/>
          </w:tcPr>
          <w:p w:rsidR="00BF410E" w:rsidRDefault="00BF410E" w:rsidP="00BF410E">
            <w:pPr>
              <w:rPr>
                <w:sz w:val="24"/>
                <w:szCs w:val="24"/>
              </w:rPr>
            </w:pPr>
            <w:r>
              <w:rPr>
                <w:sz w:val="24"/>
                <w:szCs w:val="24"/>
              </w:rPr>
              <w:t>In 2018</w:t>
            </w:r>
            <w:r w:rsidR="006577F6">
              <w:rPr>
                <w:sz w:val="24"/>
                <w:szCs w:val="24"/>
              </w:rPr>
              <w:t>,</w:t>
            </w:r>
            <w:r>
              <w:rPr>
                <w:sz w:val="24"/>
                <w:szCs w:val="24"/>
              </w:rPr>
              <w:t xml:space="preserve"> a medical leadership team (MLT) workgroup was formed to discuss targeted TB testing in Tennessee.  The cascade of care for TB infection (TBI) was discussed as well as issues and barriers to implementing targeted testing (See “Community Partnerships to End TB” in Program Accomplishments/Successes).  </w:t>
            </w:r>
          </w:p>
        </w:tc>
      </w:tr>
      <w:tr w:rsidR="00BF410E" w:rsidTr="00BF410E">
        <w:trPr>
          <w:trHeight w:val="2801"/>
        </w:trPr>
        <w:tc>
          <w:tcPr>
            <w:tcW w:w="2498" w:type="dxa"/>
            <w:vMerge/>
            <w:vAlign w:val="center"/>
          </w:tcPr>
          <w:p w:rsidR="00BF410E" w:rsidRDefault="00BF410E" w:rsidP="00AA40FB">
            <w:pPr>
              <w:jc w:val="center"/>
              <w:rPr>
                <w:sz w:val="24"/>
                <w:szCs w:val="24"/>
              </w:rPr>
            </w:pPr>
          </w:p>
        </w:tc>
        <w:tc>
          <w:tcPr>
            <w:tcW w:w="2541" w:type="dxa"/>
            <w:vMerge/>
            <w:vAlign w:val="center"/>
          </w:tcPr>
          <w:p w:rsidR="00BF410E" w:rsidRDefault="00BF410E" w:rsidP="00D0071D">
            <w:pPr>
              <w:pStyle w:val="ListParagraph"/>
              <w:numPr>
                <w:ilvl w:val="0"/>
                <w:numId w:val="2"/>
              </w:numPr>
              <w:rPr>
                <w:sz w:val="24"/>
                <w:szCs w:val="24"/>
              </w:rPr>
            </w:pPr>
          </w:p>
        </w:tc>
        <w:tc>
          <w:tcPr>
            <w:tcW w:w="2538" w:type="dxa"/>
            <w:vMerge/>
            <w:vAlign w:val="center"/>
          </w:tcPr>
          <w:p w:rsidR="00BF410E" w:rsidRDefault="00BF410E" w:rsidP="00D0071D">
            <w:pPr>
              <w:rPr>
                <w:sz w:val="24"/>
                <w:szCs w:val="24"/>
              </w:rPr>
            </w:pPr>
          </w:p>
        </w:tc>
        <w:tc>
          <w:tcPr>
            <w:tcW w:w="2469" w:type="dxa"/>
            <w:vMerge/>
            <w:vAlign w:val="center"/>
          </w:tcPr>
          <w:p w:rsidR="00BF410E" w:rsidRDefault="00BF410E" w:rsidP="00E3690E">
            <w:pPr>
              <w:rPr>
                <w:sz w:val="24"/>
                <w:szCs w:val="24"/>
              </w:rPr>
            </w:pPr>
          </w:p>
        </w:tc>
        <w:tc>
          <w:tcPr>
            <w:tcW w:w="3130" w:type="dxa"/>
            <w:vAlign w:val="center"/>
          </w:tcPr>
          <w:p w:rsidR="00BF410E" w:rsidRDefault="00BF410E" w:rsidP="00BF410E">
            <w:pPr>
              <w:rPr>
                <w:sz w:val="24"/>
                <w:szCs w:val="24"/>
              </w:rPr>
            </w:pPr>
            <w:r>
              <w:rPr>
                <w:sz w:val="24"/>
                <w:szCs w:val="24"/>
              </w:rPr>
              <w:t>In 2019, the MLT subcommittee began meeting to discuss new guidelines for screening and testing of healthcare personnel and guidance for staff working in public health departments across Tennessee.</w:t>
            </w:r>
          </w:p>
          <w:p w:rsidR="00BF410E" w:rsidRDefault="00BF410E" w:rsidP="00BF410E">
            <w:pPr>
              <w:rPr>
                <w:sz w:val="24"/>
                <w:szCs w:val="24"/>
              </w:rPr>
            </w:pPr>
          </w:p>
        </w:tc>
      </w:tr>
      <w:tr w:rsidR="00E3690E" w:rsidTr="005B543B">
        <w:tc>
          <w:tcPr>
            <w:tcW w:w="2498" w:type="dxa"/>
            <w:vMerge w:val="restart"/>
            <w:vAlign w:val="center"/>
          </w:tcPr>
          <w:p w:rsidR="00E3690E" w:rsidRDefault="00E3690E" w:rsidP="00702B67">
            <w:pPr>
              <w:jc w:val="center"/>
              <w:rPr>
                <w:sz w:val="24"/>
                <w:szCs w:val="24"/>
              </w:rPr>
            </w:pPr>
            <w:r>
              <w:rPr>
                <w:b/>
                <w:sz w:val="24"/>
                <w:szCs w:val="24"/>
                <w:u w:val="single"/>
              </w:rPr>
              <w:t>Strategy 2</w:t>
            </w:r>
            <w:r>
              <w:rPr>
                <w:sz w:val="24"/>
                <w:szCs w:val="24"/>
              </w:rPr>
              <w:t xml:space="preserve">: </w:t>
            </w:r>
          </w:p>
          <w:p w:rsidR="00E3690E" w:rsidRPr="004F31D0" w:rsidRDefault="00E3690E" w:rsidP="00702B67">
            <w:pPr>
              <w:jc w:val="center"/>
              <w:rPr>
                <w:sz w:val="24"/>
                <w:szCs w:val="24"/>
              </w:rPr>
            </w:pPr>
            <w:r>
              <w:rPr>
                <w:sz w:val="24"/>
                <w:szCs w:val="24"/>
              </w:rPr>
              <w:t>Surveillance of TB Cases and Case Reporting</w:t>
            </w:r>
          </w:p>
        </w:tc>
        <w:tc>
          <w:tcPr>
            <w:tcW w:w="2541" w:type="dxa"/>
            <w:vAlign w:val="center"/>
          </w:tcPr>
          <w:p w:rsidR="00E3690E" w:rsidRPr="004F31D0" w:rsidRDefault="00E3690E" w:rsidP="00D0071D">
            <w:pPr>
              <w:pStyle w:val="ListParagraph"/>
              <w:numPr>
                <w:ilvl w:val="0"/>
                <w:numId w:val="3"/>
              </w:numPr>
              <w:ind w:left="335"/>
              <w:rPr>
                <w:sz w:val="24"/>
                <w:szCs w:val="24"/>
              </w:rPr>
            </w:pPr>
            <w:r>
              <w:rPr>
                <w:sz w:val="24"/>
                <w:szCs w:val="24"/>
              </w:rPr>
              <w:t>Report complete data on RVCT</w:t>
            </w:r>
          </w:p>
        </w:tc>
        <w:tc>
          <w:tcPr>
            <w:tcW w:w="2538" w:type="dxa"/>
            <w:vAlign w:val="center"/>
          </w:tcPr>
          <w:p w:rsidR="00E3690E" w:rsidRDefault="00E3690E" w:rsidP="00D0071D">
            <w:pPr>
              <w:rPr>
                <w:sz w:val="24"/>
                <w:szCs w:val="24"/>
              </w:rPr>
            </w:pPr>
            <w:r>
              <w:rPr>
                <w:sz w:val="24"/>
                <w:szCs w:val="24"/>
              </w:rPr>
              <w:t>Perform RVCT data quality assurance on all TB cases with a closed investigation</w:t>
            </w:r>
          </w:p>
          <w:p w:rsidR="00C823E3" w:rsidRDefault="00C823E3" w:rsidP="00D0071D">
            <w:pPr>
              <w:rPr>
                <w:sz w:val="24"/>
                <w:szCs w:val="24"/>
              </w:rPr>
            </w:pPr>
          </w:p>
        </w:tc>
        <w:tc>
          <w:tcPr>
            <w:tcW w:w="2469" w:type="dxa"/>
            <w:vMerge w:val="restart"/>
          </w:tcPr>
          <w:p w:rsidR="00E3690E" w:rsidRDefault="00662601" w:rsidP="00AA40FB">
            <w:pPr>
              <w:rPr>
                <w:sz w:val="24"/>
                <w:szCs w:val="24"/>
              </w:rPr>
            </w:pPr>
            <w:r>
              <w:rPr>
                <w:sz w:val="24"/>
                <w:szCs w:val="24"/>
              </w:rPr>
              <w:t>Prior to submission to CDC to include in the state’s morbidity count, review RVCT to ensure completeness.  Complete follow-up 1 and 2 as access to data is available and ensure completeness prior to case closure.</w:t>
            </w:r>
          </w:p>
        </w:tc>
        <w:tc>
          <w:tcPr>
            <w:tcW w:w="3130" w:type="dxa"/>
            <w:vMerge w:val="restart"/>
            <w:vAlign w:val="center"/>
          </w:tcPr>
          <w:p w:rsidR="00E3690E" w:rsidRPr="00662601" w:rsidRDefault="00662601" w:rsidP="005B543B">
            <w:pPr>
              <w:rPr>
                <w:sz w:val="24"/>
                <w:szCs w:val="24"/>
              </w:rPr>
            </w:pPr>
            <w:r>
              <w:rPr>
                <w:sz w:val="24"/>
                <w:szCs w:val="24"/>
              </w:rPr>
              <w:t xml:space="preserve">See </w:t>
            </w:r>
            <w:r w:rsidRPr="00662601">
              <w:rPr>
                <w:b/>
                <w:sz w:val="24"/>
                <w:szCs w:val="24"/>
              </w:rPr>
              <w:t>Table 1</w:t>
            </w:r>
            <w:r>
              <w:rPr>
                <w:b/>
                <w:sz w:val="24"/>
                <w:szCs w:val="24"/>
              </w:rPr>
              <w:t xml:space="preserve"> </w:t>
            </w:r>
            <w:r>
              <w:rPr>
                <w:sz w:val="24"/>
                <w:szCs w:val="24"/>
              </w:rPr>
              <w:t>for progress toward completeness of the RVCT national objective.</w:t>
            </w:r>
          </w:p>
        </w:tc>
      </w:tr>
      <w:tr w:rsidR="00E3690E" w:rsidTr="00E328EF">
        <w:tc>
          <w:tcPr>
            <w:tcW w:w="2498" w:type="dxa"/>
            <w:vMerge/>
            <w:vAlign w:val="center"/>
          </w:tcPr>
          <w:p w:rsidR="00E3690E" w:rsidRDefault="00E3690E" w:rsidP="00702B67">
            <w:pPr>
              <w:jc w:val="center"/>
              <w:rPr>
                <w:b/>
                <w:sz w:val="24"/>
                <w:szCs w:val="24"/>
                <w:u w:val="single"/>
              </w:rPr>
            </w:pPr>
          </w:p>
        </w:tc>
        <w:tc>
          <w:tcPr>
            <w:tcW w:w="2541" w:type="dxa"/>
            <w:vAlign w:val="center"/>
          </w:tcPr>
          <w:p w:rsidR="00E3690E" w:rsidRDefault="00E3690E" w:rsidP="00D0071D">
            <w:pPr>
              <w:pStyle w:val="ListParagraph"/>
              <w:numPr>
                <w:ilvl w:val="0"/>
                <w:numId w:val="3"/>
              </w:numPr>
              <w:ind w:left="335"/>
              <w:rPr>
                <w:sz w:val="24"/>
                <w:szCs w:val="24"/>
              </w:rPr>
            </w:pPr>
            <w:r>
              <w:rPr>
                <w:sz w:val="24"/>
                <w:szCs w:val="24"/>
              </w:rPr>
              <w:t>Complete follow-up 1 and 2 forms</w:t>
            </w:r>
          </w:p>
        </w:tc>
        <w:tc>
          <w:tcPr>
            <w:tcW w:w="2538" w:type="dxa"/>
            <w:vAlign w:val="center"/>
          </w:tcPr>
          <w:p w:rsidR="00E3690E" w:rsidRDefault="00E3690E" w:rsidP="00702B67">
            <w:pPr>
              <w:rPr>
                <w:sz w:val="24"/>
                <w:szCs w:val="24"/>
              </w:rPr>
            </w:pPr>
            <w:r>
              <w:rPr>
                <w:sz w:val="24"/>
                <w:szCs w:val="24"/>
              </w:rPr>
              <w:t>Perform RVCT data quality assurance on all TB cases with a closed investigation</w:t>
            </w:r>
          </w:p>
        </w:tc>
        <w:tc>
          <w:tcPr>
            <w:tcW w:w="2469" w:type="dxa"/>
            <w:vMerge/>
          </w:tcPr>
          <w:p w:rsidR="00E3690E" w:rsidRDefault="00E3690E" w:rsidP="00AA40FB">
            <w:pPr>
              <w:rPr>
                <w:sz w:val="24"/>
                <w:szCs w:val="24"/>
              </w:rPr>
            </w:pPr>
          </w:p>
        </w:tc>
        <w:tc>
          <w:tcPr>
            <w:tcW w:w="3130" w:type="dxa"/>
            <w:vMerge/>
          </w:tcPr>
          <w:p w:rsidR="00E3690E" w:rsidRDefault="00E3690E" w:rsidP="00AA40FB">
            <w:pPr>
              <w:rPr>
                <w:sz w:val="24"/>
                <w:szCs w:val="24"/>
              </w:rPr>
            </w:pPr>
          </w:p>
        </w:tc>
      </w:tr>
      <w:tr w:rsidR="00D0071D" w:rsidTr="00E328EF">
        <w:tc>
          <w:tcPr>
            <w:tcW w:w="2498" w:type="dxa"/>
            <w:vMerge/>
            <w:vAlign w:val="center"/>
          </w:tcPr>
          <w:p w:rsidR="00D0071D" w:rsidRDefault="00D0071D" w:rsidP="004F31D0">
            <w:pPr>
              <w:rPr>
                <w:b/>
                <w:sz w:val="24"/>
                <w:szCs w:val="24"/>
                <w:u w:val="single"/>
              </w:rPr>
            </w:pPr>
          </w:p>
        </w:tc>
        <w:tc>
          <w:tcPr>
            <w:tcW w:w="2541" w:type="dxa"/>
            <w:vAlign w:val="center"/>
          </w:tcPr>
          <w:p w:rsidR="00D0071D" w:rsidRDefault="00D0071D" w:rsidP="00BA0603">
            <w:pPr>
              <w:pStyle w:val="ListParagraph"/>
              <w:numPr>
                <w:ilvl w:val="0"/>
                <w:numId w:val="3"/>
              </w:numPr>
              <w:ind w:left="335"/>
              <w:rPr>
                <w:sz w:val="24"/>
                <w:szCs w:val="24"/>
              </w:rPr>
            </w:pPr>
            <w:r>
              <w:rPr>
                <w:sz w:val="24"/>
                <w:szCs w:val="24"/>
              </w:rPr>
              <w:t>Genotyping and linkage to surveillance data</w:t>
            </w:r>
          </w:p>
          <w:p w:rsidR="00D0071D" w:rsidRDefault="00D0071D" w:rsidP="00BA0603">
            <w:pPr>
              <w:pStyle w:val="ListParagraph"/>
              <w:ind w:left="335"/>
              <w:rPr>
                <w:sz w:val="24"/>
                <w:szCs w:val="24"/>
              </w:rPr>
            </w:pPr>
          </w:p>
        </w:tc>
        <w:tc>
          <w:tcPr>
            <w:tcW w:w="2538" w:type="dxa"/>
            <w:vAlign w:val="center"/>
          </w:tcPr>
          <w:p w:rsidR="00D0071D" w:rsidRDefault="00D0071D" w:rsidP="00D0071D">
            <w:pPr>
              <w:rPr>
                <w:sz w:val="24"/>
                <w:szCs w:val="24"/>
              </w:rPr>
            </w:pPr>
            <w:r>
              <w:rPr>
                <w:sz w:val="24"/>
                <w:szCs w:val="24"/>
              </w:rPr>
              <w:t xml:space="preserve">Request access to TB GIMS for additional TTBEP central office and train on use and functionality </w:t>
            </w:r>
          </w:p>
        </w:tc>
        <w:tc>
          <w:tcPr>
            <w:tcW w:w="2469" w:type="dxa"/>
          </w:tcPr>
          <w:p w:rsidR="00D0071D" w:rsidRDefault="00B303C7" w:rsidP="00AA40FB">
            <w:pPr>
              <w:rPr>
                <w:sz w:val="24"/>
                <w:szCs w:val="24"/>
              </w:rPr>
            </w:pPr>
            <w:r>
              <w:rPr>
                <w:sz w:val="24"/>
                <w:szCs w:val="24"/>
              </w:rPr>
              <w:t>A review of current Tennessee TB program TB GIMS standard and super users was performed as well as a programmatic review of the linking process between genotyping and surveillance data.</w:t>
            </w:r>
          </w:p>
        </w:tc>
        <w:tc>
          <w:tcPr>
            <w:tcW w:w="3130" w:type="dxa"/>
          </w:tcPr>
          <w:p w:rsidR="00D0071D" w:rsidRDefault="00B303C7" w:rsidP="00AA40FB">
            <w:pPr>
              <w:rPr>
                <w:sz w:val="24"/>
                <w:szCs w:val="24"/>
              </w:rPr>
            </w:pPr>
            <w:r>
              <w:rPr>
                <w:sz w:val="24"/>
                <w:szCs w:val="24"/>
              </w:rPr>
              <w:t>It was determined that no additional TTBEP central office staff needed access to TB GIMS.  The current number of users was deemed sufficient to maintain the current linking processes.</w:t>
            </w:r>
          </w:p>
        </w:tc>
      </w:tr>
      <w:tr w:rsidR="00350405" w:rsidTr="00E328EF">
        <w:tc>
          <w:tcPr>
            <w:tcW w:w="2498" w:type="dxa"/>
            <w:vAlign w:val="center"/>
          </w:tcPr>
          <w:p w:rsidR="00350405" w:rsidRDefault="00350405" w:rsidP="007034FC">
            <w:pPr>
              <w:jc w:val="center"/>
              <w:rPr>
                <w:sz w:val="24"/>
                <w:szCs w:val="24"/>
              </w:rPr>
            </w:pPr>
            <w:r>
              <w:rPr>
                <w:b/>
                <w:sz w:val="24"/>
                <w:szCs w:val="24"/>
                <w:u w:val="single"/>
              </w:rPr>
              <w:t>Strategy 2</w:t>
            </w:r>
            <w:r>
              <w:rPr>
                <w:sz w:val="24"/>
                <w:szCs w:val="24"/>
              </w:rPr>
              <w:t xml:space="preserve">: </w:t>
            </w:r>
          </w:p>
          <w:p w:rsidR="00350405" w:rsidRPr="004F31D0" w:rsidRDefault="00350405" w:rsidP="007034FC">
            <w:pPr>
              <w:jc w:val="center"/>
              <w:rPr>
                <w:sz w:val="24"/>
                <w:szCs w:val="24"/>
              </w:rPr>
            </w:pPr>
            <w:r>
              <w:rPr>
                <w:sz w:val="24"/>
                <w:szCs w:val="24"/>
              </w:rPr>
              <w:t>Surveillance of TB Cases and Case Reporting</w:t>
            </w:r>
          </w:p>
        </w:tc>
        <w:tc>
          <w:tcPr>
            <w:tcW w:w="2541" w:type="dxa"/>
            <w:vAlign w:val="center"/>
          </w:tcPr>
          <w:p w:rsidR="00350405" w:rsidRDefault="00350405" w:rsidP="00BA0603">
            <w:pPr>
              <w:pStyle w:val="ListParagraph"/>
              <w:numPr>
                <w:ilvl w:val="0"/>
                <w:numId w:val="3"/>
              </w:numPr>
              <w:ind w:left="335"/>
              <w:rPr>
                <w:sz w:val="24"/>
                <w:szCs w:val="24"/>
              </w:rPr>
            </w:pPr>
            <w:r>
              <w:rPr>
                <w:sz w:val="24"/>
                <w:szCs w:val="24"/>
              </w:rPr>
              <w:t>Notify CDC of large outbreaks</w:t>
            </w:r>
          </w:p>
        </w:tc>
        <w:tc>
          <w:tcPr>
            <w:tcW w:w="2538" w:type="dxa"/>
            <w:vAlign w:val="center"/>
          </w:tcPr>
          <w:p w:rsidR="00350405" w:rsidRDefault="00350405" w:rsidP="00D0071D">
            <w:pPr>
              <w:rPr>
                <w:sz w:val="24"/>
                <w:szCs w:val="24"/>
              </w:rPr>
            </w:pPr>
            <w:r>
              <w:rPr>
                <w:sz w:val="24"/>
                <w:szCs w:val="24"/>
              </w:rPr>
              <w:t>Review existing genotype clusters and work in a timely manner with CDC to identify large outbreaks</w:t>
            </w:r>
          </w:p>
        </w:tc>
        <w:tc>
          <w:tcPr>
            <w:tcW w:w="2469" w:type="dxa"/>
            <w:vAlign w:val="center"/>
          </w:tcPr>
          <w:p w:rsidR="00350405" w:rsidRDefault="00350405" w:rsidP="00540F73">
            <w:pPr>
              <w:rPr>
                <w:sz w:val="24"/>
                <w:szCs w:val="24"/>
              </w:rPr>
            </w:pPr>
            <w:r>
              <w:rPr>
                <w:sz w:val="24"/>
                <w:szCs w:val="24"/>
              </w:rPr>
              <w:t xml:space="preserve">Utilize genotyping data and epidemiologically linked state case numbers on the RVCT to identify clustered cases that could represent large outbreaks and recent transmission.  Utilize CDC’s definition of a large outbreak of </w:t>
            </w:r>
            <w:r>
              <w:rPr>
                <w:rFonts w:cstheme="minorHAnsi"/>
                <w:sz w:val="24"/>
                <w:szCs w:val="24"/>
              </w:rPr>
              <w:t>≥</w:t>
            </w:r>
            <w:r>
              <w:rPr>
                <w:sz w:val="24"/>
                <w:szCs w:val="24"/>
              </w:rPr>
              <w:t>10 cases related by recent transmission in a 3-year period.</w:t>
            </w:r>
          </w:p>
        </w:tc>
        <w:tc>
          <w:tcPr>
            <w:tcW w:w="3130" w:type="dxa"/>
          </w:tcPr>
          <w:p w:rsidR="00350405" w:rsidRDefault="00350405" w:rsidP="000A0369">
            <w:pPr>
              <w:rPr>
                <w:sz w:val="24"/>
                <w:szCs w:val="24"/>
              </w:rPr>
            </w:pPr>
            <w:r>
              <w:rPr>
                <w:sz w:val="24"/>
                <w:szCs w:val="24"/>
              </w:rPr>
              <w:t xml:space="preserve">There was only one (1) large outbreak detected by CDC that occurred during 2014-2016 (GENType G01551.  During 2018-2019, there were three (3) additional cases added to this cluster in the county of interest.  A closeout repot for this large outbreak during the defined period was submitted to CDC in December 2019.  The county’s response to this outbreak included establishing a once-weekly night clinic for the homeless to test and evaluate for active TB and TB infection.  </w:t>
            </w:r>
          </w:p>
          <w:p w:rsidR="00662601" w:rsidRDefault="00662601" w:rsidP="000A0369">
            <w:pPr>
              <w:rPr>
                <w:sz w:val="24"/>
                <w:szCs w:val="24"/>
              </w:rPr>
            </w:pPr>
          </w:p>
        </w:tc>
      </w:tr>
      <w:tr w:rsidR="006577F6" w:rsidTr="005B543B">
        <w:tc>
          <w:tcPr>
            <w:tcW w:w="2498" w:type="dxa"/>
            <w:vMerge w:val="restart"/>
            <w:vAlign w:val="center"/>
          </w:tcPr>
          <w:p w:rsidR="006577F6" w:rsidRDefault="006577F6" w:rsidP="001D4A4C">
            <w:pPr>
              <w:jc w:val="center"/>
              <w:rPr>
                <w:sz w:val="24"/>
                <w:szCs w:val="24"/>
              </w:rPr>
            </w:pPr>
            <w:r>
              <w:rPr>
                <w:b/>
                <w:sz w:val="24"/>
                <w:szCs w:val="24"/>
                <w:u w:val="single"/>
              </w:rPr>
              <w:t>Strategy 2</w:t>
            </w:r>
            <w:r>
              <w:rPr>
                <w:sz w:val="24"/>
                <w:szCs w:val="24"/>
              </w:rPr>
              <w:t xml:space="preserve">: </w:t>
            </w:r>
          </w:p>
          <w:p w:rsidR="006577F6" w:rsidRPr="004F31D0" w:rsidRDefault="006577F6" w:rsidP="001D4A4C">
            <w:pPr>
              <w:jc w:val="center"/>
              <w:rPr>
                <w:sz w:val="24"/>
                <w:szCs w:val="24"/>
              </w:rPr>
            </w:pPr>
            <w:r>
              <w:rPr>
                <w:sz w:val="24"/>
                <w:szCs w:val="24"/>
              </w:rPr>
              <w:t>Surveillance of TB Cases and Case Reporting</w:t>
            </w:r>
          </w:p>
        </w:tc>
        <w:tc>
          <w:tcPr>
            <w:tcW w:w="2541" w:type="dxa"/>
            <w:vAlign w:val="center"/>
          </w:tcPr>
          <w:p w:rsidR="006577F6" w:rsidRDefault="006577F6" w:rsidP="00BA0603">
            <w:pPr>
              <w:pStyle w:val="ListParagraph"/>
              <w:numPr>
                <w:ilvl w:val="0"/>
                <w:numId w:val="3"/>
              </w:numPr>
              <w:ind w:left="335"/>
              <w:rPr>
                <w:sz w:val="24"/>
                <w:szCs w:val="24"/>
              </w:rPr>
            </w:pPr>
            <w:r>
              <w:rPr>
                <w:sz w:val="24"/>
                <w:szCs w:val="24"/>
              </w:rPr>
              <w:t>Liaison with reporting sources</w:t>
            </w:r>
          </w:p>
        </w:tc>
        <w:tc>
          <w:tcPr>
            <w:tcW w:w="2538" w:type="dxa"/>
            <w:vAlign w:val="center"/>
          </w:tcPr>
          <w:p w:rsidR="006577F6" w:rsidRDefault="006577F6" w:rsidP="00D0071D">
            <w:pPr>
              <w:rPr>
                <w:sz w:val="24"/>
                <w:szCs w:val="24"/>
              </w:rPr>
            </w:pPr>
            <w:r>
              <w:rPr>
                <w:sz w:val="24"/>
                <w:szCs w:val="24"/>
              </w:rPr>
              <w:t xml:space="preserve">Identify reporting entities </w:t>
            </w:r>
          </w:p>
        </w:tc>
        <w:tc>
          <w:tcPr>
            <w:tcW w:w="2469" w:type="dxa"/>
          </w:tcPr>
          <w:p w:rsidR="006577F6" w:rsidRDefault="006577F6" w:rsidP="00AA40FB">
            <w:pPr>
              <w:rPr>
                <w:sz w:val="24"/>
                <w:szCs w:val="24"/>
              </w:rPr>
            </w:pPr>
            <w:r>
              <w:rPr>
                <w:sz w:val="24"/>
                <w:szCs w:val="24"/>
              </w:rPr>
              <w:t>The following variables were added as locally defined fields (LDFs) to the state surveillance system: (a) Reporting Source Type, (b) Reporting Organization, and (c) Reporting Provider.</w:t>
            </w:r>
          </w:p>
          <w:p w:rsidR="006577F6" w:rsidRDefault="006577F6" w:rsidP="00AA40FB">
            <w:pPr>
              <w:rPr>
                <w:sz w:val="24"/>
                <w:szCs w:val="24"/>
              </w:rPr>
            </w:pPr>
            <w:r>
              <w:rPr>
                <w:sz w:val="24"/>
                <w:szCs w:val="24"/>
              </w:rPr>
              <w:t>Program-maintained databases also include ordering and reporting providers for positives tests for TB infection received and other reportable labs.</w:t>
            </w:r>
          </w:p>
        </w:tc>
        <w:tc>
          <w:tcPr>
            <w:tcW w:w="3130" w:type="dxa"/>
            <w:vAlign w:val="center"/>
          </w:tcPr>
          <w:p w:rsidR="006577F6" w:rsidRDefault="006577F6" w:rsidP="005B543B">
            <w:pPr>
              <w:rPr>
                <w:sz w:val="24"/>
                <w:szCs w:val="24"/>
              </w:rPr>
            </w:pPr>
            <w:r>
              <w:rPr>
                <w:sz w:val="24"/>
                <w:szCs w:val="24"/>
              </w:rPr>
              <w:t>The program continues to work with the Surveillance Systems and Informatics (SSI) section to develop reports from the state surveillance system regarding reporting providers and entities.</w:t>
            </w:r>
          </w:p>
          <w:p w:rsidR="006577F6" w:rsidRDefault="006577F6" w:rsidP="005B543B">
            <w:pPr>
              <w:rPr>
                <w:sz w:val="24"/>
                <w:szCs w:val="24"/>
              </w:rPr>
            </w:pPr>
            <w:r>
              <w:rPr>
                <w:sz w:val="24"/>
                <w:szCs w:val="24"/>
              </w:rPr>
              <w:t xml:space="preserve">In 2017 – 2018, there were 1,084 positive tests for TB infection reported by 869 providers. </w:t>
            </w:r>
          </w:p>
        </w:tc>
      </w:tr>
      <w:tr w:rsidR="006577F6" w:rsidTr="00E328EF">
        <w:tc>
          <w:tcPr>
            <w:tcW w:w="2498" w:type="dxa"/>
            <w:vMerge/>
            <w:vAlign w:val="center"/>
          </w:tcPr>
          <w:p w:rsidR="006577F6" w:rsidRDefault="006577F6" w:rsidP="00702B67">
            <w:pPr>
              <w:jc w:val="center"/>
              <w:rPr>
                <w:b/>
                <w:sz w:val="24"/>
                <w:szCs w:val="24"/>
                <w:u w:val="single"/>
              </w:rPr>
            </w:pPr>
          </w:p>
        </w:tc>
        <w:tc>
          <w:tcPr>
            <w:tcW w:w="2541" w:type="dxa"/>
            <w:vAlign w:val="center"/>
          </w:tcPr>
          <w:p w:rsidR="006577F6" w:rsidRDefault="006577F6" w:rsidP="00BA0603">
            <w:pPr>
              <w:pStyle w:val="ListParagraph"/>
              <w:numPr>
                <w:ilvl w:val="0"/>
                <w:numId w:val="3"/>
              </w:numPr>
              <w:ind w:left="335"/>
              <w:rPr>
                <w:sz w:val="24"/>
                <w:szCs w:val="24"/>
              </w:rPr>
            </w:pPr>
            <w:r>
              <w:rPr>
                <w:sz w:val="24"/>
                <w:szCs w:val="24"/>
              </w:rPr>
              <w:t>Active surveillance</w:t>
            </w:r>
          </w:p>
        </w:tc>
        <w:tc>
          <w:tcPr>
            <w:tcW w:w="2538" w:type="dxa"/>
            <w:vAlign w:val="center"/>
          </w:tcPr>
          <w:p w:rsidR="006577F6" w:rsidRDefault="006577F6" w:rsidP="003E6087">
            <w:pPr>
              <w:rPr>
                <w:sz w:val="24"/>
                <w:szCs w:val="24"/>
              </w:rPr>
            </w:pPr>
            <w:r>
              <w:rPr>
                <w:sz w:val="24"/>
                <w:szCs w:val="24"/>
              </w:rPr>
              <w:t>Assess the feasibility of conducting active surveillance activities with reporting entities</w:t>
            </w:r>
          </w:p>
        </w:tc>
        <w:tc>
          <w:tcPr>
            <w:tcW w:w="2469" w:type="dxa"/>
            <w:vAlign w:val="center"/>
          </w:tcPr>
          <w:p w:rsidR="006577F6" w:rsidRDefault="006577F6" w:rsidP="00E1273E">
            <w:pPr>
              <w:rPr>
                <w:sz w:val="24"/>
                <w:szCs w:val="24"/>
              </w:rPr>
            </w:pPr>
            <w:r>
              <w:rPr>
                <w:sz w:val="24"/>
                <w:szCs w:val="24"/>
              </w:rPr>
              <w:t>Identify reporting entities and contact reporters with the largest burden of reports to inquire about the possibility of active surveillance.</w:t>
            </w:r>
          </w:p>
        </w:tc>
        <w:tc>
          <w:tcPr>
            <w:tcW w:w="3130" w:type="dxa"/>
          </w:tcPr>
          <w:p w:rsidR="006577F6" w:rsidRDefault="006577F6" w:rsidP="00E1273E">
            <w:pPr>
              <w:rPr>
                <w:sz w:val="24"/>
                <w:szCs w:val="24"/>
              </w:rPr>
            </w:pPr>
            <w:r>
              <w:rPr>
                <w:sz w:val="24"/>
                <w:szCs w:val="24"/>
              </w:rPr>
              <w:t>The Tennessee Department of Health Communicable and Environmental Disease and Emergency Preparedness (CEDEP) program has access to ESSENCE (Electronic Surveillance System for the Early Notification of Community-based Epidemics) where near real-time data are monitored and an alert is indicated within the system anytime a query for a particular syndrome exceeds the expected value for the given time frame.  Respiratory symptoms can be monitored and the program can be provided with diagnoses upon request.</w:t>
            </w:r>
          </w:p>
        </w:tc>
      </w:tr>
      <w:tr w:rsidR="006577F6" w:rsidTr="005B543B">
        <w:tc>
          <w:tcPr>
            <w:tcW w:w="2498" w:type="dxa"/>
            <w:vMerge w:val="restart"/>
            <w:vAlign w:val="center"/>
          </w:tcPr>
          <w:p w:rsidR="006577F6" w:rsidRDefault="006577F6" w:rsidP="001D4A4C">
            <w:pPr>
              <w:jc w:val="center"/>
              <w:rPr>
                <w:sz w:val="24"/>
                <w:szCs w:val="24"/>
              </w:rPr>
            </w:pPr>
            <w:r>
              <w:rPr>
                <w:b/>
                <w:sz w:val="24"/>
                <w:szCs w:val="24"/>
                <w:u w:val="single"/>
              </w:rPr>
              <w:t>Strategy 2</w:t>
            </w:r>
            <w:r>
              <w:rPr>
                <w:sz w:val="24"/>
                <w:szCs w:val="24"/>
              </w:rPr>
              <w:t xml:space="preserve">: </w:t>
            </w:r>
          </w:p>
          <w:p w:rsidR="006577F6" w:rsidRPr="004F31D0" w:rsidRDefault="006577F6" w:rsidP="001D4A4C">
            <w:pPr>
              <w:jc w:val="center"/>
              <w:rPr>
                <w:sz w:val="24"/>
                <w:szCs w:val="24"/>
              </w:rPr>
            </w:pPr>
            <w:r>
              <w:rPr>
                <w:sz w:val="24"/>
                <w:szCs w:val="24"/>
              </w:rPr>
              <w:t>Surveillance of TB Cases and Case Reporting</w:t>
            </w:r>
          </w:p>
        </w:tc>
        <w:tc>
          <w:tcPr>
            <w:tcW w:w="2541" w:type="dxa"/>
            <w:vAlign w:val="center"/>
          </w:tcPr>
          <w:p w:rsidR="006577F6" w:rsidRDefault="006577F6" w:rsidP="00BA0603">
            <w:pPr>
              <w:pStyle w:val="ListParagraph"/>
              <w:numPr>
                <w:ilvl w:val="0"/>
                <w:numId w:val="3"/>
              </w:numPr>
              <w:ind w:left="335"/>
              <w:rPr>
                <w:sz w:val="24"/>
                <w:szCs w:val="24"/>
              </w:rPr>
            </w:pPr>
            <w:r>
              <w:rPr>
                <w:sz w:val="24"/>
                <w:szCs w:val="24"/>
              </w:rPr>
              <w:t>Complete, accurate, and timely reporting and counting of cases</w:t>
            </w:r>
          </w:p>
        </w:tc>
        <w:tc>
          <w:tcPr>
            <w:tcW w:w="2538" w:type="dxa"/>
            <w:vAlign w:val="center"/>
          </w:tcPr>
          <w:p w:rsidR="006577F6" w:rsidRDefault="006577F6" w:rsidP="00D0071D">
            <w:pPr>
              <w:rPr>
                <w:sz w:val="24"/>
                <w:szCs w:val="24"/>
              </w:rPr>
            </w:pPr>
            <w:r>
              <w:rPr>
                <w:sz w:val="24"/>
                <w:szCs w:val="24"/>
              </w:rPr>
              <w:t>Identify all TB cases that were reported by and outside provider (e.g., hospital, private physician office, correctional facility, etc.)</w:t>
            </w:r>
          </w:p>
        </w:tc>
        <w:tc>
          <w:tcPr>
            <w:tcW w:w="2469" w:type="dxa"/>
          </w:tcPr>
          <w:p w:rsidR="006577F6" w:rsidRDefault="006577F6" w:rsidP="00AA40FB">
            <w:pPr>
              <w:rPr>
                <w:sz w:val="24"/>
                <w:szCs w:val="24"/>
              </w:rPr>
            </w:pPr>
            <w:r>
              <w:rPr>
                <w:sz w:val="24"/>
                <w:szCs w:val="24"/>
              </w:rPr>
              <w:t>The following variables were added as locally defined fields (LDFs) to the state surveillance system: (a) Reporting Source Type, (b) Reporting Organization, and (c) Reporting Provider.</w:t>
            </w:r>
          </w:p>
        </w:tc>
        <w:tc>
          <w:tcPr>
            <w:tcW w:w="3130" w:type="dxa"/>
            <w:vAlign w:val="center"/>
          </w:tcPr>
          <w:p w:rsidR="006577F6" w:rsidRDefault="006577F6" w:rsidP="005B543B">
            <w:pPr>
              <w:rPr>
                <w:sz w:val="24"/>
                <w:szCs w:val="24"/>
              </w:rPr>
            </w:pPr>
            <w:r>
              <w:rPr>
                <w:sz w:val="24"/>
                <w:szCs w:val="24"/>
              </w:rPr>
              <w:t>The program continues to work with the Surveillance Systems and Informatics (SSI) section to develop reports from the state surveillance system regarding reporting providers and entities.</w:t>
            </w:r>
          </w:p>
        </w:tc>
      </w:tr>
      <w:tr w:rsidR="006577F6" w:rsidTr="005B543B">
        <w:tc>
          <w:tcPr>
            <w:tcW w:w="2498" w:type="dxa"/>
            <w:vMerge/>
            <w:vAlign w:val="center"/>
          </w:tcPr>
          <w:p w:rsidR="006577F6" w:rsidRDefault="006577F6" w:rsidP="00702B67">
            <w:pPr>
              <w:jc w:val="center"/>
              <w:rPr>
                <w:b/>
                <w:sz w:val="24"/>
                <w:szCs w:val="24"/>
                <w:u w:val="single"/>
              </w:rPr>
            </w:pPr>
          </w:p>
        </w:tc>
        <w:tc>
          <w:tcPr>
            <w:tcW w:w="2541" w:type="dxa"/>
            <w:vAlign w:val="center"/>
          </w:tcPr>
          <w:p w:rsidR="006577F6" w:rsidRDefault="006577F6" w:rsidP="00BA0603">
            <w:pPr>
              <w:pStyle w:val="ListParagraph"/>
              <w:numPr>
                <w:ilvl w:val="0"/>
                <w:numId w:val="3"/>
              </w:numPr>
              <w:ind w:left="335"/>
              <w:rPr>
                <w:sz w:val="24"/>
                <w:szCs w:val="24"/>
              </w:rPr>
            </w:pPr>
            <w:r>
              <w:rPr>
                <w:sz w:val="24"/>
                <w:szCs w:val="24"/>
              </w:rPr>
              <w:t>HIV testing for all TB cases</w:t>
            </w:r>
          </w:p>
        </w:tc>
        <w:tc>
          <w:tcPr>
            <w:tcW w:w="2538" w:type="dxa"/>
            <w:vAlign w:val="center"/>
          </w:tcPr>
          <w:p w:rsidR="006577F6" w:rsidRDefault="006577F6" w:rsidP="00D0071D">
            <w:pPr>
              <w:rPr>
                <w:sz w:val="24"/>
                <w:szCs w:val="24"/>
              </w:rPr>
            </w:pPr>
            <w:r>
              <w:rPr>
                <w:sz w:val="24"/>
                <w:szCs w:val="24"/>
              </w:rPr>
              <w:t>Review HIV status of all cases at time of case counting, and notify central office nurse consultants of any unknown HIV results</w:t>
            </w:r>
          </w:p>
        </w:tc>
        <w:tc>
          <w:tcPr>
            <w:tcW w:w="2469" w:type="dxa"/>
            <w:vAlign w:val="center"/>
          </w:tcPr>
          <w:p w:rsidR="006577F6" w:rsidRDefault="006577F6" w:rsidP="00662601">
            <w:pPr>
              <w:rPr>
                <w:sz w:val="24"/>
                <w:szCs w:val="24"/>
              </w:rPr>
            </w:pPr>
            <w:r>
              <w:rPr>
                <w:sz w:val="24"/>
                <w:szCs w:val="24"/>
              </w:rPr>
              <w:t>Implement “opt-out” HIV testing policy when testing for TB infection.</w:t>
            </w:r>
          </w:p>
        </w:tc>
        <w:tc>
          <w:tcPr>
            <w:tcW w:w="3130" w:type="dxa"/>
            <w:vAlign w:val="center"/>
          </w:tcPr>
          <w:p w:rsidR="006577F6" w:rsidRDefault="006577F6" w:rsidP="005B543B">
            <w:pPr>
              <w:rPr>
                <w:sz w:val="24"/>
                <w:szCs w:val="24"/>
              </w:rPr>
            </w:pPr>
            <w:r>
              <w:rPr>
                <w:sz w:val="24"/>
                <w:szCs w:val="24"/>
              </w:rPr>
              <w:t xml:space="preserve">See </w:t>
            </w:r>
            <w:r>
              <w:rPr>
                <w:b/>
                <w:sz w:val="24"/>
                <w:szCs w:val="24"/>
              </w:rPr>
              <w:t>Table 1</w:t>
            </w:r>
            <w:r>
              <w:rPr>
                <w:sz w:val="24"/>
                <w:szCs w:val="24"/>
              </w:rPr>
              <w:t xml:space="preserve"> for progress toward HIV NTIP objective.</w:t>
            </w:r>
          </w:p>
          <w:p w:rsidR="006577F6" w:rsidRPr="00C823E3" w:rsidRDefault="006577F6" w:rsidP="005B543B">
            <w:pPr>
              <w:rPr>
                <w:sz w:val="24"/>
                <w:szCs w:val="24"/>
              </w:rPr>
            </w:pPr>
          </w:p>
        </w:tc>
      </w:tr>
      <w:tr w:rsidR="006577F6" w:rsidTr="00662601">
        <w:tc>
          <w:tcPr>
            <w:tcW w:w="2498" w:type="dxa"/>
            <w:vMerge/>
            <w:vAlign w:val="center"/>
          </w:tcPr>
          <w:p w:rsidR="006577F6" w:rsidRDefault="006577F6" w:rsidP="00702B67">
            <w:pPr>
              <w:jc w:val="center"/>
              <w:rPr>
                <w:b/>
                <w:sz w:val="24"/>
                <w:szCs w:val="24"/>
                <w:u w:val="single"/>
              </w:rPr>
            </w:pPr>
          </w:p>
        </w:tc>
        <w:tc>
          <w:tcPr>
            <w:tcW w:w="2541" w:type="dxa"/>
            <w:vAlign w:val="center"/>
          </w:tcPr>
          <w:p w:rsidR="006577F6" w:rsidRDefault="006577F6" w:rsidP="00BA0603">
            <w:pPr>
              <w:pStyle w:val="ListParagraph"/>
              <w:numPr>
                <w:ilvl w:val="0"/>
                <w:numId w:val="3"/>
              </w:numPr>
              <w:ind w:left="335"/>
              <w:rPr>
                <w:sz w:val="24"/>
                <w:szCs w:val="24"/>
              </w:rPr>
            </w:pPr>
            <w:r>
              <w:rPr>
                <w:sz w:val="24"/>
                <w:szCs w:val="24"/>
              </w:rPr>
              <w:t>Data security and confidentiality</w:t>
            </w:r>
          </w:p>
        </w:tc>
        <w:tc>
          <w:tcPr>
            <w:tcW w:w="2538" w:type="dxa"/>
            <w:vAlign w:val="center"/>
          </w:tcPr>
          <w:p w:rsidR="006577F6" w:rsidRDefault="006577F6" w:rsidP="00BA0603">
            <w:pPr>
              <w:rPr>
                <w:sz w:val="24"/>
                <w:szCs w:val="24"/>
              </w:rPr>
            </w:pPr>
            <w:r>
              <w:rPr>
                <w:sz w:val="24"/>
                <w:szCs w:val="24"/>
              </w:rPr>
              <w:t>Implement data security and confidentiality guidelines according to NCHHSTP guidance</w:t>
            </w:r>
          </w:p>
        </w:tc>
        <w:tc>
          <w:tcPr>
            <w:tcW w:w="2469" w:type="dxa"/>
            <w:vAlign w:val="center"/>
          </w:tcPr>
          <w:p w:rsidR="006577F6" w:rsidRDefault="006577F6" w:rsidP="00662601">
            <w:pPr>
              <w:rPr>
                <w:sz w:val="24"/>
                <w:szCs w:val="24"/>
              </w:rPr>
            </w:pPr>
            <w:r>
              <w:rPr>
                <w:sz w:val="24"/>
                <w:szCs w:val="24"/>
              </w:rPr>
              <w:t>Include data security and confidentiality in TTBEP Manual.</w:t>
            </w:r>
          </w:p>
        </w:tc>
        <w:tc>
          <w:tcPr>
            <w:tcW w:w="3130" w:type="dxa"/>
          </w:tcPr>
          <w:p w:rsidR="006577F6" w:rsidRDefault="006577F6" w:rsidP="00AA40FB">
            <w:pPr>
              <w:rPr>
                <w:sz w:val="24"/>
                <w:szCs w:val="24"/>
              </w:rPr>
            </w:pPr>
            <w:r>
              <w:rPr>
                <w:sz w:val="24"/>
                <w:szCs w:val="24"/>
              </w:rPr>
              <w:t>The data security and confidentiality module was added to the TTBEP manual in 2015 and is reviewed and updated annually.  The TTBEP has also established procedures for sending secure patient information via fax and email.</w:t>
            </w:r>
          </w:p>
        </w:tc>
      </w:tr>
      <w:tr w:rsidR="006577F6" w:rsidTr="003C2983">
        <w:trPr>
          <w:trHeight w:val="762"/>
        </w:trPr>
        <w:tc>
          <w:tcPr>
            <w:tcW w:w="2498" w:type="dxa"/>
            <w:vMerge w:val="restart"/>
            <w:vAlign w:val="center"/>
          </w:tcPr>
          <w:p w:rsidR="006577F6" w:rsidRDefault="006577F6" w:rsidP="001D4A4C">
            <w:pPr>
              <w:jc w:val="center"/>
              <w:rPr>
                <w:sz w:val="24"/>
                <w:szCs w:val="24"/>
              </w:rPr>
            </w:pPr>
            <w:r>
              <w:rPr>
                <w:b/>
                <w:sz w:val="24"/>
                <w:szCs w:val="24"/>
                <w:u w:val="single"/>
              </w:rPr>
              <w:t>Strategy 2</w:t>
            </w:r>
            <w:r>
              <w:rPr>
                <w:sz w:val="24"/>
                <w:szCs w:val="24"/>
              </w:rPr>
              <w:t xml:space="preserve">: </w:t>
            </w:r>
          </w:p>
          <w:p w:rsidR="006577F6" w:rsidRPr="004F31D0" w:rsidRDefault="006577F6" w:rsidP="001D4A4C">
            <w:pPr>
              <w:jc w:val="center"/>
              <w:rPr>
                <w:sz w:val="24"/>
                <w:szCs w:val="24"/>
              </w:rPr>
            </w:pPr>
            <w:r>
              <w:rPr>
                <w:sz w:val="24"/>
                <w:szCs w:val="24"/>
              </w:rPr>
              <w:t>Surveillance of TB Cases and Case Reporting</w:t>
            </w:r>
          </w:p>
        </w:tc>
        <w:tc>
          <w:tcPr>
            <w:tcW w:w="2541" w:type="dxa"/>
            <w:vMerge w:val="restart"/>
            <w:vAlign w:val="center"/>
          </w:tcPr>
          <w:p w:rsidR="006577F6" w:rsidRDefault="006577F6" w:rsidP="00BA0603">
            <w:pPr>
              <w:pStyle w:val="ListParagraph"/>
              <w:numPr>
                <w:ilvl w:val="0"/>
                <w:numId w:val="3"/>
              </w:numPr>
              <w:ind w:left="335"/>
              <w:rPr>
                <w:sz w:val="24"/>
                <w:szCs w:val="24"/>
              </w:rPr>
            </w:pPr>
            <w:r>
              <w:rPr>
                <w:sz w:val="24"/>
                <w:szCs w:val="24"/>
              </w:rPr>
              <w:t>Quality assurance</w:t>
            </w:r>
          </w:p>
        </w:tc>
        <w:tc>
          <w:tcPr>
            <w:tcW w:w="2538" w:type="dxa"/>
            <w:vMerge w:val="restart"/>
            <w:vAlign w:val="center"/>
          </w:tcPr>
          <w:p w:rsidR="006577F6" w:rsidRPr="00BA0603" w:rsidRDefault="006577F6" w:rsidP="00BA0603">
            <w:pPr>
              <w:rPr>
                <w:sz w:val="24"/>
                <w:szCs w:val="24"/>
              </w:rPr>
            </w:pPr>
            <w:r>
              <w:rPr>
                <w:sz w:val="24"/>
                <w:szCs w:val="24"/>
              </w:rPr>
              <w:t xml:space="preserve">Provide training to central office staff on the </w:t>
            </w:r>
            <w:r>
              <w:rPr>
                <w:i/>
                <w:sz w:val="24"/>
                <w:szCs w:val="24"/>
              </w:rPr>
              <w:t>Quality Assurance for Tuberculosis Data</w:t>
            </w:r>
            <w:r>
              <w:rPr>
                <w:sz w:val="24"/>
                <w:szCs w:val="24"/>
              </w:rPr>
              <w:t xml:space="preserve"> Guide and Toolkit</w:t>
            </w:r>
          </w:p>
        </w:tc>
        <w:tc>
          <w:tcPr>
            <w:tcW w:w="2469" w:type="dxa"/>
            <w:vMerge w:val="restart"/>
            <w:vAlign w:val="center"/>
          </w:tcPr>
          <w:p w:rsidR="006577F6" w:rsidRDefault="006577F6" w:rsidP="00DE2B72">
            <w:pPr>
              <w:rPr>
                <w:sz w:val="24"/>
                <w:szCs w:val="24"/>
              </w:rPr>
            </w:pPr>
            <w:r>
              <w:rPr>
                <w:sz w:val="24"/>
                <w:szCs w:val="24"/>
              </w:rPr>
              <w:t>Review QA of TB data at each quarterly new case manager training held at central office.</w:t>
            </w:r>
          </w:p>
          <w:p w:rsidR="006577F6" w:rsidRDefault="006577F6" w:rsidP="00DE2B72">
            <w:pPr>
              <w:rPr>
                <w:sz w:val="24"/>
                <w:szCs w:val="24"/>
              </w:rPr>
            </w:pPr>
          </w:p>
          <w:p w:rsidR="006577F6" w:rsidRDefault="006577F6" w:rsidP="00DE2B72">
            <w:pPr>
              <w:rPr>
                <w:sz w:val="24"/>
                <w:szCs w:val="24"/>
              </w:rPr>
            </w:pPr>
          </w:p>
        </w:tc>
        <w:tc>
          <w:tcPr>
            <w:tcW w:w="3130" w:type="dxa"/>
          </w:tcPr>
          <w:p w:rsidR="006577F6" w:rsidRDefault="006577F6" w:rsidP="00DE2B72">
            <w:pPr>
              <w:rPr>
                <w:sz w:val="24"/>
                <w:szCs w:val="24"/>
              </w:rPr>
            </w:pPr>
            <w:r>
              <w:rPr>
                <w:sz w:val="24"/>
                <w:szCs w:val="24"/>
              </w:rPr>
              <w:t>In 2018, two (2) new case manager trainings were held with four (4) attendees where QA was reviewed.</w:t>
            </w:r>
          </w:p>
        </w:tc>
      </w:tr>
      <w:tr w:rsidR="006577F6" w:rsidTr="00E328EF">
        <w:trPr>
          <w:trHeight w:val="761"/>
        </w:trPr>
        <w:tc>
          <w:tcPr>
            <w:tcW w:w="2498" w:type="dxa"/>
            <w:vMerge/>
            <w:vAlign w:val="center"/>
          </w:tcPr>
          <w:p w:rsidR="006577F6" w:rsidRDefault="006577F6" w:rsidP="00702B67">
            <w:pPr>
              <w:jc w:val="center"/>
              <w:rPr>
                <w:b/>
                <w:sz w:val="24"/>
                <w:szCs w:val="24"/>
                <w:u w:val="single"/>
              </w:rPr>
            </w:pPr>
          </w:p>
        </w:tc>
        <w:tc>
          <w:tcPr>
            <w:tcW w:w="2541" w:type="dxa"/>
            <w:vMerge/>
            <w:vAlign w:val="center"/>
          </w:tcPr>
          <w:p w:rsidR="006577F6" w:rsidRDefault="006577F6" w:rsidP="00BA0603">
            <w:pPr>
              <w:pStyle w:val="ListParagraph"/>
              <w:numPr>
                <w:ilvl w:val="0"/>
                <w:numId w:val="3"/>
              </w:numPr>
              <w:ind w:left="335"/>
              <w:rPr>
                <w:sz w:val="24"/>
                <w:szCs w:val="24"/>
              </w:rPr>
            </w:pPr>
          </w:p>
        </w:tc>
        <w:tc>
          <w:tcPr>
            <w:tcW w:w="2538" w:type="dxa"/>
            <w:vMerge/>
            <w:vAlign w:val="center"/>
          </w:tcPr>
          <w:p w:rsidR="006577F6" w:rsidRDefault="006577F6" w:rsidP="00BA0603">
            <w:pPr>
              <w:rPr>
                <w:sz w:val="24"/>
                <w:szCs w:val="24"/>
              </w:rPr>
            </w:pPr>
          </w:p>
        </w:tc>
        <w:tc>
          <w:tcPr>
            <w:tcW w:w="2469" w:type="dxa"/>
            <w:vMerge/>
            <w:vAlign w:val="center"/>
          </w:tcPr>
          <w:p w:rsidR="006577F6" w:rsidRDefault="006577F6" w:rsidP="00DE2B72">
            <w:pPr>
              <w:rPr>
                <w:sz w:val="24"/>
                <w:szCs w:val="24"/>
              </w:rPr>
            </w:pPr>
          </w:p>
        </w:tc>
        <w:tc>
          <w:tcPr>
            <w:tcW w:w="3130" w:type="dxa"/>
          </w:tcPr>
          <w:p w:rsidR="006577F6" w:rsidRDefault="006577F6" w:rsidP="00DE2B72">
            <w:pPr>
              <w:rPr>
                <w:sz w:val="24"/>
                <w:szCs w:val="24"/>
              </w:rPr>
            </w:pPr>
            <w:r>
              <w:rPr>
                <w:sz w:val="24"/>
                <w:szCs w:val="24"/>
              </w:rPr>
              <w:t>In 2019, three (3) new case manager trainings were held with 13 attendees where data QA was reviewed.</w:t>
            </w:r>
          </w:p>
        </w:tc>
      </w:tr>
      <w:tr w:rsidR="006577F6" w:rsidTr="00E328EF">
        <w:tc>
          <w:tcPr>
            <w:tcW w:w="2498" w:type="dxa"/>
            <w:vMerge/>
            <w:vAlign w:val="center"/>
          </w:tcPr>
          <w:p w:rsidR="006577F6" w:rsidRDefault="006577F6" w:rsidP="00702B67">
            <w:pPr>
              <w:jc w:val="center"/>
              <w:rPr>
                <w:b/>
                <w:sz w:val="24"/>
                <w:szCs w:val="24"/>
                <w:u w:val="single"/>
              </w:rPr>
            </w:pPr>
          </w:p>
        </w:tc>
        <w:tc>
          <w:tcPr>
            <w:tcW w:w="2541" w:type="dxa"/>
            <w:vMerge/>
            <w:vAlign w:val="center"/>
          </w:tcPr>
          <w:p w:rsidR="006577F6" w:rsidRDefault="006577F6" w:rsidP="00DE2B72">
            <w:pPr>
              <w:pStyle w:val="ListParagraph"/>
              <w:ind w:left="335"/>
              <w:rPr>
                <w:sz w:val="24"/>
                <w:szCs w:val="24"/>
              </w:rPr>
            </w:pPr>
          </w:p>
        </w:tc>
        <w:tc>
          <w:tcPr>
            <w:tcW w:w="2538" w:type="dxa"/>
            <w:vAlign w:val="center"/>
          </w:tcPr>
          <w:p w:rsidR="006577F6" w:rsidRDefault="006577F6" w:rsidP="00BA0603">
            <w:pPr>
              <w:rPr>
                <w:sz w:val="24"/>
                <w:szCs w:val="24"/>
              </w:rPr>
            </w:pPr>
            <w:r>
              <w:rPr>
                <w:sz w:val="24"/>
                <w:szCs w:val="24"/>
              </w:rPr>
              <w:t>Utilize NTSS and NTIP to identify missing and unknown (MUNK) data and cases not meeting indicators</w:t>
            </w:r>
          </w:p>
        </w:tc>
        <w:tc>
          <w:tcPr>
            <w:tcW w:w="2469" w:type="dxa"/>
          </w:tcPr>
          <w:p w:rsidR="006577F6" w:rsidRDefault="006577F6" w:rsidP="00AA40FB">
            <w:pPr>
              <w:rPr>
                <w:sz w:val="24"/>
                <w:szCs w:val="24"/>
              </w:rPr>
            </w:pPr>
            <w:r>
              <w:rPr>
                <w:sz w:val="24"/>
                <w:szCs w:val="24"/>
              </w:rPr>
              <w:t>Utilize NTSS for MUNK reports and NTIP line lists for cases not meeting indicators.</w:t>
            </w:r>
          </w:p>
        </w:tc>
        <w:tc>
          <w:tcPr>
            <w:tcW w:w="3130" w:type="dxa"/>
          </w:tcPr>
          <w:p w:rsidR="006577F6" w:rsidRDefault="006577F6" w:rsidP="00DE2B72">
            <w:pPr>
              <w:rPr>
                <w:sz w:val="24"/>
                <w:szCs w:val="24"/>
              </w:rPr>
            </w:pPr>
            <w:r>
              <w:rPr>
                <w:sz w:val="24"/>
                <w:szCs w:val="24"/>
              </w:rPr>
              <w:t xml:space="preserve">MUNK reports are sent to each regional TB program manager on a quarterly basis and updates are monitored by a TTBEP epidemiologist.  </w:t>
            </w:r>
          </w:p>
        </w:tc>
      </w:tr>
      <w:tr w:rsidR="006577F6" w:rsidTr="005B543B">
        <w:tc>
          <w:tcPr>
            <w:tcW w:w="2498" w:type="dxa"/>
            <w:vMerge w:val="restart"/>
            <w:vAlign w:val="center"/>
          </w:tcPr>
          <w:p w:rsidR="006577F6" w:rsidRDefault="006577F6" w:rsidP="00702B67">
            <w:pPr>
              <w:jc w:val="center"/>
              <w:rPr>
                <w:sz w:val="24"/>
                <w:szCs w:val="24"/>
              </w:rPr>
            </w:pPr>
            <w:r>
              <w:rPr>
                <w:b/>
                <w:sz w:val="24"/>
                <w:szCs w:val="24"/>
                <w:u w:val="single"/>
              </w:rPr>
              <w:t>Strategy 3</w:t>
            </w:r>
            <w:r>
              <w:rPr>
                <w:sz w:val="24"/>
                <w:szCs w:val="24"/>
              </w:rPr>
              <w:t xml:space="preserve">: </w:t>
            </w:r>
          </w:p>
          <w:p w:rsidR="006577F6" w:rsidRPr="004F31D0" w:rsidRDefault="006577F6" w:rsidP="004F31D0">
            <w:pPr>
              <w:jc w:val="center"/>
              <w:rPr>
                <w:sz w:val="24"/>
                <w:szCs w:val="24"/>
              </w:rPr>
            </w:pPr>
            <w:r>
              <w:rPr>
                <w:sz w:val="24"/>
                <w:szCs w:val="24"/>
              </w:rPr>
              <w:t>Contact Investigation</w:t>
            </w:r>
          </w:p>
        </w:tc>
        <w:tc>
          <w:tcPr>
            <w:tcW w:w="2541" w:type="dxa"/>
            <w:vAlign w:val="center"/>
          </w:tcPr>
          <w:p w:rsidR="006577F6" w:rsidRPr="004F31D0" w:rsidRDefault="006577F6" w:rsidP="00BA0603">
            <w:pPr>
              <w:pStyle w:val="ListParagraph"/>
              <w:numPr>
                <w:ilvl w:val="0"/>
                <w:numId w:val="4"/>
              </w:numPr>
              <w:ind w:left="335"/>
              <w:rPr>
                <w:sz w:val="24"/>
                <w:szCs w:val="24"/>
              </w:rPr>
            </w:pPr>
            <w:r>
              <w:rPr>
                <w:sz w:val="24"/>
                <w:szCs w:val="24"/>
              </w:rPr>
              <w:t>Contact investigation activities are initiated and completed promptly</w:t>
            </w:r>
          </w:p>
        </w:tc>
        <w:tc>
          <w:tcPr>
            <w:tcW w:w="2538" w:type="dxa"/>
            <w:vAlign w:val="center"/>
          </w:tcPr>
          <w:p w:rsidR="006577F6" w:rsidRDefault="006577F6" w:rsidP="00BA0603">
            <w:pPr>
              <w:rPr>
                <w:sz w:val="24"/>
                <w:szCs w:val="24"/>
              </w:rPr>
            </w:pPr>
            <w:r>
              <w:rPr>
                <w:sz w:val="24"/>
                <w:szCs w:val="24"/>
              </w:rPr>
              <w:t>Implement revised contact investigation forms</w:t>
            </w:r>
          </w:p>
        </w:tc>
        <w:tc>
          <w:tcPr>
            <w:tcW w:w="2469" w:type="dxa"/>
          </w:tcPr>
          <w:p w:rsidR="006577F6" w:rsidRDefault="006577F6" w:rsidP="00AA40FB">
            <w:pPr>
              <w:rPr>
                <w:sz w:val="24"/>
                <w:szCs w:val="24"/>
              </w:rPr>
            </w:pPr>
            <w:r>
              <w:rPr>
                <w:sz w:val="24"/>
                <w:szCs w:val="24"/>
              </w:rPr>
              <w:t>Clarify when a contact investigation should be initiated and how to assign priority to contact investigation and contacts.</w:t>
            </w:r>
          </w:p>
        </w:tc>
        <w:tc>
          <w:tcPr>
            <w:tcW w:w="3130" w:type="dxa"/>
            <w:vAlign w:val="center"/>
          </w:tcPr>
          <w:p w:rsidR="006577F6" w:rsidRDefault="006577F6" w:rsidP="005B543B">
            <w:pPr>
              <w:rPr>
                <w:sz w:val="24"/>
                <w:szCs w:val="24"/>
              </w:rPr>
            </w:pPr>
            <w:r>
              <w:rPr>
                <w:sz w:val="24"/>
                <w:szCs w:val="24"/>
              </w:rPr>
              <w:t>Algorithm included in the TB Manual regarding initiation of contact investigation and priority classification of contacts.</w:t>
            </w:r>
          </w:p>
        </w:tc>
      </w:tr>
      <w:tr w:rsidR="006577F6" w:rsidTr="0046568B">
        <w:tc>
          <w:tcPr>
            <w:tcW w:w="2498" w:type="dxa"/>
            <w:vMerge/>
            <w:vAlign w:val="center"/>
          </w:tcPr>
          <w:p w:rsidR="006577F6" w:rsidRDefault="006577F6" w:rsidP="00702B67">
            <w:pPr>
              <w:jc w:val="center"/>
              <w:rPr>
                <w:b/>
                <w:sz w:val="24"/>
                <w:szCs w:val="24"/>
                <w:u w:val="single"/>
              </w:rPr>
            </w:pPr>
          </w:p>
        </w:tc>
        <w:tc>
          <w:tcPr>
            <w:tcW w:w="2541" w:type="dxa"/>
            <w:vAlign w:val="center"/>
          </w:tcPr>
          <w:p w:rsidR="006577F6" w:rsidRDefault="006577F6" w:rsidP="00BA0603">
            <w:pPr>
              <w:pStyle w:val="ListParagraph"/>
              <w:numPr>
                <w:ilvl w:val="0"/>
                <w:numId w:val="4"/>
              </w:numPr>
              <w:ind w:left="335"/>
              <w:rPr>
                <w:sz w:val="24"/>
                <w:szCs w:val="24"/>
              </w:rPr>
            </w:pPr>
            <w:r>
              <w:rPr>
                <w:sz w:val="24"/>
                <w:szCs w:val="24"/>
              </w:rPr>
              <w:t>Assess reasons for no contacts or low number of contacts</w:t>
            </w:r>
          </w:p>
        </w:tc>
        <w:tc>
          <w:tcPr>
            <w:tcW w:w="2538" w:type="dxa"/>
            <w:vAlign w:val="center"/>
          </w:tcPr>
          <w:p w:rsidR="006577F6" w:rsidRDefault="006577F6" w:rsidP="00BA0603">
            <w:pPr>
              <w:rPr>
                <w:sz w:val="24"/>
                <w:szCs w:val="24"/>
              </w:rPr>
            </w:pPr>
            <w:r>
              <w:rPr>
                <w:sz w:val="24"/>
                <w:szCs w:val="24"/>
              </w:rPr>
              <w:t>Meet benchmarks set forth in the TTBEP program evaluation plan</w:t>
            </w:r>
          </w:p>
        </w:tc>
        <w:tc>
          <w:tcPr>
            <w:tcW w:w="2469" w:type="dxa"/>
            <w:vAlign w:val="center"/>
          </w:tcPr>
          <w:p w:rsidR="006577F6" w:rsidRDefault="006577F6" w:rsidP="0046568B">
            <w:pPr>
              <w:rPr>
                <w:sz w:val="24"/>
                <w:szCs w:val="24"/>
              </w:rPr>
            </w:pPr>
            <w:r>
              <w:rPr>
                <w:sz w:val="24"/>
                <w:szCs w:val="24"/>
              </w:rPr>
              <w:t>Review contact investigations during cohort reviews and programmatic assessments</w:t>
            </w:r>
          </w:p>
        </w:tc>
        <w:tc>
          <w:tcPr>
            <w:tcW w:w="3130" w:type="dxa"/>
          </w:tcPr>
          <w:p w:rsidR="006577F6" w:rsidRDefault="006577F6" w:rsidP="00AA40FB">
            <w:pPr>
              <w:rPr>
                <w:sz w:val="24"/>
                <w:szCs w:val="24"/>
              </w:rPr>
            </w:pPr>
            <w:r>
              <w:rPr>
                <w:sz w:val="24"/>
                <w:szCs w:val="24"/>
              </w:rPr>
              <w:t>The primary reason identified for low number of contacts is lack of willingness of the patient to identify contacts.  Regional TB program staff have been encouraged to utilize different staff for repeat interviews and work with other programs within the health department (i.e., STD and HIV) if the patient is co-infected to solicit contacts.</w:t>
            </w:r>
          </w:p>
        </w:tc>
      </w:tr>
      <w:tr w:rsidR="006577F6" w:rsidTr="00E328EF">
        <w:tc>
          <w:tcPr>
            <w:tcW w:w="2498" w:type="dxa"/>
            <w:vMerge/>
            <w:vAlign w:val="center"/>
          </w:tcPr>
          <w:p w:rsidR="006577F6" w:rsidRDefault="006577F6" w:rsidP="00702B67">
            <w:pPr>
              <w:jc w:val="center"/>
              <w:rPr>
                <w:b/>
                <w:sz w:val="24"/>
                <w:szCs w:val="24"/>
                <w:u w:val="single"/>
              </w:rPr>
            </w:pPr>
          </w:p>
        </w:tc>
        <w:tc>
          <w:tcPr>
            <w:tcW w:w="2541" w:type="dxa"/>
            <w:vAlign w:val="center"/>
          </w:tcPr>
          <w:p w:rsidR="006577F6" w:rsidRDefault="006577F6" w:rsidP="00BA0603">
            <w:pPr>
              <w:pStyle w:val="ListParagraph"/>
              <w:numPr>
                <w:ilvl w:val="0"/>
                <w:numId w:val="4"/>
              </w:numPr>
              <w:ind w:left="335"/>
              <w:rPr>
                <w:sz w:val="24"/>
                <w:szCs w:val="24"/>
              </w:rPr>
            </w:pPr>
            <w:r>
              <w:rPr>
                <w:sz w:val="24"/>
                <w:szCs w:val="24"/>
              </w:rPr>
              <w:t>Submit ARPEs</w:t>
            </w:r>
          </w:p>
        </w:tc>
        <w:tc>
          <w:tcPr>
            <w:tcW w:w="2538" w:type="dxa"/>
            <w:vAlign w:val="center"/>
          </w:tcPr>
          <w:p w:rsidR="006577F6" w:rsidRDefault="006577F6" w:rsidP="00BA0603">
            <w:pPr>
              <w:rPr>
                <w:sz w:val="24"/>
                <w:szCs w:val="24"/>
              </w:rPr>
            </w:pPr>
            <w:r>
              <w:rPr>
                <w:sz w:val="24"/>
                <w:szCs w:val="24"/>
              </w:rPr>
              <w:t>Provide ARPE training for all new regional TB case managers and refresher training for existing staff</w:t>
            </w:r>
          </w:p>
        </w:tc>
        <w:tc>
          <w:tcPr>
            <w:tcW w:w="2469" w:type="dxa"/>
          </w:tcPr>
          <w:p w:rsidR="006577F6" w:rsidRDefault="006577F6" w:rsidP="00AA40FB">
            <w:pPr>
              <w:rPr>
                <w:sz w:val="24"/>
                <w:szCs w:val="24"/>
              </w:rPr>
            </w:pPr>
            <w:r>
              <w:rPr>
                <w:sz w:val="24"/>
                <w:szCs w:val="24"/>
              </w:rPr>
              <w:t>ARPE training is provided as part of the quarterly new case manager training.  Individual ARPE forms are created by TTBEP central office for each case during the cohort period and provided to each regional TB program.</w:t>
            </w:r>
          </w:p>
        </w:tc>
        <w:tc>
          <w:tcPr>
            <w:tcW w:w="3130" w:type="dxa"/>
          </w:tcPr>
          <w:p w:rsidR="006577F6" w:rsidRDefault="006577F6" w:rsidP="00AA40FB">
            <w:pPr>
              <w:rPr>
                <w:sz w:val="24"/>
                <w:szCs w:val="24"/>
              </w:rPr>
            </w:pPr>
            <w:r>
              <w:rPr>
                <w:sz w:val="24"/>
                <w:szCs w:val="24"/>
              </w:rPr>
              <w:t>ARPE reports have consistently been uploaded into NTIP prior to the deadline on an annual basis.</w:t>
            </w:r>
          </w:p>
          <w:p w:rsidR="006577F6" w:rsidRPr="00E328EF" w:rsidRDefault="006577F6" w:rsidP="00AA40FB">
            <w:pPr>
              <w:rPr>
                <w:sz w:val="24"/>
                <w:szCs w:val="24"/>
              </w:rPr>
            </w:pPr>
            <w:r>
              <w:rPr>
                <w:sz w:val="24"/>
                <w:szCs w:val="24"/>
              </w:rPr>
              <w:t xml:space="preserve">See </w:t>
            </w:r>
            <w:r>
              <w:rPr>
                <w:b/>
                <w:sz w:val="24"/>
                <w:szCs w:val="24"/>
              </w:rPr>
              <w:t xml:space="preserve">Table 1 </w:t>
            </w:r>
            <w:r>
              <w:rPr>
                <w:sz w:val="24"/>
                <w:szCs w:val="24"/>
              </w:rPr>
              <w:t>for ARPE completion progress and progress toward the ARPE NTIP goal.</w:t>
            </w:r>
          </w:p>
        </w:tc>
      </w:tr>
      <w:tr w:rsidR="006577F6" w:rsidTr="003C2983">
        <w:trPr>
          <w:trHeight w:val="1018"/>
        </w:trPr>
        <w:tc>
          <w:tcPr>
            <w:tcW w:w="2498" w:type="dxa"/>
            <w:vMerge w:val="restart"/>
            <w:vAlign w:val="center"/>
          </w:tcPr>
          <w:p w:rsidR="006577F6" w:rsidRDefault="006577F6" w:rsidP="00702B67">
            <w:pPr>
              <w:jc w:val="center"/>
              <w:rPr>
                <w:sz w:val="24"/>
                <w:szCs w:val="24"/>
              </w:rPr>
            </w:pPr>
            <w:r>
              <w:rPr>
                <w:b/>
                <w:sz w:val="24"/>
                <w:szCs w:val="24"/>
                <w:u w:val="single"/>
              </w:rPr>
              <w:t>Strategy 4</w:t>
            </w:r>
            <w:r>
              <w:rPr>
                <w:sz w:val="24"/>
                <w:szCs w:val="24"/>
              </w:rPr>
              <w:t xml:space="preserve">: </w:t>
            </w:r>
          </w:p>
          <w:p w:rsidR="006577F6" w:rsidRPr="004F31D0" w:rsidRDefault="006577F6" w:rsidP="00702B67">
            <w:pPr>
              <w:jc w:val="center"/>
              <w:rPr>
                <w:sz w:val="24"/>
                <w:szCs w:val="24"/>
              </w:rPr>
            </w:pPr>
            <w:r>
              <w:rPr>
                <w:sz w:val="24"/>
                <w:szCs w:val="24"/>
              </w:rPr>
              <w:t>Evaluation of Immigrants and Refugees with TB or TBI</w:t>
            </w:r>
          </w:p>
        </w:tc>
        <w:tc>
          <w:tcPr>
            <w:tcW w:w="2541" w:type="dxa"/>
            <w:vMerge w:val="restart"/>
            <w:vAlign w:val="center"/>
          </w:tcPr>
          <w:p w:rsidR="006577F6" w:rsidRDefault="006577F6" w:rsidP="00E328EF">
            <w:pPr>
              <w:pStyle w:val="ListParagraph"/>
              <w:numPr>
                <w:ilvl w:val="0"/>
                <w:numId w:val="5"/>
              </w:numPr>
              <w:ind w:left="335"/>
              <w:rPr>
                <w:sz w:val="24"/>
                <w:szCs w:val="24"/>
              </w:rPr>
            </w:pPr>
            <w:r>
              <w:rPr>
                <w:sz w:val="24"/>
                <w:szCs w:val="24"/>
              </w:rPr>
              <w:t>Immigrants and refugees are located promptly and evaluated and treated appropriately</w:t>
            </w:r>
          </w:p>
          <w:p w:rsidR="006577F6" w:rsidRDefault="006577F6" w:rsidP="00E328EF">
            <w:pPr>
              <w:pStyle w:val="ListParagraph"/>
              <w:ind w:left="335"/>
              <w:rPr>
                <w:sz w:val="24"/>
                <w:szCs w:val="24"/>
              </w:rPr>
            </w:pPr>
          </w:p>
          <w:p w:rsidR="006577F6" w:rsidRPr="004F31D0" w:rsidRDefault="006577F6" w:rsidP="00E328EF">
            <w:pPr>
              <w:pStyle w:val="ListParagraph"/>
              <w:ind w:left="335"/>
              <w:rPr>
                <w:sz w:val="24"/>
                <w:szCs w:val="24"/>
              </w:rPr>
            </w:pPr>
          </w:p>
        </w:tc>
        <w:tc>
          <w:tcPr>
            <w:tcW w:w="2538" w:type="dxa"/>
            <w:vMerge w:val="restart"/>
            <w:vAlign w:val="center"/>
          </w:tcPr>
          <w:p w:rsidR="006577F6" w:rsidRDefault="006577F6" w:rsidP="00BA0603">
            <w:pPr>
              <w:rPr>
                <w:sz w:val="24"/>
                <w:szCs w:val="24"/>
              </w:rPr>
            </w:pPr>
            <w:r>
              <w:rPr>
                <w:sz w:val="24"/>
                <w:szCs w:val="24"/>
              </w:rPr>
              <w:t>Provide B-notification training to all new regional TB case managers and provide annual refresher training for existing staff</w:t>
            </w:r>
          </w:p>
        </w:tc>
        <w:tc>
          <w:tcPr>
            <w:tcW w:w="2469" w:type="dxa"/>
            <w:vMerge w:val="restart"/>
            <w:vAlign w:val="center"/>
          </w:tcPr>
          <w:p w:rsidR="006577F6" w:rsidRDefault="006577F6" w:rsidP="009C5C10">
            <w:pPr>
              <w:rPr>
                <w:sz w:val="24"/>
                <w:szCs w:val="24"/>
              </w:rPr>
            </w:pPr>
            <w:r>
              <w:rPr>
                <w:sz w:val="24"/>
                <w:szCs w:val="24"/>
              </w:rPr>
              <w:t>Train new case managers regarding B-notification evaluation and reporting process.</w:t>
            </w:r>
          </w:p>
          <w:p w:rsidR="006577F6" w:rsidRDefault="006577F6" w:rsidP="009C5C10">
            <w:pPr>
              <w:rPr>
                <w:sz w:val="24"/>
                <w:szCs w:val="24"/>
              </w:rPr>
            </w:pPr>
            <w:r>
              <w:rPr>
                <w:sz w:val="24"/>
                <w:szCs w:val="24"/>
              </w:rPr>
              <w:t>Review B-notification module in TTBEP Manual annually and update as needed.</w:t>
            </w:r>
          </w:p>
        </w:tc>
        <w:tc>
          <w:tcPr>
            <w:tcW w:w="3130" w:type="dxa"/>
          </w:tcPr>
          <w:p w:rsidR="006577F6" w:rsidRDefault="006577F6" w:rsidP="003C2983">
            <w:pPr>
              <w:rPr>
                <w:sz w:val="24"/>
                <w:szCs w:val="24"/>
              </w:rPr>
            </w:pPr>
            <w:r>
              <w:rPr>
                <w:sz w:val="24"/>
                <w:szCs w:val="24"/>
              </w:rPr>
              <w:t>In 2015, a B-notification module was added to the TTBEP Manual and has been reviewed and updated (if needed) annually.</w:t>
            </w:r>
          </w:p>
        </w:tc>
      </w:tr>
      <w:tr w:rsidR="006577F6" w:rsidTr="003C2983">
        <w:trPr>
          <w:trHeight w:val="444"/>
        </w:trPr>
        <w:tc>
          <w:tcPr>
            <w:tcW w:w="2498" w:type="dxa"/>
            <w:vMerge/>
            <w:vAlign w:val="center"/>
          </w:tcPr>
          <w:p w:rsidR="006577F6" w:rsidRDefault="006577F6" w:rsidP="00702B67">
            <w:pPr>
              <w:jc w:val="center"/>
              <w:rPr>
                <w:b/>
                <w:sz w:val="24"/>
                <w:szCs w:val="24"/>
                <w:u w:val="single"/>
              </w:rPr>
            </w:pPr>
          </w:p>
        </w:tc>
        <w:tc>
          <w:tcPr>
            <w:tcW w:w="2541" w:type="dxa"/>
            <w:vMerge/>
            <w:vAlign w:val="center"/>
          </w:tcPr>
          <w:p w:rsidR="006577F6" w:rsidRDefault="006577F6" w:rsidP="00E328EF">
            <w:pPr>
              <w:pStyle w:val="ListParagraph"/>
              <w:numPr>
                <w:ilvl w:val="0"/>
                <w:numId w:val="5"/>
              </w:numPr>
              <w:ind w:left="335"/>
              <w:rPr>
                <w:sz w:val="24"/>
                <w:szCs w:val="24"/>
              </w:rPr>
            </w:pPr>
          </w:p>
        </w:tc>
        <w:tc>
          <w:tcPr>
            <w:tcW w:w="2538" w:type="dxa"/>
            <w:vMerge/>
            <w:vAlign w:val="center"/>
          </w:tcPr>
          <w:p w:rsidR="006577F6" w:rsidRDefault="006577F6" w:rsidP="00BA0603">
            <w:pPr>
              <w:rPr>
                <w:sz w:val="24"/>
                <w:szCs w:val="24"/>
              </w:rPr>
            </w:pPr>
          </w:p>
        </w:tc>
        <w:tc>
          <w:tcPr>
            <w:tcW w:w="2469" w:type="dxa"/>
            <w:vMerge/>
            <w:vAlign w:val="center"/>
          </w:tcPr>
          <w:p w:rsidR="006577F6" w:rsidRDefault="006577F6" w:rsidP="009C5C10">
            <w:pPr>
              <w:rPr>
                <w:sz w:val="24"/>
                <w:szCs w:val="24"/>
              </w:rPr>
            </w:pPr>
          </w:p>
        </w:tc>
        <w:tc>
          <w:tcPr>
            <w:tcW w:w="3130" w:type="dxa"/>
          </w:tcPr>
          <w:p w:rsidR="006577F6" w:rsidRDefault="006577F6" w:rsidP="003C2983">
            <w:pPr>
              <w:rPr>
                <w:sz w:val="24"/>
                <w:szCs w:val="24"/>
              </w:rPr>
            </w:pPr>
            <w:r w:rsidRPr="003C2983">
              <w:rPr>
                <w:sz w:val="24"/>
                <w:szCs w:val="24"/>
              </w:rPr>
              <w:t>In 2018, two (2) new case manager trainings wer</w:t>
            </w:r>
            <w:r>
              <w:rPr>
                <w:sz w:val="24"/>
                <w:szCs w:val="24"/>
              </w:rPr>
              <w:t>e held with four (4) attendees.</w:t>
            </w:r>
          </w:p>
        </w:tc>
      </w:tr>
      <w:tr w:rsidR="006577F6" w:rsidTr="009C5C10">
        <w:trPr>
          <w:trHeight w:val="443"/>
        </w:trPr>
        <w:tc>
          <w:tcPr>
            <w:tcW w:w="2498" w:type="dxa"/>
            <w:vMerge/>
            <w:vAlign w:val="center"/>
          </w:tcPr>
          <w:p w:rsidR="006577F6" w:rsidRDefault="006577F6" w:rsidP="00702B67">
            <w:pPr>
              <w:jc w:val="center"/>
              <w:rPr>
                <w:b/>
                <w:sz w:val="24"/>
                <w:szCs w:val="24"/>
                <w:u w:val="single"/>
              </w:rPr>
            </w:pPr>
          </w:p>
        </w:tc>
        <w:tc>
          <w:tcPr>
            <w:tcW w:w="2541" w:type="dxa"/>
            <w:vMerge/>
            <w:vAlign w:val="center"/>
          </w:tcPr>
          <w:p w:rsidR="006577F6" w:rsidRDefault="006577F6" w:rsidP="00E328EF">
            <w:pPr>
              <w:pStyle w:val="ListParagraph"/>
              <w:numPr>
                <w:ilvl w:val="0"/>
                <w:numId w:val="5"/>
              </w:numPr>
              <w:ind w:left="335"/>
              <w:rPr>
                <w:sz w:val="24"/>
                <w:szCs w:val="24"/>
              </w:rPr>
            </w:pPr>
          </w:p>
        </w:tc>
        <w:tc>
          <w:tcPr>
            <w:tcW w:w="2538" w:type="dxa"/>
            <w:vMerge/>
            <w:vAlign w:val="center"/>
          </w:tcPr>
          <w:p w:rsidR="006577F6" w:rsidRDefault="006577F6" w:rsidP="00BA0603">
            <w:pPr>
              <w:rPr>
                <w:sz w:val="24"/>
                <w:szCs w:val="24"/>
              </w:rPr>
            </w:pPr>
          </w:p>
        </w:tc>
        <w:tc>
          <w:tcPr>
            <w:tcW w:w="2469" w:type="dxa"/>
            <w:vMerge/>
            <w:vAlign w:val="center"/>
          </w:tcPr>
          <w:p w:rsidR="006577F6" w:rsidRDefault="006577F6" w:rsidP="009C5C10">
            <w:pPr>
              <w:rPr>
                <w:sz w:val="24"/>
                <w:szCs w:val="24"/>
              </w:rPr>
            </w:pPr>
          </w:p>
        </w:tc>
        <w:tc>
          <w:tcPr>
            <w:tcW w:w="3130" w:type="dxa"/>
          </w:tcPr>
          <w:p w:rsidR="006577F6" w:rsidRDefault="006577F6" w:rsidP="00531619">
            <w:pPr>
              <w:rPr>
                <w:sz w:val="24"/>
                <w:szCs w:val="24"/>
              </w:rPr>
            </w:pPr>
            <w:r w:rsidRPr="003C2983">
              <w:rPr>
                <w:sz w:val="24"/>
                <w:szCs w:val="24"/>
              </w:rPr>
              <w:t>In 2019, three (3) new case manager trainings were held with 13 attendees.</w:t>
            </w:r>
          </w:p>
        </w:tc>
      </w:tr>
      <w:tr w:rsidR="006577F6" w:rsidTr="003C2983">
        <w:trPr>
          <w:trHeight w:val="1148"/>
        </w:trPr>
        <w:tc>
          <w:tcPr>
            <w:tcW w:w="2498" w:type="dxa"/>
            <w:vMerge/>
            <w:vAlign w:val="center"/>
          </w:tcPr>
          <w:p w:rsidR="006577F6" w:rsidRDefault="006577F6" w:rsidP="00702B67">
            <w:pPr>
              <w:jc w:val="center"/>
              <w:rPr>
                <w:b/>
                <w:sz w:val="24"/>
                <w:szCs w:val="24"/>
                <w:u w:val="single"/>
              </w:rPr>
            </w:pPr>
          </w:p>
        </w:tc>
        <w:tc>
          <w:tcPr>
            <w:tcW w:w="2541" w:type="dxa"/>
            <w:vMerge/>
            <w:vAlign w:val="center"/>
          </w:tcPr>
          <w:p w:rsidR="006577F6" w:rsidRDefault="006577F6" w:rsidP="00E328EF">
            <w:pPr>
              <w:pStyle w:val="ListParagraph"/>
              <w:ind w:left="335"/>
              <w:rPr>
                <w:sz w:val="24"/>
                <w:szCs w:val="24"/>
              </w:rPr>
            </w:pPr>
          </w:p>
        </w:tc>
        <w:tc>
          <w:tcPr>
            <w:tcW w:w="2538" w:type="dxa"/>
            <w:vMerge w:val="restart"/>
            <w:vAlign w:val="center"/>
          </w:tcPr>
          <w:p w:rsidR="006577F6" w:rsidRDefault="006577F6" w:rsidP="00BA0603">
            <w:pPr>
              <w:rPr>
                <w:sz w:val="24"/>
                <w:szCs w:val="24"/>
              </w:rPr>
            </w:pPr>
            <w:r>
              <w:rPr>
                <w:sz w:val="24"/>
                <w:szCs w:val="24"/>
              </w:rPr>
              <w:t>Develop evaluation for TATs for B-notifications</w:t>
            </w:r>
          </w:p>
        </w:tc>
        <w:tc>
          <w:tcPr>
            <w:tcW w:w="2469" w:type="dxa"/>
            <w:vMerge w:val="restart"/>
          </w:tcPr>
          <w:p w:rsidR="006577F6" w:rsidRDefault="006577F6" w:rsidP="00531619">
            <w:pPr>
              <w:rPr>
                <w:sz w:val="24"/>
                <w:szCs w:val="24"/>
              </w:rPr>
            </w:pPr>
            <w:r>
              <w:rPr>
                <w:sz w:val="24"/>
                <w:szCs w:val="24"/>
              </w:rPr>
              <w:t>Developed a state-maintained database for B-notifications received with corresponding dates notifications received and dates of evaluation initiation and completion.</w:t>
            </w:r>
          </w:p>
        </w:tc>
        <w:tc>
          <w:tcPr>
            <w:tcW w:w="3130" w:type="dxa"/>
          </w:tcPr>
          <w:p w:rsidR="006577F6" w:rsidRDefault="006577F6" w:rsidP="00531619">
            <w:pPr>
              <w:rPr>
                <w:sz w:val="24"/>
                <w:szCs w:val="24"/>
              </w:rPr>
            </w:pPr>
            <w:r>
              <w:rPr>
                <w:sz w:val="24"/>
                <w:szCs w:val="24"/>
              </w:rPr>
              <w:t>In 2018, the TTBEP received 144 B-notifications.  Of those, 77 (53.5%) initiated an evaluation within 30 days of receipt of notification.</w:t>
            </w:r>
          </w:p>
        </w:tc>
      </w:tr>
      <w:tr w:rsidR="006577F6" w:rsidTr="00E328EF">
        <w:trPr>
          <w:trHeight w:val="1148"/>
        </w:trPr>
        <w:tc>
          <w:tcPr>
            <w:tcW w:w="2498" w:type="dxa"/>
            <w:vMerge/>
            <w:vAlign w:val="center"/>
          </w:tcPr>
          <w:p w:rsidR="006577F6" w:rsidRDefault="006577F6" w:rsidP="00702B67">
            <w:pPr>
              <w:jc w:val="center"/>
              <w:rPr>
                <w:b/>
                <w:sz w:val="24"/>
                <w:szCs w:val="24"/>
                <w:u w:val="single"/>
              </w:rPr>
            </w:pPr>
          </w:p>
        </w:tc>
        <w:tc>
          <w:tcPr>
            <w:tcW w:w="2541" w:type="dxa"/>
            <w:vMerge/>
            <w:vAlign w:val="center"/>
          </w:tcPr>
          <w:p w:rsidR="006577F6" w:rsidRDefault="006577F6" w:rsidP="00E328EF">
            <w:pPr>
              <w:pStyle w:val="ListParagraph"/>
              <w:ind w:left="335"/>
              <w:rPr>
                <w:sz w:val="24"/>
                <w:szCs w:val="24"/>
              </w:rPr>
            </w:pPr>
          </w:p>
        </w:tc>
        <w:tc>
          <w:tcPr>
            <w:tcW w:w="2538" w:type="dxa"/>
            <w:vMerge/>
            <w:vAlign w:val="center"/>
          </w:tcPr>
          <w:p w:rsidR="006577F6" w:rsidRDefault="006577F6" w:rsidP="00BA0603">
            <w:pPr>
              <w:rPr>
                <w:sz w:val="24"/>
                <w:szCs w:val="24"/>
              </w:rPr>
            </w:pPr>
          </w:p>
        </w:tc>
        <w:tc>
          <w:tcPr>
            <w:tcW w:w="2469" w:type="dxa"/>
            <w:vMerge/>
          </w:tcPr>
          <w:p w:rsidR="006577F6" w:rsidRDefault="006577F6" w:rsidP="00531619">
            <w:pPr>
              <w:rPr>
                <w:sz w:val="24"/>
                <w:szCs w:val="24"/>
              </w:rPr>
            </w:pPr>
          </w:p>
        </w:tc>
        <w:tc>
          <w:tcPr>
            <w:tcW w:w="3130" w:type="dxa"/>
          </w:tcPr>
          <w:p w:rsidR="006577F6" w:rsidRDefault="006577F6" w:rsidP="00531619">
            <w:pPr>
              <w:rPr>
                <w:sz w:val="24"/>
                <w:szCs w:val="24"/>
              </w:rPr>
            </w:pPr>
            <w:r>
              <w:rPr>
                <w:sz w:val="24"/>
                <w:szCs w:val="24"/>
              </w:rPr>
              <w:t>Preliminary 2019 data show that the TTBEP received 200 B-notifications.  Of those, 52 (26.0%) initiated an evaluation within 30 days of receipt of notification.</w:t>
            </w:r>
          </w:p>
        </w:tc>
      </w:tr>
      <w:tr w:rsidR="006577F6" w:rsidTr="00E328EF">
        <w:tc>
          <w:tcPr>
            <w:tcW w:w="2498" w:type="dxa"/>
            <w:vAlign w:val="center"/>
          </w:tcPr>
          <w:p w:rsidR="006577F6" w:rsidRDefault="006577F6" w:rsidP="00702B67">
            <w:pPr>
              <w:jc w:val="center"/>
              <w:rPr>
                <w:sz w:val="24"/>
                <w:szCs w:val="24"/>
              </w:rPr>
            </w:pPr>
            <w:r>
              <w:rPr>
                <w:b/>
                <w:sz w:val="24"/>
                <w:szCs w:val="24"/>
                <w:u w:val="single"/>
              </w:rPr>
              <w:t>Strategy 5</w:t>
            </w:r>
            <w:r>
              <w:rPr>
                <w:sz w:val="24"/>
                <w:szCs w:val="24"/>
              </w:rPr>
              <w:t xml:space="preserve">: </w:t>
            </w:r>
          </w:p>
          <w:p w:rsidR="006577F6" w:rsidRPr="004F31D0" w:rsidRDefault="006577F6" w:rsidP="00702B67">
            <w:pPr>
              <w:jc w:val="center"/>
              <w:rPr>
                <w:sz w:val="24"/>
                <w:szCs w:val="24"/>
              </w:rPr>
            </w:pPr>
            <w:r>
              <w:rPr>
                <w:sz w:val="24"/>
                <w:szCs w:val="24"/>
              </w:rPr>
              <w:t>Program Evaluation</w:t>
            </w:r>
          </w:p>
        </w:tc>
        <w:tc>
          <w:tcPr>
            <w:tcW w:w="10678" w:type="dxa"/>
            <w:gridSpan w:val="4"/>
            <w:vAlign w:val="center"/>
          </w:tcPr>
          <w:p w:rsidR="006577F6" w:rsidRDefault="006577F6" w:rsidP="00AC628F">
            <w:pPr>
              <w:jc w:val="center"/>
              <w:rPr>
                <w:sz w:val="24"/>
                <w:szCs w:val="24"/>
              </w:rPr>
            </w:pPr>
            <w:r>
              <w:rPr>
                <w:sz w:val="24"/>
                <w:szCs w:val="24"/>
              </w:rPr>
              <w:t>See Program Evaluation section</w:t>
            </w:r>
          </w:p>
        </w:tc>
      </w:tr>
      <w:tr w:rsidR="006577F6" w:rsidTr="00E328EF">
        <w:tc>
          <w:tcPr>
            <w:tcW w:w="2498" w:type="dxa"/>
            <w:vAlign w:val="center"/>
          </w:tcPr>
          <w:p w:rsidR="006577F6" w:rsidRDefault="006577F6" w:rsidP="00702B67">
            <w:pPr>
              <w:jc w:val="center"/>
              <w:rPr>
                <w:sz w:val="24"/>
                <w:szCs w:val="24"/>
              </w:rPr>
            </w:pPr>
            <w:r>
              <w:rPr>
                <w:b/>
                <w:sz w:val="24"/>
                <w:szCs w:val="24"/>
                <w:u w:val="single"/>
              </w:rPr>
              <w:t>Strategy 6</w:t>
            </w:r>
            <w:r>
              <w:rPr>
                <w:sz w:val="24"/>
                <w:szCs w:val="24"/>
              </w:rPr>
              <w:t xml:space="preserve">: </w:t>
            </w:r>
          </w:p>
          <w:p w:rsidR="006577F6" w:rsidRPr="004F31D0" w:rsidRDefault="006577F6" w:rsidP="00702B67">
            <w:pPr>
              <w:jc w:val="center"/>
              <w:rPr>
                <w:sz w:val="24"/>
                <w:szCs w:val="24"/>
              </w:rPr>
            </w:pPr>
            <w:r>
              <w:rPr>
                <w:sz w:val="24"/>
                <w:szCs w:val="24"/>
              </w:rPr>
              <w:t>Human Resources Development</w:t>
            </w:r>
          </w:p>
        </w:tc>
        <w:tc>
          <w:tcPr>
            <w:tcW w:w="10678" w:type="dxa"/>
            <w:gridSpan w:val="4"/>
            <w:vAlign w:val="center"/>
          </w:tcPr>
          <w:p w:rsidR="006577F6" w:rsidRDefault="006577F6" w:rsidP="00AC628F">
            <w:pPr>
              <w:jc w:val="center"/>
              <w:rPr>
                <w:sz w:val="24"/>
                <w:szCs w:val="24"/>
              </w:rPr>
            </w:pPr>
            <w:r>
              <w:rPr>
                <w:sz w:val="24"/>
                <w:szCs w:val="24"/>
              </w:rPr>
              <w:t>See Human Resources Development section</w:t>
            </w:r>
          </w:p>
        </w:tc>
      </w:tr>
    </w:tbl>
    <w:p w:rsidR="00AA40FB" w:rsidRDefault="00AA40FB" w:rsidP="00AA40FB">
      <w:pPr>
        <w:spacing w:after="0" w:line="240" w:lineRule="auto"/>
        <w:rPr>
          <w:sz w:val="24"/>
          <w:szCs w:val="24"/>
        </w:rPr>
      </w:pPr>
    </w:p>
    <w:p w:rsidR="00580EA5" w:rsidRDefault="00580EA5" w:rsidP="00AA40FB">
      <w:pPr>
        <w:spacing w:after="0" w:line="240" w:lineRule="auto"/>
        <w:rPr>
          <w:sz w:val="24"/>
          <w:szCs w:val="24"/>
        </w:rPr>
      </w:pPr>
    </w:p>
    <w:p w:rsidR="00620779" w:rsidRDefault="002063D8" w:rsidP="00B07043">
      <w:pPr>
        <w:spacing w:after="0" w:line="240" w:lineRule="auto"/>
        <w:rPr>
          <w:b/>
          <w:sz w:val="24"/>
          <w:szCs w:val="24"/>
        </w:rPr>
      </w:pPr>
      <w:r>
        <w:rPr>
          <w:b/>
          <w:sz w:val="24"/>
          <w:szCs w:val="24"/>
        </w:rPr>
        <w:t xml:space="preserve">Table </w:t>
      </w:r>
      <w:r w:rsidR="0041398C">
        <w:rPr>
          <w:b/>
          <w:sz w:val="24"/>
          <w:szCs w:val="24"/>
        </w:rPr>
        <w:t>8</w:t>
      </w:r>
      <w:r w:rsidR="00883440">
        <w:rPr>
          <w:b/>
          <w:sz w:val="24"/>
          <w:szCs w:val="24"/>
        </w:rPr>
        <w:t>.  Barriers and Challenges to Implementation of the Proposed Level Strategies/Activities</w:t>
      </w:r>
    </w:p>
    <w:tbl>
      <w:tblPr>
        <w:tblStyle w:val="TableGrid"/>
        <w:tblW w:w="0" w:type="auto"/>
        <w:tblLook w:val="04A0" w:firstRow="1" w:lastRow="0" w:firstColumn="1" w:lastColumn="0" w:noHBand="0" w:noVBand="1"/>
      </w:tblPr>
      <w:tblGrid>
        <w:gridCol w:w="3294"/>
        <w:gridCol w:w="3294"/>
        <w:gridCol w:w="3294"/>
        <w:gridCol w:w="3294"/>
      </w:tblGrid>
      <w:tr w:rsidR="00883440" w:rsidRPr="00883440" w:rsidTr="00883440">
        <w:tc>
          <w:tcPr>
            <w:tcW w:w="3294" w:type="dxa"/>
            <w:shd w:val="clear" w:color="auto" w:fill="D9D9D9" w:themeFill="background1" w:themeFillShade="D9"/>
            <w:vAlign w:val="center"/>
          </w:tcPr>
          <w:p w:rsidR="00883440" w:rsidRPr="00883440" w:rsidRDefault="00883440" w:rsidP="00883440">
            <w:pPr>
              <w:jc w:val="center"/>
              <w:rPr>
                <w:b/>
                <w:sz w:val="24"/>
                <w:szCs w:val="24"/>
              </w:rPr>
            </w:pPr>
            <w:r>
              <w:rPr>
                <w:b/>
                <w:sz w:val="24"/>
                <w:szCs w:val="24"/>
              </w:rPr>
              <w:t>Strategy</w:t>
            </w:r>
          </w:p>
        </w:tc>
        <w:tc>
          <w:tcPr>
            <w:tcW w:w="3294" w:type="dxa"/>
            <w:shd w:val="clear" w:color="auto" w:fill="D9D9D9" w:themeFill="background1" w:themeFillShade="D9"/>
            <w:vAlign w:val="center"/>
          </w:tcPr>
          <w:p w:rsidR="00883440" w:rsidRPr="00883440" w:rsidRDefault="00883440" w:rsidP="00883440">
            <w:pPr>
              <w:jc w:val="center"/>
              <w:rPr>
                <w:b/>
                <w:sz w:val="24"/>
                <w:szCs w:val="24"/>
              </w:rPr>
            </w:pPr>
            <w:r>
              <w:rPr>
                <w:b/>
                <w:sz w:val="24"/>
                <w:szCs w:val="24"/>
              </w:rPr>
              <w:t>Task</w:t>
            </w:r>
          </w:p>
        </w:tc>
        <w:tc>
          <w:tcPr>
            <w:tcW w:w="3294" w:type="dxa"/>
            <w:shd w:val="clear" w:color="auto" w:fill="D9D9D9" w:themeFill="background1" w:themeFillShade="D9"/>
            <w:vAlign w:val="center"/>
          </w:tcPr>
          <w:p w:rsidR="00883440" w:rsidRPr="00883440" w:rsidRDefault="00883440" w:rsidP="00883440">
            <w:pPr>
              <w:jc w:val="center"/>
              <w:rPr>
                <w:b/>
                <w:sz w:val="24"/>
                <w:szCs w:val="24"/>
              </w:rPr>
            </w:pPr>
            <w:r>
              <w:rPr>
                <w:b/>
                <w:sz w:val="24"/>
                <w:szCs w:val="24"/>
              </w:rPr>
              <w:t>Barriers and Challenges</w:t>
            </w:r>
          </w:p>
        </w:tc>
        <w:tc>
          <w:tcPr>
            <w:tcW w:w="3294" w:type="dxa"/>
            <w:shd w:val="clear" w:color="auto" w:fill="D9D9D9" w:themeFill="background1" w:themeFillShade="D9"/>
            <w:vAlign w:val="center"/>
          </w:tcPr>
          <w:p w:rsidR="00883440" w:rsidRPr="00883440" w:rsidRDefault="00883440" w:rsidP="00883440">
            <w:pPr>
              <w:jc w:val="center"/>
              <w:rPr>
                <w:b/>
                <w:sz w:val="24"/>
                <w:szCs w:val="24"/>
              </w:rPr>
            </w:pPr>
            <w:r>
              <w:rPr>
                <w:b/>
                <w:sz w:val="24"/>
                <w:szCs w:val="24"/>
              </w:rPr>
              <w:t>Activities in Response to Barriers and Challenges</w:t>
            </w:r>
          </w:p>
        </w:tc>
      </w:tr>
      <w:tr w:rsidR="0046568B" w:rsidTr="0046568B">
        <w:trPr>
          <w:trHeight w:val="778"/>
        </w:trPr>
        <w:tc>
          <w:tcPr>
            <w:tcW w:w="3294" w:type="dxa"/>
            <w:vMerge w:val="restart"/>
            <w:vAlign w:val="center"/>
          </w:tcPr>
          <w:p w:rsidR="0046568B" w:rsidRDefault="0046568B" w:rsidP="00702B67">
            <w:pPr>
              <w:jc w:val="center"/>
              <w:rPr>
                <w:sz w:val="24"/>
                <w:szCs w:val="24"/>
              </w:rPr>
            </w:pPr>
            <w:r>
              <w:rPr>
                <w:b/>
                <w:sz w:val="24"/>
                <w:szCs w:val="24"/>
                <w:u w:val="single"/>
              </w:rPr>
              <w:t>Strategy 1</w:t>
            </w:r>
            <w:r>
              <w:rPr>
                <w:sz w:val="24"/>
                <w:szCs w:val="24"/>
              </w:rPr>
              <w:t xml:space="preserve">: </w:t>
            </w:r>
          </w:p>
          <w:p w:rsidR="0046568B" w:rsidRPr="004F31D0" w:rsidRDefault="0046568B" w:rsidP="00702B67">
            <w:pPr>
              <w:jc w:val="center"/>
              <w:rPr>
                <w:sz w:val="24"/>
                <w:szCs w:val="24"/>
              </w:rPr>
            </w:pPr>
            <w:r>
              <w:rPr>
                <w:sz w:val="24"/>
                <w:szCs w:val="24"/>
              </w:rPr>
              <w:t>Improved Case Detection and Management</w:t>
            </w:r>
          </w:p>
        </w:tc>
        <w:tc>
          <w:tcPr>
            <w:tcW w:w="3294" w:type="dxa"/>
            <w:vMerge w:val="restart"/>
            <w:vAlign w:val="center"/>
          </w:tcPr>
          <w:p w:rsidR="0046568B" w:rsidRPr="00961883" w:rsidRDefault="0046568B" w:rsidP="002F226A">
            <w:pPr>
              <w:pStyle w:val="ListParagraph"/>
              <w:numPr>
                <w:ilvl w:val="0"/>
                <w:numId w:val="7"/>
              </w:numPr>
              <w:ind w:left="396"/>
              <w:rPr>
                <w:sz w:val="24"/>
                <w:szCs w:val="24"/>
              </w:rPr>
            </w:pPr>
            <w:r w:rsidRPr="00961883">
              <w:rPr>
                <w:sz w:val="24"/>
                <w:szCs w:val="24"/>
              </w:rPr>
              <w:t>Ensure case management and treatment of TB cases</w:t>
            </w:r>
          </w:p>
        </w:tc>
        <w:tc>
          <w:tcPr>
            <w:tcW w:w="3294" w:type="dxa"/>
            <w:vAlign w:val="center"/>
          </w:tcPr>
          <w:p w:rsidR="0046568B" w:rsidRPr="0046568B" w:rsidRDefault="0046568B" w:rsidP="0046568B">
            <w:pPr>
              <w:pStyle w:val="ListParagraph"/>
              <w:numPr>
                <w:ilvl w:val="0"/>
                <w:numId w:val="14"/>
              </w:numPr>
              <w:ind w:left="342"/>
              <w:rPr>
                <w:sz w:val="24"/>
                <w:szCs w:val="24"/>
              </w:rPr>
            </w:pPr>
            <w:r w:rsidRPr="001D13A7">
              <w:rPr>
                <w:sz w:val="24"/>
                <w:szCs w:val="24"/>
              </w:rPr>
              <w:t>Staff retention and turnover</w:t>
            </w:r>
          </w:p>
        </w:tc>
        <w:tc>
          <w:tcPr>
            <w:tcW w:w="3294" w:type="dxa"/>
            <w:vAlign w:val="center"/>
          </w:tcPr>
          <w:p w:rsidR="0046568B" w:rsidRPr="0046568B" w:rsidRDefault="0046568B" w:rsidP="0046568B">
            <w:pPr>
              <w:pStyle w:val="ListParagraph"/>
              <w:numPr>
                <w:ilvl w:val="0"/>
                <w:numId w:val="14"/>
              </w:numPr>
              <w:ind w:left="378"/>
              <w:rPr>
                <w:sz w:val="24"/>
                <w:szCs w:val="24"/>
              </w:rPr>
            </w:pPr>
            <w:r>
              <w:rPr>
                <w:sz w:val="24"/>
                <w:szCs w:val="24"/>
              </w:rPr>
              <w:t>Conduct quarterly new case manager training</w:t>
            </w:r>
          </w:p>
        </w:tc>
      </w:tr>
      <w:tr w:rsidR="0046568B" w:rsidTr="0046568B">
        <w:trPr>
          <w:trHeight w:val="777"/>
        </w:trPr>
        <w:tc>
          <w:tcPr>
            <w:tcW w:w="3294" w:type="dxa"/>
            <w:vMerge/>
            <w:vAlign w:val="center"/>
          </w:tcPr>
          <w:p w:rsidR="0046568B" w:rsidRDefault="0046568B" w:rsidP="00702B67">
            <w:pPr>
              <w:jc w:val="center"/>
              <w:rPr>
                <w:b/>
                <w:sz w:val="24"/>
                <w:szCs w:val="24"/>
                <w:u w:val="single"/>
              </w:rPr>
            </w:pPr>
          </w:p>
        </w:tc>
        <w:tc>
          <w:tcPr>
            <w:tcW w:w="3294" w:type="dxa"/>
            <w:vMerge/>
            <w:vAlign w:val="center"/>
          </w:tcPr>
          <w:p w:rsidR="0046568B" w:rsidRPr="00961883" w:rsidRDefault="0046568B" w:rsidP="002F226A">
            <w:pPr>
              <w:pStyle w:val="ListParagraph"/>
              <w:numPr>
                <w:ilvl w:val="0"/>
                <w:numId w:val="7"/>
              </w:numPr>
              <w:ind w:left="396"/>
              <w:rPr>
                <w:sz w:val="24"/>
                <w:szCs w:val="24"/>
              </w:rPr>
            </w:pPr>
          </w:p>
        </w:tc>
        <w:tc>
          <w:tcPr>
            <w:tcW w:w="3294" w:type="dxa"/>
            <w:vAlign w:val="center"/>
          </w:tcPr>
          <w:p w:rsidR="0046568B" w:rsidRPr="001D13A7" w:rsidRDefault="0046568B" w:rsidP="0046568B">
            <w:pPr>
              <w:pStyle w:val="ListParagraph"/>
              <w:numPr>
                <w:ilvl w:val="0"/>
                <w:numId w:val="14"/>
              </w:numPr>
              <w:ind w:left="342"/>
              <w:rPr>
                <w:sz w:val="24"/>
                <w:szCs w:val="24"/>
              </w:rPr>
            </w:pPr>
            <w:r w:rsidRPr="001D13A7">
              <w:rPr>
                <w:sz w:val="24"/>
                <w:szCs w:val="24"/>
              </w:rPr>
              <w:t xml:space="preserve">Lack of </w:t>
            </w:r>
            <w:r>
              <w:rPr>
                <w:sz w:val="24"/>
                <w:szCs w:val="24"/>
              </w:rPr>
              <w:t>oversight and ongoing training and education</w:t>
            </w:r>
          </w:p>
        </w:tc>
        <w:tc>
          <w:tcPr>
            <w:tcW w:w="3294" w:type="dxa"/>
            <w:vAlign w:val="center"/>
          </w:tcPr>
          <w:p w:rsidR="0046568B" w:rsidRDefault="0046568B" w:rsidP="0046568B">
            <w:pPr>
              <w:pStyle w:val="ListParagraph"/>
              <w:numPr>
                <w:ilvl w:val="0"/>
                <w:numId w:val="14"/>
              </w:numPr>
              <w:ind w:left="378"/>
              <w:rPr>
                <w:sz w:val="24"/>
                <w:szCs w:val="24"/>
              </w:rPr>
            </w:pPr>
            <w:r>
              <w:rPr>
                <w:sz w:val="24"/>
                <w:szCs w:val="24"/>
              </w:rPr>
              <w:t>Case management quality assurance provided by central office nurse consultants</w:t>
            </w:r>
          </w:p>
        </w:tc>
      </w:tr>
      <w:tr w:rsidR="0046568B" w:rsidTr="002F226A">
        <w:tc>
          <w:tcPr>
            <w:tcW w:w="3294" w:type="dxa"/>
            <w:vMerge/>
            <w:vAlign w:val="center"/>
          </w:tcPr>
          <w:p w:rsidR="0046568B" w:rsidRDefault="0046568B" w:rsidP="00883440">
            <w:pPr>
              <w:jc w:val="center"/>
              <w:rPr>
                <w:sz w:val="24"/>
                <w:szCs w:val="24"/>
              </w:rPr>
            </w:pPr>
          </w:p>
        </w:tc>
        <w:tc>
          <w:tcPr>
            <w:tcW w:w="3294" w:type="dxa"/>
            <w:vAlign w:val="center"/>
          </w:tcPr>
          <w:p w:rsidR="0046568B" w:rsidRPr="00961883" w:rsidRDefault="0046568B" w:rsidP="002F226A">
            <w:pPr>
              <w:pStyle w:val="ListParagraph"/>
              <w:numPr>
                <w:ilvl w:val="0"/>
                <w:numId w:val="7"/>
              </w:numPr>
              <w:ind w:left="396"/>
              <w:rPr>
                <w:sz w:val="24"/>
                <w:szCs w:val="24"/>
              </w:rPr>
            </w:pPr>
            <w:r>
              <w:rPr>
                <w:sz w:val="24"/>
                <w:szCs w:val="24"/>
              </w:rPr>
              <w:t>Assess adequacy and appropriateness of therapy</w:t>
            </w:r>
          </w:p>
        </w:tc>
        <w:tc>
          <w:tcPr>
            <w:tcW w:w="3294" w:type="dxa"/>
            <w:vAlign w:val="center"/>
          </w:tcPr>
          <w:p w:rsidR="0046568B" w:rsidRPr="001D13A7" w:rsidRDefault="0046568B" w:rsidP="002F226A">
            <w:pPr>
              <w:pStyle w:val="ListParagraph"/>
              <w:numPr>
                <w:ilvl w:val="0"/>
                <w:numId w:val="15"/>
              </w:numPr>
              <w:ind w:left="342"/>
              <w:rPr>
                <w:sz w:val="24"/>
                <w:szCs w:val="24"/>
              </w:rPr>
            </w:pPr>
            <w:r>
              <w:rPr>
                <w:sz w:val="24"/>
                <w:szCs w:val="24"/>
              </w:rPr>
              <w:t>Delays in notification to central office of non-standard anti-TB regimens</w:t>
            </w:r>
          </w:p>
        </w:tc>
        <w:tc>
          <w:tcPr>
            <w:tcW w:w="3294" w:type="dxa"/>
          </w:tcPr>
          <w:p w:rsidR="0046568B" w:rsidRPr="00642C61" w:rsidRDefault="0046568B" w:rsidP="00642C61">
            <w:pPr>
              <w:pStyle w:val="ListParagraph"/>
              <w:numPr>
                <w:ilvl w:val="0"/>
                <w:numId w:val="15"/>
              </w:numPr>
              <w:ind w:left="378"/>
              <w:rPr>
                <w:sz w:val="24"/>
                <w:szCs w:val="24"/>
              </w:rPr>
            </w:pPr>
            <w:r>
              <w:rPr>
                <w:sz w:val="24"/>
                <w:szCs w:val="24"/>
              </w:rPr>
              <w:t>Periodic reminders to regional TB program managers about notification of patients on non-standard regimens</w:t>
            </w:r>
          </w:p>
        </w:tc>
      </w:tr>
      <w:tr w:rsidR="0046568B" w:rsidTr="002F226A">
        <w:tc>
          <w:tcPr>
            <w:tcW w:w="3294" w:type="dxa"/>
            <w:vMerge/>
            <w:vAlign w:val="center"/>
          </w:tcPr>
          <w:p w:rsidR="0046568B" w:rsidRDefault="0046568B" w:rsidP="00883440">
            <w:pPr>
              <w:jc w:val="center"/>
              <w:rPr>
                <w:sz w:val="24"/>
                <w:szCs w:val="24"/>
              </w:rPr>
            </w:pPr>
          </w:p>
        </w:tc>
        <w:tc>
          <w:tcPr>
            <w:tcW w:w="3294" w:type="dxa"/>
            <w:vAlign w:val="center"/>
          </w:tcPr>
          <w:p w:rsidR="0046568B" w:rsidRPr="00961883" w:rsidRDefault="0046568B" w:rsidP="002F226A">
            <w:pPr>
              <w:pStyle w:val="ListParagraph"/>
              <w:numPr>
                <w:ilvl w:val="0"/>
                <w:numId w:val="7"/>
              </w:numPr>
              <w:ind w:left="396"/>
              <w:rPr>
                <w:sz w:val="24"/>
                <w:szCs w:val="24"/>
              </w:rPr>
            </w:pPr>
            <w:r>
              <w:rPr>
                <w:sz w:val="24"/>
                <w:szCs w:val="24"/>
              </w:rPr>
              <w:t>Seek expert consultation</w:t>
            </w:r>
          </w:p>
        </w:tc>
        <w:tc>
          <w:tcPr>
            <w:tcW w:w="3294" w:type="dxa"/>
            <w:vAlign w:val="center"/>
          </w:tcPr>
          <w:p w:rsidR="0046568B" w:rsidRPr="00A45EB7" w:rsidRDefault="0046568B" w:rsidP="002F226A">
            <w:pPr>
              <w:pStyle w:val="ListParagraph"/>
              <w:numPr>
                <w:ilvl w:val="0"/>
                <w:numId w:val="18"/>
              </w:numPr>
              <w:ind w:left="342"/>
              <w:rPr>
                <w:sz w:val="24"/>
                <w:szCs w:val="24"/>
              </w:rPr>
            </w:pPr>
            <w:r>
              <w:rPr>
                <w:sz w:val="24"/>
                <w:szCs w:val="24"/>
              </w:rPr>
              <w:t>Clarification about what situations warrant expert consultation</w:t>
            </w:r>
          </w:p>
        </w:tc>
        <w:tc>
          <w:tcPr>
            <w:tcW w:w="3294" w:type="dxa"/>
          </w:tcPr>
          <w:p w:rsidR="0046568B" w:rsidRPr="00F01343" w:rsidRDefault="0046568B" w:rsidP="00F01343">
            <w:pPr>
              <w:pStyle w:val="ListParagraph"/>
              <w:numPr>
                <w:ilvl w:val="0"/>
                <w:numId w:val="18"/>
              </w:numPr>
              <w:ind w:left="378"/>
              <w:rPr>
                <w:sz w:val="24"/>
                <w:szCs w:val="24"/>
              </w:rPr>
            </w:pPr>
            <w:r>
              <w:rPr>
                <w:sz w:val="24"/>
                <w:szCs w:val="24"/>
              </w:rPr>
              <w:t>Issue addressed in TB Manual and standard physician consultation form developed and distributed</w:t>
            </w:r>
          </w:p>
        </w:tc>
      </w:tr>
      <w:tr w:rsidR="0046568B" w:rsidTr="002F226A">
        <w:tc>
          <w:tcPr>
            <w:tcW w:w="3294" w:type="dxa"/>
            <w:vMerge/>
            <w:vAlign w:val="center"/>
          </w:tcPr>
          <w:p w:rsidR="0046568B" w:rsidRDefault="0046568B" w:rsidP="00883440">
            <w:pPr>
              <w:jc w:val="center"/>
              <w:rPr>
                <w:sz w:val="24"/>
                <w:szCs w:val="24"/>
              </w:rPr>
            </w:pPr>
          </w:p>
        </w:tc>
        <w:tc>
          <w:tcPr>
            <w:tcW w:w="3294" w:type="dxa"/>
            <w:vAlign w:val="center"/>
          </w:tcPr>
          <w:p w:rsidR="0046568B" w:rsidRPr="00961883" w:rsidRDefault="0046568B" w:rsidP="002F226A">
            <w:pPr>
              <w:pStyle w:val="ListParagraph"/>
              <w:numPr>
                <w:ilvl w:val="0"/>
                <w:numId w:val="7"/>
              </w:numPr>
              <w:ind w:left="396"/>
              <w:rPr>
                <w:sz w:val="24"/>
                <w:szCs w:val="24"/>
              </w:rPr>
            </w:pPr>
            <w:r>
              <w:rPr>
                <w:sz w:val="24"/>
                <w:szCs w:val="24"/>
              </w:rPr>
              <w:t>Collaborate with HIV/AIDS programs</w:t>
            </w:r>
          </w:p>
        </w:tc>
        <w:tc>
          <w:tcPr>
            <w:tcW w:w="3294" w:type="dxa"/>
            <w:vAlign w:val="center"/>
          </w:tcPr>
          <w:p w:rsidR="0046568B" w:rsidRPr="00987488" w:rsidRDefault="0046568B" w:rsidP="002F226A">
            <w:pPr>
              <w:pStyle w:val="ListParagraph"/>
              <w:numPr>
                <w:ilvl w:val="0"/>
                <w:numId w:val="15"/>
              </w:numPr>
              <w:ind w:left="342"/>
              <w:rPr>
                <w:sz w:val="24"/>
                <w:szCs w:val="24"/>
              </w:rPr>
            </w:pPr>
            <w:r>
              <w:rPr>
                <w:sz w:val="24"/>
                <w:szCs w:val="24"/>
              </w:rPr>
              <w:t>Lack of clarification of responsibility to enter TB diagnosis into HIV system</w:t>
            </w:r>
          </w:p>
        </w:tc>
        <w:tc>
          <w:tcPr>
            <w:tcW w:w="3294" w:type="dxa"/>
          </w:tcPr>
          <w:p w:rsidR="0046568B" w:rsidRPr="00987488" w:rsidRDefault="0046568B" w:rsidP="00987488">
            <w:pPr>
              <w:pStyle w:val="ListParagraph"/>
              <w:numPr>
                <w:ilvl w:val="0"/>
                <w:numId w:val="15"/>
              </w:numPr>
              <w:ind w:left="378"/>
              <w:rPr>
                <w:sz w:val="24"/>
                <w:szCs w:val="24"/>
              </w:rPr>
            </w:pPr>
            <w:r>
              <w:rPr>
                <w:sz w:val="24"/>
                <w:szCs w:val="24"/>
              </w:rPr>
              <w:t>Meeting between TB program and HIV program leadership in early 2020 to define and streamline process</w:t>
            </w:r>
          </w:p>
        </w:tc>
      </w:tr>
      <w:tr w:rsidR="0046568B" w:rsidTr="002F226A">
        <w:tc>
          <w:tcPr>
            <w:tcW w:w="3294" w:type="dxa"/>
            <w:vMerge/>
            <w:vAlign w:val="center"/>
          </w:tcPr>
          <w:p w:rsidR="0046568B" w:rsidRDefault="0046568B" w:rsidP="00883440">
            <w:pPr>
              <w:jc w:val="center"/>
              <w:rPr>
                <w:sz w:val="24"/>
                <w:szCs w:val="24"/>
              </w:rPr>
            </w:pPr>
          </w:p>
        </w:tc>
        <w:tc>
          <w:tcPr>
            <w:tcW w:w="3294" w:type="dxa"/>
            <w:vAlign w:val="center"/>
          </w:tcPr>
          <w:p w:rsidR="0046568B" w:rsidRDefault="0046568B" w:rsidP="002F226A">
            <w:pPr>
              <w:pStyle w:val="ListParagraph"/>
              <w:numPr>
                <w:ilvl w:val="0"/>
                <w:numId w:val="7"/>
              </w:numPr>
              <w:ind w:left="396"/>
              <w:rPr>
                <w:sz w:val="24"/>
                <w:szCs w:val="24"/>
              </w:rPr>
            </w:pPr>
            <w:r>
              <w:rPr>
                <w:sz w:val="24"/>
                <w:szCs w:val="24"/>
              </w:rPr>
              <w:t>Evaluate case management</w:t>
            </w:r>
          </w:p>
          <w:p w:rsidR="0046568B" w:rsidRDefault="0046568B" w:rsidP="002F226A">
            <w:pPr>
              <w:pStyle w:val="ListParagraph"/>
              <w:ind w:left="396"/>
              <w:rPr>
                <w:sz w:val="24"/>
                <w:szCs w:val="24"/>
              </w:rPr>
            </w:pPr>
          </w:p>
          <w:p w:rsidR="0046568B" w:rsidRDefault="0046568B" w:rsidP="002F226A">
            <w:pPr>
              <w:pStyle w:val="ListParagraph"/>
              <w:ind w:left="396"/>
              <w:rPr>
                <w:sz w:val="24"/>
                <w:szCs w:val="24"/>
              </w:rPr>
            </w:pPr>
          </w:p>
        </w:tc>
        <w:tc>
          <w:tcPr>
            <w:tcW w:w="3294" w:type="dxa"/>
            <w:vAlign w:val="center"/>
          </w:tcPr>
          <w:p w:rsidR="0046568B" w:rsidRPr="00987488" w:rsidRDefault="0046568B" w:rsidP="002F226A">
            <w:pPr>
              <w:pStyle w:val="ListParagraph"/>
              <w:numPr>
                <w:ilvl w:val="0"/>
                <w:numId w:val="16"/>
              </w:numPr>
              <w:ind w:left="342"/>
              <w:rPr>
                <w:sz w:val="24"/>
                <w:szCs w:val="24"/>
              </w:rPr>
            </w:pPr>
            <w:r>
              <w:rPr>
                <w:sz w:val="24"/>
                <w:szCs w:val="24"/>
              </w:rPr>
              <w:t>Turnover among regional TB program staff</w:t>
            </w:r>
          </w:p>
        </w:tc>
        <w:tc>
          <w:tcPr>
            <w:tcW w:w="3294" w:type="dxa"/>
          </w:tcPr>
          <w:p w:rsidR="0046568B" w:rsidRPr="00987488" w:rsidRDefault="0046568B" w:rsidP="00987488">
            <w:pPr>
              <w:pStyle w:val="ListParagraph"/>
              <w:numPr>
                <w:ilvl w:val="0"/>
                <w:numId w:val="16"/>
              </w:numPr>
              <w:ind w:left="378"/>
              <w:rPr>
                <w:sz w:val="24"/>
                <w:szCs w:val="24"/>
              </w:rPr>
            </w:pPr>
            <w:r>
              <w:rPr>
                <w:sz w:val="24"/>
                <w:szCs w:val="24"/>
              </w:rPr>
              <w:t>Increase frequency of new case manager training to quarterly</w:t>
            </w:r>
          </w:p>
        </w:tc>
      </w:tr>
      <w:tr w:rsidR="0046568B" w:rsidTr="002F226A">
        <w:tc>
          <w:tcPr>
            <w:tcW w:w="3294" w:type="dxa"/>
            <w:vMerge w:val="restart"/>
            <w:vAlign w:val="center"/>
          </w:tcPr>
          <w:p w:rsidR="0046568B" w:rsidRDefault="0046568B" w:rsidP="00883440">
            <w:pPr>
              <w:jc w:val="center"/>
              <w:rPr>
                <w:b/>
                <w:sz w:val="24"/>
                <w:szCs w:val="24"/>
              </w:rPr>
            </w:pPr>
            <w:r>
              <w:rPr>
                <w:b/>
                <w:sz w:val="24"/>
                <w:szCs w:val="24"/>
                <w:u w:val="single"/>
              </w:rPr>
              <w:t>Strategy 2</w:t>
            </w:r>
            <w:r>
              <w:rPr>
                <w:b/>
                <w:sz w:val="24"/>
                <w:szCs w:val="24"/>
              </w:rPr>
              <w:t>:</w:t>
            </w:r>
          </w:p>
          <w:p w:rsidR="0046568B" w:rsidRPr="008F0FC0" w:rsidRDefault="0046568B" w:rsidP="00883440">
            <w:pPr>
              <w:jc w:val="center"/>
              <w:rPr>
                <w:sz w:val="24"/>
                <w:szCs w:val="24"/>
              </w:rPr>
            </w:pPr>
            <w:r>
              <w:rPr>
                <w:sz w:val="24"/>
                <w:szCs w:val="24"/>
              </w:rPr>
              <w:t>Surveillance of TB Cases and Case Reporting</w:t>
            </w:r>
          </w:p>
        </w:tc>
        <w:tc>
          <w:tcPr>
            <w:tcW w:w="3294" w:type="dxa"/>
            <w:vAlign w:val="center"/>
          </w:tcPr>
          <w:p w:rsidR="0046568B" w:rsidRPr="008F0FC0" w:rsidRDefault="0046568B" w:rsidP="002F226A">
            <w:pPr>
              <w:pStyle w:val="ListParagraph"/>
              <w:numPr>
                <w:ilvl w:val="0"/>
                <w:numId w:val="10"/>
              </w:numPr>
              <w:ind w:left="396"/>
              <w:rPr>
                <w:sz w:val="24"/>
                <w:szCs w:val="24"/>
              </w:rPr>
            </w:pPr>
            <w:r>
              <w:rPr>
                <w:sz w:val="24"/>
                <w:szCs w:val="24"/>
              </w:rPr>
              <w:t>Active surveillance</w:t>
            </w:r>
          </w:p>
        </w:tc>
        <w:tc>
          <w:tcPr>
            <w:tcW w:w="3294" w:type="dxa"/>
            <w:vAlign w:val="center"/>
          </w:tcPr>
          <w:p w:rsidR="0046568B" w:rsidRPr="00987488" w:rsidRDefault="0046568B" w:rsidP="002F226A">
            <w:pPr>
              <w:pStyle w:val="ListParagraph"/>
              <w:numPr>
                <w:ilvl w:val="0"/>
                <w:numId w:val="17"/>
              </w:numPr>
              <w:ind w:left="342"/>
              <w:rPr>
                <w:sz w:val="24"/>
                <w:szCs w:val="24"/>
              </w:rPr>
            </w:pPr>
            <w:r>
              <w:rPr>
                <w:sz w:val="24"/>
                <w:szCs w:val="24"/>
              </w:rPr>
              <w:t>Competing priorities and lack of staff</w:t>
            </w:r>
          </w:p>
        </w:tc>
        <w:tc>
          <w:tcPr>
            <w:tcW w:w="3294" w:type="dxa"/>
          </w:tcPr>
          <w:p w:rsidR="0046568B" w:rsidRPr="00987488" w:rsidRDefault="0046568B" w:rsidP="00987488">
            <w:pPr>
              <w:pStyle w:val="ListParagraph"/>
              <w:numPr>
                <w:ilvl w:val="0"/>
                <w:numId w:val="17"/>
              </w:numPr>
              <w:ind w:left="378"/>
              <w:rPr>
                <w:sz w:val="24"/>
                <w:szCs w:val="24"/>
              </w:rPr>
            </w:pPr>
            <w:r>
              <w:rPr>
                <w:sz w:val="24"/>
                <w:szCs w:val="24"/>
              </w:rPr>
              <w:t>May include active surveillance in TTBEP strategic planning</w:t>
            </w:r>
          </w:p>
        </w:tc>
      </w:tr>
      <w:tr w:rsidR="0046568B" w:rsidTr="0046568B">
        <w:trPr>
          <w:trHeight w:val="903"/>
        </w:trPr>
        <w:tc>
          <w:tcPr>
            <w:tcW w:w="3294" w:type="dxa"/>
            <w:vMerge/>
            <w:vAlign w:val="center"/>
          </w:tcPr>
          <w:p w:rsidR="0046568B" w:rsidRDefault="0046568B" w:rsidP="00883440">
            <w:pPr>
              <w:jc w:val="center"/>
              <w:rPr>
                <w:b/>
                <w:sz w:val="24"/>
                <w:szCs w:val="24"/>
                <w:u w:val="single"/>
              </w:rPr>
            </w:pPr>
          </w:p>
        </w:tc>
        <w:tc>
          <w:tcPr>
            <w:tcW w:w="3294" w:type="dxa"/>
            <w:vMerge w:val="restart"/>
            <w:vAlign w:val="center"/>
          </w:tcPr>
          <w:p w:rsidR="0046568B" w:rsidRDefault="0046568B" w:rsidP="002F226A">
            <w:pPr>
              <w:pStyle w:val="ListParagraph"/>
              <w:numPr>
                <w:ilvl w:val="0"/>
                <w:numId w:val="10"/>
              </w:numPr>
              <w:ind w:left="396"/>
              <w:rPr>
                <w:sz w:val="24"/>
                <w:szCs w:val="24"/>
              </w:rPr>
            </w:pPr>
            <w:r>
              <w:rPr>
                <w:sz w:val="24"/>
                <w:szCs w:val="24"/>
              </w:rPr>
              <w:t>HIV testing for all TB cases</w:t>
            </w:r>
          </w:p>
        </w:tc>
        <w:tc>
          <w:tcPr>
            <w:tcW w:w="3294" w:type="dxa"/>
            <w:vAlign w:val="center"/>
          </w:tcPr>
          <w:p w:rsidR="0046568B" w:rsidRPr="0046568B" w:rsidRDefault="0046568B" w:rsidP="0046568B">
            <w:pPr>
              <w:pStyle w:val="ListParagraph"/>
              <w:numPr>
                <w:ilvl w:val="0"/>
                <w:numId w:val="15"/>
              </w:numPr>
              <w:ind w:left="342"/>
              <w:rPr>
                <w:sz w:val="24"/>
                <w:szCs w:val="24"/>
              </w:rPr>
            </w:pPr>
            <w:r>
              <w:rPr>
                <w:sz w:val="24"/>
                <w:szCs w:val="24"/>
              </w:rPr>
              <w:t>Comfort level of staff to approach HIV testing to young and older patients</w:t>
            </w:r>
          </w:p>
        </w:tc>
        <w:tc>
          <w:tcPr>
            <w:tcW w:w="3294" w:type="dxa"/>
            <w:vAlign w:val="center"/>
          </w:tcPr>
          <w:p w:rsidR="0046568B" w:rsidRPr="0046568B" w:rsidRDefault="0046568B" w:rsidP="0046568B">
            <w:pPr>
              <w:pStyle w:val="ListParagraph"/>
              <w:numPr>
                <w:ilvl w:val="0"/>
                <w:numId w:val="15"/>
              </w:numPr>
              <w:ind w:left="378"/>
              <w:rPr>
                <w:sz w:val="24"/>
                <w:szCs w:val="24"/>
              </w:rPr>
            </w:pPr>
            <w:r>
              <w:rPr>
                <w:sz w:val="24"/>
                <w:szCs w:val="24"/>
              </w:rPr>
              <w:t>Reiterate HIV testing for all TB cases using “opt-out”</w:t>
            </w:r>
          </w:p>
        </w:tc>
      </w:tr>
      <w:tr w:rsidR="0046568B" w:rsidTr="002F226A">
        <w:trPr>
          <w:trHeight w:val="902"/>
        </w:trPr>
        <w:tc>
          <w:tcPr>
            <w:tcW w:w="3294" w:type="dxa"/>
            <w:vMerge/>
            <w:vAlign w:val="center"/>
          </w:tcPr>
          <w:p w:rsidR="0046568B" w:rsidRDefault="0046568B" w:rsidP="00883440">
            <w:pPr>
              <w:jc w:val="center"/>
              <w:rPr>
                <w:b/>
                <w:sz w:val="24"/>
                <w:szCs w:val="24"/>
                <w:u w:val="single"/>
              </w:rPr>
            </w:pPr>
          </w:p>
        </w:tc>
        <w:tc>
          <w:tcPr>
            <w:tcW w:w="3294" w:type="dxa"/>
            <w:vMerge/>
            <w:vAlign w:val="center"/>
          </w:tcPr>
          <w:p w:rsidR="0046568B" w:rsidRDefault="0046568B" w:rsidP="002F226A">
            <w:pPr>
              <w:pStyle w:val="ListParagraph"/>
              <w:numPr>
                <w:ilvl w:val="0"/>
                <w:numId w:val="10"/>
              </w:numPr>
              <w:ind w:left="396"/>
              <w:rPr>
                <w:sz w:val="24"/>
                <w:szCs w:val="24"/>
              </w:rPr>
            </w:pPr>
          </w:p>
        </w:tc>
        <w:tc>
          <w:tcPr>
            <w:tcW w:w="3294" w:type="dxa"/>
            <w:vAlign w:val="center"/>
          </w:tcPr>
          <w:p w:rsidR="0046568B" w:rsidRDefault="0046568B" w:rsidP="002F226A">
            <w:pPr>
              <w:pStyle w:val="ListParagraph"/>
              <w:numPr>
                <w:ilvl w:val="0"/>
                <w:numId w:val="15"/>
              </w:numPr>
              <w:ind w:left="342"/>
              <w:rPr>
                <w:sz w:val="24"/>
                <w:szCs w:val="24"/>
              </w:rPr>
            </w:pPr>
            <w:r>
              <w:rPr>
                <w:sz w:val="24"/>
                <w:szCs w:val="24"/>
              </w:rPr>
              <w:t>HIV antibody test not available at state lab for patients &lt;2 years of age</w:t>
            </w:r>
          </w:p>
        </w:tc>
        <w:tc>
          <w:tcPr>
            <w:tcW w:w="3294" w:type="dxa"/>
            <w:vAlign w:val="center"/>
          </w:tcPr>
          <w:p w:rsidR="0046568B" w:rsidRDefault="0046568B" w:rsidP="002F226A">
            <w:pPr>
              <w:pStyle w:val="ListParagraph"/>
              <w:numPr>
                <w:ilvl w:val="0"/>
                <w:numId w:val="15"/>
              </w:numPr>
              <w:ind w:left="378"/>
              <w:rPr>
                <w:sz w:val="24"/>
                <w:szCs w:val="24"/>
              </w:rPr>
            </w:pPr>
            <w:r>
              <w:rPr>
                <w:sz w:val="24"/>
                <w:szCs w:val="24"/>
              </w:rPr>
              <w:t>Memo regarding HIV testing of patients &lt;2 years of age—central office will complete required requisition</w:t>
            </w:r>
          </w:p>
        </w:tc>
      </w:tr>
      <w:tr w:rsidR="008F0FC0" w:rsidTr="002F226A">
        <w:tc>
          <w:tcPr>
            <w:tcW w:w="3294" w:type="dxa"/>
            <w:vMerge w:val="restart"/>
            <w:vAlign w:val="center"/>
          </w:tcPr>
          <w:p w:rsidR="008F0FC0" w:rsidRDefault="008F0FC0" w:rsidP="00883440">
            <w:pPr>
              <w:jc w:val="center"/>
              <w:rPr>
                <w:b/>
                <w:sz w:val="24"/>
                <w:szCs w:val="24"/>
              </w:rPr>
            </w:pPr>
            <w:r>
              <w:rPr>
                <w:b/>
                <w:sz w:val="24"/>
                <w:szCs w:val="24"/>
                <w:u w:val="single"/>
              </w:rPr>
              <w:t>Strategy 3</w:t>
            </w:r>
            <w:r>
              <w:rPr>
                <w:b/>
                <w:sz w:val="24"/>
                <w:szCs w:val="24"/>
              </w:rPr>
              <w:t xml:space="preserve">: </w:t>
            </w:r>
          </w:p>
          <w:p w:rsidR="008F0FC0" w:rsidRPr="008F0FC0" w:rsidRDefault="008F0FC0" w:rsidP="00883440">
            <w:pPr>
              <w:jc w:val="center"/>
              <w:rPr>
                <w:sz w:val="24"/>
                <w:szCs w:val="24"/>
              </w:rPr>
            </w:pPr>
            <w:r>
              <w:rPr>
                <w:sz w:val="24"/>
                <w:szCs w:val="24"/>
              </w:rPr>
              <w:t>Contact Investigation</w:t>
            </w:r>
          </w:p>
        </w:tc>
        <w:tc>
          <w:tcPr>
            <w:tcW w:w="3294" w:type="dxa"/>
            <w:vAlign w:val="center"/>
          </w:tcPr>
          <w:p w:rsidR="008F0FC0" w:rsidRPr="008F0FC0" w:rsidRDefault="008F0FC0" w:rsidP="002F226A">
            <w:pPr>
              <w:pStyle w:val="ListParagraph"/>
              <w:numPr>
                <w:ilvl w:val="0"/>
                <w:numId w:val="11"/>
              </w:numPr>
              <w:ind w:left="396"/>
              <w:rPr>
                <w:sz w:val="24"/>
                <w:szCs w:val="24"/>
              </w:rPr>
            </w:pPr>
            <w:r>
              <w:rPr>
                <w:sz w:val="24"/>
                <w:szCs w:val="24"/>
              </w:rPr>
              <w:t>CI activities are initiated and completed promptly</w:t>
            </w:r>
          </w:p>
        </w:tc>
        <w:tc>
          <w:tcPr>
            <w:tcW w:w="3294" w:type="dxa"/>
            <w:vAlign w:val="center"/>
          </w:tcPr>
          <w:p w:rsidR="008F0FC0" w:rsidRPr="00662601" w:rsidRDefault="00662601" w:rsidP="002F226A">
            <w:pPr>
              <w:pStyle w:val="ListParagraph"/>
              <w:numPr>
                <w:ilvl w:val="0"/>
                <w:numId w:val="21"/>
              </w:numPr>
              <w:ind w:left="342"/>
              <w:rPr>
                <w:sz w:val="24"/>
                <w:szCs w:val="24"/>
              </w:rPr>
            </w:pPr>
            <w:r>
              <w:rPr>
                <w:sz w:val="24"/>
                <w:szCs w:val="24"/>
              </w:rPr>
              <w:t>Some regions delayed initiating contact investigations until the clinician ordered a contact investigation in the medical record</w:t>
            </w:r>
          </w:p>
        </w:tc>
        <w:tc>
          <w:tcPr>
            <w:tcW w:w="3294" w:type="dxa"/>
            <w:vAlign w:val="center"/>
          </w:tcPr>
          <w:p w:rsidR="008F0FC0" w:rsidRPr="00662601" w:rsidRDefault="00662601" w:rsidP="002F226A">
            <w:pPr>
              <w:pStyle w:val="ListParagraph"/>
              <w:numPr>
                <w:ilvl w:val="0"/>
                <w:numId w:val="21"/>
              </w:numPr>
              <w:ind w:left="378"/>
              <w:rPr>
                <w:sz w:val="24"/>
                <w:szCs w:val="24"/>
              </w:rPr>
            </w:pPr>
            <w:r>
              <w:rPr>
                <w:sz w:val="24"/>
                <w:szCs w:val="24"/>
              </w:rPr>
              <w:t>Clarify in the TB Manual that a clinician order to initiate a contact investigation was not requirement for initiation.</w:t>
            </w:r>
          </w:p>
        </w:tc>
      </w:tr>
      <w:tr w:rsidR="008F0FC0" w:rsidTr="002F226A">
        <w:tc>
          <w:tcPr>
            <w:tcW w:w="3294" w:type="dxa"/>
            <w:vMerge/>
            <w:vAlign w:val="center"/>
          </w:tcPr>
          <w:p w:rsidR="008F0FC0" w:rsidRDefault="008F0FC0" w:rsidP="00883440">
            <w:pPr>
              <w:jc w:val="center"/>
              <w:rPr>
                <w:b/>
                <w:sz w:val="24"/>
                <w:szCs w:val="24"/>
                <w:u w:val="single"/>
              </w:rPr>
            </w:pPr>
          </w:p>
        </w:tc>
        <w:tc>
          <w:tcPr>
            <w:tcW w:w="3294" w:type="dxa"/>
            <w:vAlign w:val="center"/>
          </w:tcPr>
          <w:p w:rsidR="008F0FC0" w:rsidRDefault="008F0FC0" w:rsidP="002F226A">
            <w:pPr>
              <w:pStyle w:val="ListParagraph"/>
              <w:numPr>
                <w:ilvl w:val="0"/>
                <w:numId w:val="11"/>
              </w:numPr>
              <w:ind w:left="396"/>
              <w:rPr>
                <w:sz w:val="24"/>
                <w:szCs w:val="24"/>
              </w:rPr>
            </w:pPr>
            <w:r>
              <w:rPr>
                <w:sz w:val="24"/>
                <w:szCs w:val="24"/>
              </w:rPr>
              <w:t>Assess reasons for no contacts or low number of contacts</w:t>
            </w:r>
          </w:p>
        </w:tc>
        <w:tc>
          <w:tcPr>
            <w:tcW w:w="3294" w:type="dxa"/>
            <w:vAlign w:val="center"/>
          </w:tcPr>
          <w:p w:rsidR="008F0FC0" w:rsidRPr="00F01343" w:rsidRDefault="0046568B" w:rsidP="0046568B">
            <w:pPr>
              <w:pStyle w:val="ListParagraph"/>
              <w:numPr>
                <w:ilvl w:val="0"/>
                <w:numId w:val="22"/>
              </w:numPr>
              <w:ind w:left="342"/>
              <w:rPr>
                <w:sz w:val="24"/>
                <w:szCs w:val="24"/>
              </w:rPr>
            </w:pPr>
            <w:r>
              <w:rPr>
                <w:sz w:val="24"/>
                <w:szCs w:val="24"/>
              </w:rPr>
              <w:t>Lack of willingness of patient to identify contacts</w:t>
            </w:r>
          </w:p>
        </w:tc>
        <w:tc>
          <w:tcPr>
            <w:tcW w:w="3294" w:type="dxa"/>
            <w:vAlign w:val="center"/>
          </w:tcPr>
          <w:p w:rsidR="008F0FC0" w:rsidRDefault="0046568B" w:rsidP="0046568B">
            <w:pPr>
              <w:pStyle w:val="ListParagraph"/>
              <w:numPr>
                <w:ilvl w:val="0"/>
                <w:numId w:val="22"/>
              </w:numPr>
              <w:ind w:left="378"/>
              <w:rPr>
                <w:sz w:val="24"/>
                <w:szCs w:val="24"/>
              </w:rPr>
            </w:pPr>
            <w:r>
              <w:rPr>
                <w:sz w:val="24"/>
                <w:szCs w:val="24"/>
              </w:rPr>
              <w:t>Utilize different staff for repeat interviews</w:t>
            </w:r>
          </w:p>
          <w:p w:rsidR="0046568B" w:rsidRPr="0046568B" w:rsidRDefault="0046568B" w:rsidP="0046568B">
            <w:pPr>
              <w:pStyle w:val="ListParagraph"/>
              <w:numPr>
                <w:ilvl w:val="0"/>
                <w:numId w:val="22"/>
              </w:numPr>
              <w:ind w:left="378"/>
              <w:rPr>
                <w:sz w:val="24"/>
                <w:szCs w:val="24"/>
              </w:rPr>
            </w:pPr>
            <w:r>
              <w:rPr>
                <w:sz w:val="24"/>
                <w:szCs w:val="24"/>
              </w:rPr>
              <w:t>Collaborate with other programs (i.e., STD and HIV) for co-infected patients to solicit contacts</w:t>
            </w:r>
          </w:p>
        </w:tc>
      </w:tr>
      <w:tr w:rsidR="0046568B" w:rsidTr="0046568B">
        <w:trPr>
          <w:trHeight w:val="1159"/>
        </w:trPr>
        <w:tc>
          <w:tcPr>
            <w:tcW w:w="3294" w:type="dxa"/>
            <w:vMerge w:val="restart"/>
            <w:vAlign w:val="center"/>
          </w:tcPr>
          <w:p w:rsidR="0046568B" w:rsidRDefault="0046568B" w:rsidP="00883440">
            <w:pPr>
              <w:jc w:val="center"/>
              <w:rPr>
                <w:b/>
                <w:sz w:val="24"/>
                <w:szCs w:val="24"/>
              </w:rPr>
            </w:pPr>
            <w:r>
              <w:rPr>
                <w:b/>
                <w:sz w:val="24"/>
                <w:szCs w:val="24"/>
                <w:u w:val="single"/>
              </w:rPr>
              <w:t>Strategy 4</w:t>
            </w:r>
            <w:r>
              <w:rPr>
                <w:b/>
                <w:sz w:val="24"/>
                <w:szCs w:val="24"/>
              </w:rPr>
              <w:t xml:space="preserve">: </w:t>
            </w:r>
          </w:p>
          <w:p w:rsidR="0046568B" w:rsidRPr="008F0FC0" w:rsidRDefault="0046568B" w:rsidP="00883440">
            <w:pPr>
              <w:jc w:val="center"/>
              <w:rPr>
                <w:sz w:val="24"/>
                <w:szCs w:val="24"/>
              </w:rPr>
            </w:pPr>
            <w:r>
              <w:rPr>
                <w:sz w:val="24"/>
                <w:szCs w:val="24"/>
              </w:rPr>
              <w:t>Evaluation of Immigrants and Refugees with TB or LTBI</w:t>
            </w:r>
          </w:p>
        </w:tc>
        <w:tc>
          <w:tcPr>
            <w:tcW w:w="3294" w:type="dxa"/>
            <w:vMerge w:val="restart"/>
            <w:vAlign w:val="center"/>
          </w:tcPr>
          <w:p w:rsidR="0046568B" w:rsidRPr="008F0FC0" w:rsidRDefault="0046568B" w:rsidP="002F226A">
            <w:pPr>
              <w:pStyle w:val="ListParagraph"/>
              <w:numPr>
                <w:ilvl w:val="0"/>
                <w:numId w:val="12"/>
              </w:numPr>
              <w:ind w:left="396"/>
              <w:rPr>
                <w:sz w:val="24"/>
                <w:szCs w:val="24"/>
              </w:rPr>
            </w:pPr>
            <w:r>
              <w:rPr>
                <w:sz w:val="24"/>
                <w:szCs w:val="24"/>
              </w:rPr>
              <w:t>Immigrants and refugees are located promptly and evaluated and treated appropriately</w:t>
            </w:r>
          </w:p>
        </w:tc>
        <w:tc>
          <w:tcPr>
            <w:tcW w:w="3294" w:type="dxa"/>
            <w:vAlign w:val="center"/>
          </w:tcPr>
          <w:p w:rsidR="0046568B" w:rsidRPr="0046568B" w:rsidRDefault="0046568B" w:rsidP="0046568B">
            <w:pPr>
              <w:pStyle w:val="ListParagraph"/>
              <w:numPr>
                <w:ilvl w:val="0"/>
                <w:numId w:val="20"/>
              </w:numPr>
              <w:ind w:left="342"/>
              <w:rPr>
                <w:sz w:val="24"/>
                <w:szCs w:val="24"/>
              </w:rPr>
            </w:pPr>
            <w:r>
              <w:rPr>
                <w:sz w:val="24"/>
                <w:szCs w:val="24"/>
              </w:rPr>
              <w:t>Delays in notification about immigrants and refugees that have arrived in Tennessee</w:t>
            </w:r>
          </w:p>
        </w:tc>
        <w:tc>
          <w:tcPr>
            <w:tcW w:w="3294" w:type="dxa"/>
            <w:vAlign w:val="center"/>
          </w:tcPr>
          <w:p w:rsidR="0046568B" w:rsidRPr="0046568B" w:rsidRDefault="0046568B" w:rsidP="0046568B">
            <w:pPr>
              <w:pStyle w:val="ListParagraph"/>
              <w:numPr>
                <w:ilvl w:val="0"/>
                <w:numId w:val="20"/>
              </w:numPr>
              <w:ind w:left="378"/>
              <w:rPr>
                <w:sz w:val="24"/>
                <w:szCs w:val="24"/>
              </w:rPr>
            </w:pPr>
            <w:r>
              <w:rPr>
                <w:sz w:val="24"/>
                <w:szCs w:val="24"/>
              </w:rPr>
              <w:t>Periodic checks of EDN throughout the day to identify new notifications increase the TAT compared to waiting for the notifications to be sent via email.</w:t>
            </w:r>
          </w:p>
        </w:tc>
      </w:tr>
      <w:tr w:rsidR="0046568B" w:rsidTr="002F226A">
        <w:trPr>
          <w:trHeight w:val="1158"/>
        </w:trPr>
        <w:tc>
          <w:tcPr>
            <w:tcW w:w="3294" w:type="dxa"/>
            <w:vMerge/>
            <w:vAlign w:val="center"/>
          </w:tcPr>
          <w:p w:rsidR="0046568B" w:rsidRDefault="0046568B" w:rsidP="00883440">
            <w:pPr>
              <w:jc w:val="center"/>
              <w:rPr>
                <w:b/>
                <w:sz w:val="24"/>
                <w:szCs w:val="24"/>
                <w:u w:val="single"/>
              </w:rPr>
            </w:pPr>
          </w:p>
        </w:tc>
        <w:tc>
          <w:tcPr>
            <w:tcW w:w="3294" w:type="dxa"/>
            <w:vMerge/>
            <w:vAlign w:val="center"/>
          </w:tcPr>
          <w:p w:rsidR="0046568B" w:rsidRDefault="0046568B" w:rsidP="002F226A">
            <w:pPr>
              <w:pStyle w:val="ListParagraph"/>
              <w:numPr>
                <w:ilvl w:val="0"/>
                <w:numId w:val="12"/>
              </w:numPr>
              <w:ind w:left="396"/>
              <w:rPr>
                <w:sz w:val="24"/>
                <w:szCs w:val="24"/>
              </w:rPr>
            </w:pPr>
          </w:p>
        </w:tc>
        <w:tc>
          <w:tcPr>
            <w:tcW w:w="3294" w:type="dxa"/>
            <w:vAlign w:val="center"/>
          </w:tcPr>
          <w:p w:rsidR="0046568B" w:rsidRDefault="0046568B" w:rsidP="002F226A">
            <w:pPr>
              <w:pStyle w:val="ListParagraph"/>
              <w:numPr>
                <w:ilvl w:val="0"/>
                <w:numId w:val="20"/>
              </w:numPr>
              <w:ind w:left="342"/>
              <w:rPr>
                <w:sz w:val="24"/>
                <w:szCs w:val="24"/>
              </w:rPr>
            </w:pPr>
            <w:r>
              <w:rPr>
                <w:sz w:val="24"/>
                <w:szCs w:val="24"/>
              </w:rPr>
              <w:t>Access to travel to the health department for initial evaluation and follow-up appointments</w:t>
            </w:r>
          </w:p>
        </w:tc>
        <w:tc>
          <w:tcPr>
            <w:tcW w:w="3294" w:type="dxa"/>
            <w:vAlign w:val="center"/>
          </w:tcPr>
          <w:p w:rsidR="0046568B" w:rsidRDefault="0046568B" w:rsidP="0046568B">
            <w:pPr>
              <w:pStyle w:val="ListParagraph"/>
              <w:numPr>
                <w:ilvl w:val="0"/>
                <w:numId w:val="20"/>
              </w:numPr>
              <w:ind w:left="378"/>
              <w:rPr>
                <w:sz w:val="24"/>
                <w:szCs w:val="24"/>
              </w:rPr>
            </w:pPr>
            <w:r>
              <w:rPr>
                <w:sz w:val="24"/>
                <w:szCs w:val="24"/>
              </w:rPr>
              <w:t>Use of incentives and enablers</w:t>
            </w:r>
          </w:p>
        </w:tc>
      </w:tr>
    </w:tbl>
    <w:p w:rsidR="002F226A" w:rsidRDefault="002F226A" w:rsidP="00B07043">
      <w:pPr>
        <w:spacing w:after="0" w:line="240" w:lineRule="auto"/>
        <w:rPr>
          <w:b/>
          <w:sz w:val="24"/>
          <w:szCs w:val="24"/>
          <w:u w:val="single"/>
        </w:rPr>
      </w:pPr>
    </w:p>
    <w:p w:rsidR="002063D8" w:rsidRDefault="00AB13BD" w:rsidP="00B07043">
      <w:pPr>
        <w:spacing w:after="0" w:line="240" w:lineRule="auto"/>
        <w:rPr>
          <w:b/>
          <w:sz w:val="24"/>
          <w:szCs w:val="24"/>
          <w:u w:val="single"/>
        </w:rPr>
      </w:pPr>
      <w:r>
        <w:rPr>
          <w:b/>
          <w:sz w:val="24"/>
          <w:szCs w:val="24"/>
          <w:u w:val="single"/>
        </w:rPr>
        <w:t>PROGRAM EVALUATION</w:t>
      </w:r>
    </w:p>
    <w:p w:rsidR="00A0014F" w:rsidRDefault="00A0014F" w:rsidP="00B07043">
      <w:pPr>
        <w:spacing w:after="0" w:line="240" w:lineRule="auto"/>
        <w:rPr>
          <w:sz w:val="24"/>
          <w:szCs w:val="24"/>
        </w:rPr>
      </w:pPr>
    </w:p>
    <w:p w:rsidR="00BA12D0" w:rsidRPr="00BA12D0" w:rsidRDefault="00BA12D0" w:rsidP="00B07043">
      <w:pPr>
        <w:spacing w:after="0" w:line="240" w:lineRule="auto"/>
        <w:rPr>
          <w:b/>
          <w:sz w:val="24"/>
          <w:szCs w:val="24"/>
        </w:rPr>
      </w:pPr>
      <w:r>
        <w:rPr>
          <w:b/>
          <w:sz w:val="24"/>
          <w:szCs w:val="24"/>
        </w:rPr>
        <w:t xml:space="preserve">Table </w:t>
      </w:r>
      <w:r w:rsidR="0041398C">
        <w:rPr>
          <w:b/>
          <w:sz w:val="24"/>
          <w:szCs w:val="24"/>
        </w:rPr>
        <w:t>9</w:t>
      </w:r>
      <w:r>
        <w:rPr>
          <w:b/>
          <w:sz w:val="24"/>
          <w:szCs w:val="24"/>
        </w:rPr>
        <w:t xml:space="preserve">.  Program Evaluations—Tennessee, 2015 – 2019 </w:t>
      </w:r>
    </w:p>
    <w:tbl>
      <w:tblPr>
        <w:tblStyle w:val="TableGrid"/>
        <w:tblW w:w="0" w:type="auto"/>
        <w:tblLook w:val="04A0" w:firstRow="1" w:lastRow="0" w:firstColumn="1" w:lastColumn="0" w:noHBand="0" w:noVBand="1"/>
      </w:tblPr>
      <w:tblGrid>
        <w:gridCol w:w="1818"/>
        <w:gridCol w:w="3060"/>
        <w:gridCol w:w="3027"/>
        <w:gridCol w:w="2635"/>
        <w:gridCol w:w="2636"/>
      </w:tblGrid>
      <w:tr w:rsidR="00A0014F" w:rsidTr="00A0014F">
        <w:tc>
          <w:tcPr>
            <w:tcW w:w="1818" w:type="dxa"/>
            <w:shd w:val="clear" w:color="auto" w:fill="D9D9D9" w:themeFill="background1" w:themeFillShade="D9"/>
          </w:tcPr>
          <w:p w:rsidR="00A0014F" w:rsidRPr="00A0014F" w:rsidRDefault="00A0014F" w:rsidP="00A0014F">
            <w:pPr>
              <w:jc w:val="center"/>
              <w:rPr>
                <w:b/>
                <w:sz w:val="24"/>
                <w:szCs w:val="24"/>
              </w:rPr>
            </w:pPr>
            <w:r>
              <w:rPr>
                <w:b/>
                <w:sz w:val="24"/>
                <w:szCs w:val="24"/>
              </w:rPr>
              <w:t>Evaluation Years</w:t>
            </w:r>
          </w:p>
        </w:tc>
        <w:tc>
          <w:tcPr>
            <w:tcW w:w="3060" w:type="dxa"/>
            <w:shd w:val="clear" w:color="auto" w:fill="D9D9D9" w:themeFill="background1" w:themeFillShade="D9"/>
          </w:tcPr>
          <w:p w:rsidR="00A0014F" w:rsidRPr="00A0014F" w:rsidRDefault="00A0014F" w:rsidP="00A0014F">
            <w:pPr>
              <w:jc w:val="center"/>
              <w:rPr>
                <w:b/>
                <w:sz w:val="24"/>
                <w:szCs w:val="24"/>
              </w:rPr>
            </w:pPr>
            <w:r>
              <w:rPr>
                <w:b/>
                <w:sz w:val="24"/>
                <w:szCs w:val="24"/>
              </w:rPr>
              <w:t>Evaluation Topic</w:t>
            </w:r>
          </w:p>
        </w:tc>
        <w:tc>
          <w:tcPr>
            <w:tcW w:w="3027" w:type="dxa"/>
            <w:shd w:val="clear" w:color="auto" w:fill="D9D9D9" w:themeFill="background1" w:themeFillShade="D9"/>
          </w:tcPr>
          <w:p w:rsidR="00A0014F" w:rsidRPr="00A0014F" w:rsidRDefault="00A0014F" w:rsidP="00A0014F">
            <w:pPr>
              <w:jc w:val="center"/>
              <w:rPr>
                <w:b/>
                <w:sz w:val="24"/>
                <w:szCs w:val="24"/>
              </w:rPr>
            </w:pPr>
            <w:r>
              <w:rPr>
                <w:b/>
                <w:sz w:val="24"/>
                <w:szCs w:val="24"/>
              </w:rPr>
              <w:t>Objectives and Key Questions</w:t>
            </w:r>
          </w:p>
        </w:tc>
        <w:tc>
          <w:tcPr>
            <w:tcW w:w="2635" w:type="dxa"/>
            <w:shd w:val="clear" w:color="auto" w:fill="D9D9D9" w:themeFill="background1" w:themeFillShade="D9"/>
          </w:tcPr>
          <w:p w:rsidR="00A0014F" w:rsidRPr="00A0014F" w:rsidRDefault="00A0014F" w:rsidP="00A0014F">
            <w:pPr>
              <w:jc w:val="center"/>
              <w:rPr>
                <w:b/>
                <w:sz w:val="24"/>
                <w:szCs w:val="24"/>
              </w:rPr>
            </w:pPr>
            <w:r>
              <w:rPr>
                <w:b/>
                <w:sz w:val="24"/>
                <w:szCs w:val="24"/>
              </w:rPr>
              <w:t>Data Collection and Analysis</w:t>
            </w:r>
          </w:p>
        </w:tc>
        <w:tc>
          <w:tcPr>
            <w:tcW w:w="2636" w:type="dxa"/>
            <w:shd w:val="clear" w:color="auto" w:fill="D9D9D9" w:themeFill="background1" w:themeFillShade="D9"/>
          </w:tcPr>
          <w:p w:rsidR="00A0014F" w:rsidRPr="00A0014F" w:rsidRDefault="00A0014F" w:rsidP="00A0014F">
            <w:pPr>
              <w:jc w:val="center"/>
              <w:rPr>
                <w:b/>
                <w:sz w:val="24"/>
                <w:szCs w:val="24"/>
              </w:rPr>
            </w:pPr>
            <w:r>
              <w:rPr>
                <w:b/>
                <w:sz w:val="24"/>
                <w:szCs w:val="24"/>
              </w:rPr>
              <w:t>Conclusions and Discussion</w:t>
            </w:r>
          </w:p>
        </w:tc>
      </w:tr>
      <w:tr w:rsidR="00D11D53" w:rsidTr="002F226A">
        <w:tc>
          <w:tcPr>
            <w:tcW w:w="1818" w:type="dxa"/>
            <w:vMerge w:val="restart"/>
            <w:vAlign w:val="center"/>
          </w:tcPr>
          <w:p w:rsidR="00D11D53" w:rsidRDefault="00D11D53" w:rsidP="00A0014F">
            <w:pPr>
              <w:jc w:val="center"/>
              <w:rPr>
                <w:sz w:val="24"/>
                <w:szCs w:val="24"/>
              </w:rPr>
            </w:pPr>
            <w:r>
              <w:rPr>
                <w:sz w:val="24"/>
                <w:szCs w:val="24"/>
              </w:rPr>
              <w:t>2015</w:t>
            </w:r>
            <w:r w:rsidR="00C76FF8">
              <w:rPr>
                <w:sz w:val="24"/>
                <w:szCs w:val="24"/>
              </w:rPr>
              <w:t xml:space="preserve"> - 2017</w:t>
            </w:r>
          </w:p>
        </w:tc>
        <w:tc>
          <w:tcPr>
            <w:tcW w:w="3060" w:type="dxa"/>
            <w:vMerge w:val="restart"/>
            <w:vAlign w:val="center"/>
          </w:tcPr>
          <w:p w:rsidR="00D11D53" w:rsidRDefault="00D11D53" w:rsidP="00C76FF8">
            <w:pPr>
              <w:jc w:val="center"/>
              <w:rPr>
                <w:sz w:val="24"/>
                <w:szCs w:val="24"/>
              </w:rPr>
            </w:pPr>
            <w:r>
              <w:rPr>
                <w:sz w:val="24"/>
                <w:szCs w:val="24"/>
              </w:rPr>
              <w:t>Contact Investigation (contacts to sputum AFB smear-positive patients)</w:t>
            </w:r>
          </w:p>
          <w:p w:rsidR="00D11D53" w:rsidRDefault="00D11D53" w:rsidP="00D11D53">
            <w:pPr>
              <w:rPr>
                <w:sz w:val="24"/>
                <w:szCs w:val="24"/>
              </w:rPr>
            </w:pPr>
            <w:r>
              <w:rPr>
                <w:sz w:val="24"/>
                <w:szCs w:val="24"/>
              </w:rPr>
              <w:t xml:space="preserve"> </w:t>
            </w:r>
          </w:p>
        </w:tc>
        <w:tc>
          <w:tcPr>
            <w:tcW w:w="3027" w:type="dxa"/>
            <w:vAlign w:val="center"/>
          </w:tcPr>
          <w:p w:rsidR="00D11D53" w:rsidRDefault="00D11D53" w:rsidP="002F226A">
            <w:pPr>
              <w:rPr>
                <w:sz w:val="24"/>
                <w:szCs w:val="24"/>
              </w:rPr>
            </w:pPr>
            <w:r w:rsidRPr="00D11D53">
              <w:rPr>
                <w:sz w:val="24"/>
                <w:szCs w:val="24"/>
                <w:u w:val="single"/>
              </w:rPr>
              <w:t>Objective 1</w:t>
            </w:r>
            <w:r>
              <w:rPr>
                <w:sz w:val="24"/>
                <w:szCs w:val="24"/>
              </w:rPr>
              <w:t>: Revise current (2015) contact investigation</w:t>
            </w:r>
            <w:r w:rsidR="00AA304B">
              <w:rPr>
                <w:sz w:val="24"/>
                <w:szCs w:val="24"/>
              </w:rPr>
              <w:t xml:space="preserve"> (CI)</w:t>
            </w:r>
            <w:r>
              <w:rPr>
                <w:sz w:val="24"/>
                <w:szCs w:val="24"/>
              </w:rPr>
              <w:t xml:space="preserve"> index case and contact forms</w:t>
            </w:r>
          </w:p>
        </w:tc>
        <w:tc>
          <w:tcPr>
            <w:tcW w:w="2635" w:type="dxa"/>
            <w:vAlign w:val="center"/>
          </w:tcPr>
          <w:p w:rsidR="00D11D53" w:rsidRDefault="00AA304B" w:rsidP="002F226A">
            <w:pPr>
              <w:rPr>
                <w:sz w:val="24"/>
                <w:szCs w:val="24"/>
              </w:rPr>
            </w:pPr>
            <w:r>
              <w:rPr>
                <w:sz w:val="24"/>
                <w:szCs w:val="24"/>
              </w:rPr>
              <w:t xml:space="preserve">Minor changes were made to the contact investigation forms.  The revised CI forms were used as a template to create a contact tracing page in </w:t>
            </w:r>
            <w:r w:rsidR="00C1363E">
              <w:rPr>
                <w:sz w:val="24"/>
                <w:szCs w:val="24"/>
              </w:rPr>
              <w:t>NBS.</w:t>
            </w:r>
          </w:p>
        </w:tc>
        <w:tc>
          <w:tcPr>
            <w:tcW w:w="2636" w:type="dxa"/>
            <w:vAlign w:val="center"/>
          </w:tcPr>
          <w:p w:rsidR="00D11D53" w:rsidRDefault="00AA304B" w:rsidP="002F226A">
            <w:pPr>
              <w:rPr>
                <w:sz w:val="24"/>
                <w:szCs w:val="24"/>
              </w:rPr>
            </w:pPr>
            <w:r>
              <w:rPr>
                <w:sz w:val="24"/>
                <w:szCs w:val="24"/>
              </w:rPr>
              <w:t>With the addition of contact tracing page, contacts that develop TB infection (TB) or active TB disease are now lin</w:t>
            </w:r>
            <w:r w:rsidR="00C1363E">
              <w:rPr>
                <w:sz w:val="24"/>
                <w:szCs w:val="24"/>
              </w:rPr>
              <w:t>ked to source cases within the NBS</w:t>
            </w:r>
            <w:r>
              <w:rPr>
                <w:sz w:val="24"/>
                <w:szCs w:val="24"/>
              </w:rPr>
              <w:t>.</w:t>
            </w:r>
          </w:p>
        </w:tc>
      </w:tr>
      <w:tr w:rsidR="00D11D53" w:rsidTr="002F226A">
        <w:tc>
          <w:tcPr>
            <w:tcW w:w="1818" w:type="dxa"/>
            <w:vMerge/>
            <w:vAlign w:val="center"/>
          </w:tcPr>
          <w:p w:rsidR="00D11D53" w:rsidRDefault="00D11D53" w:rsidP="00A0014F">
            <w:pPr>
              <w:jc w:val="center"/>
              <w:rPr>
                <w:sz w:val="24"/>
                <w:szCs w:val="24"/>
              </w:rPr>
            </w:pPr>
          </w:p>
        </w:tc>
        <w:tc>
          <w:tcPr>
            <w:tcW w:w="3060" w:type="dxa"/>
            <w:vMerge/>
          </w:tcPr>
          <w:p w:rsidR="00D11D53" w:rsidRDefault="00D11D53" w:rsidP="00B07043">
            <w:pPr>
              <w:rPr>
                <w:sz w:val="24"/>
                <w:szCs w:val="24"/>
              </w:rPr>
            </w:pPr>
          </w:p>
        </w:tc>
        <w:tc>
          <w:tcPr>
            <w:tcW w:w="3027" w:type="dxa"/>
            <w:vAlign w:val="center"/>
          </w:tcPr>
          <w:p w:rsidR="00D11D53" w:rsidRPr="00D11D53" w:rsidRDefault="00D11D53" w:rsidP="002F226A">
            <w:pPr>
              <w:rPr>
                <w:sz w:val="24"/>
                <w:szCs w:val="24"/>
              </w:rPr>
            </w:pPr>
            <w:r>
              <w:rPr>
                <w:sz w:val="24"/>
                <w:szCs w:val="24"/>
                <w:u w:val="single"/>
              </w:rPr>
              <w:t>Objective 2</w:t>
            </w:r>
            <w:r>
              <w:rPr>
                <w:sz w:val="24"/>
                <w:szCs w:val="24"/>
              </w:rPr>
              <w:t>: Implement statewide use of the 12-week isoniazid/rifapentine (3HP) regimen</w:t>
            </w:r>
          </w:p>
        </w:tc>
        <w:tc>
          <w:tcPr>
            <w:tcW w:w="2635" w:type="dxa"/>
            <w:vAlign w:val="center"/>
          </w:tcPr>
          <w:p w:rsidR="00D11D53" w:rsidRPr="00F85DA3" w:rsidRDefault="00F85DA3" w:rsidP="002F226A">
            <w:pPr>
              <w:rPr>
                <w:sz w:val="24"/>
                <w:szCs w:val="24"/>
              </w:rPr>
            </w:pPr>
            <w:r>
              <w:rPr>
                <w:sz w:val="24"/>
                <w:szCs w:val="24"/>
              </w:rPr>
              <w:t xml:space="preserve">The TTBEP developed a state-specific medication administration record (MAR) and maintains a database of all patients who initiate 3HP.  </w:t>
            </w:r>
          </w:p>
        </w:tc>
        <w:tc>
          <w:tcPr>
            <w:tcW w:w="2636" w:type="dxa"/>
            <w:vAlign w:val="center"/>
          </w:tcPr>
          <w:p w:rsidR="00D11D53" w:rsidRDefault="00BA12D0" w:rsidP="002F226A">
            <w:pPr>
              <w:rPr>
                <w:sz w:val="24"/>
                <w:szCs w:val="24"/>
              </w:rPr>
            </w:pPr>
            <w:r>
              <w:rPr>
                <w:sz w:val="24"/>
                <w:szCs w:val="24"/>
              </w:rPr>
              <w:t>3HP for use for TB infection (TBI) started in Tennessee on April 1, 2015.</w:t>
            </w:r>
            <w:r w:rsidR="00A97721">
              <w:rPr>
                <w:sz w:val="24"/>
                <w:szCs w:val="24"/>
              </w:rPr>
              <w:t xml:space="preserve">  Changes have been made to the TTBEP 3HP guidance document to allow for the use of off-site directly observed therapy (DOT) (i.e., non-health department site) and electronic DOT (eDOT).</w:t>
            </w:r>
          </w:p>
          <w:p w:rsidR="005F22E3" w:rsidRDefault="005F22E3" w:rsidP="002F226A">
            <w:pPr>
              <w:rPr>
                <w:sz w:val="24"/>
                <w:szCs w:val="24"/>
              </w:rPr>
            </w:pPr>
          </w:p>
        </w:tc>
      </w:tr>
      <w:tr w:rsidR="00D11D53" w:rsidTr="002F226A">
        <w:tc>
          <w:tcPr>
            <w:tcW w:w="1818" w:type="dxa"/>
            <w:vMerge/>
            <w:vAlign w:val="center"/>
          </w:tcPr>
          <w:p w:rsidR="00D11D53" w:rsidRDefault="00D11D53" w:rsidP="00A0014F">
            <w:pPr>
              <w:jc w:val="center"/>
              <w:rPr>
                <w:sz w:val="24"/>
                <w:szCs w:val="24"/>
              </w:rPr>
            </w:pPr>
          </w:p>
        </w:tc>
        <w:tc>
          <w:tcPr>
            <w:tcW w:w="3060" w:type="dxa"/>
            <w:vMerge/>
          </w:tcPr>
          <w:p w:rsidR="00D11D53" w:rsidRDefault="00D11D53" w:rsidP="00B07043">
            <w:pPr>
              <w:rPr>
                <w:sz w:val="24"/>
                <w:szCs w:val="24"/>
              </w:rPr>
            </w:pPr>
          </w:p>
        </w:tc>
        <w:tc>
          <w:tcPr>
            <w:tcW w:w="3027" w:type="dxa"/>
            <w:vAlign w:val="center"/>
          </w:tcPr>
          <w:p w:rsidR="00D11D53" w:rsidRPr="00D11D53" w:rsidRDefault="00D11D53" w:rsidP="002F226A">
            <w:pPr>
              <w:rPr>
                <w:sz w:val="24"/>
                <w:szCs w:val="24"/>
              </w:rPr>
            </w:pPr>
            <w:r>
              <w:rPr>
                <w:sz w:val="24"/>
                <w:szCs w:val="24"/>
                <w:u w:val="single"/>
              </w:rPr>
              <w:t>Objective 3</w:t>
            </w:r>
            <w:r>
              <w:rPr>
                <w:sz w:val="24"/>
                <w:szCs w:val="24"/>
              </w:rPr>
              <w:t>: Statewide implementation of revised contact investigation index case and contact forms</w:t>
            </w:r>
          </w:p>
        </w:tc>
        <w:tc>
          <w:tcPr>
            <w:tcW w:w="2635" w:type="dxa"/>
            <w:vAlign w:val="center"/>
          </w:tcPr>
          <w:p w:rsidR="00D11D53" w:rsidRDefault="00A153F0" w:rsidP="002F226A">
            <w:pPr>
              <w:rPr>
                <w:sz w:val="24"/>
                <w:szCs w:val="24"/>
              </w:rPr>
            </w:pPr>
            <w:r>
              <w:rPr>
                <w:sz w:val="24"/>
                <w:szCs w:val="24"/>
              </w:rPr>
              <w:t>The CI contact form was implemented on January 1, 2015, and the CI index case record was implemented in April 2017.  Completeness of randomly selected contact investigation forms are reviewed annually for each regional TB program.</w:t>
            </w:r>
          </w:p>
        </w:tc>
        <w:tc>
          <w:tcPr>
            <w:tcW w:w="2636" w:type="dxa"/>
            <w:vAlign w:val="center"/>
          </w:tcPr>
          <w:p w:rsidR="00D11D53" w:rsidRDefault="00A153F0" w:rsidP="002F226A">
            <w:pPr>
              <w:rPr>
                <w:sz w:val="24"/>
                <w:szCs w:val="24"/>
              </w:rPr>
            </w:pPr>
            <w:r>
              <w:rPr>
                <w:sz w:val="24"/>
                <w:szCs w:val="24"/>
              </w:rPr>
              <w:t>Annual programmatic assessments of completeness and accuracy of contact investigation forms has increased annually since the implementation of the revised contact investigation forms and implementation of the contact tracing page.</w:t>
            </w:r>
          </w:p>
        </w:tc>
      </w:tr>
      <w:tr w:rsidR="00D11D53" w:rsidTr="002F226A">
        <w:tc>
          <w:tcPr>
            <w:tcW w:w="1818" w:type="dxa"/>
            <w:vMerge/>
            <w:vAlign w:val="center"/>
          </w:tcPr>
          <w:p w:rsidR="00D11D53" w:rsidRDefault="00D11D53" w:rsidP="00A0014F">
            <w:pPr>
              <w:jc w:val="center"/>
              <w:rPr>
                <w:sz w:val="24"/>
                <w:szCs w:val="24"/>
              </w:rPr>
            </w:pPr>
          </w:p>
        </w:tc>
        <w:tc>
          <w:tcPr>
            <w:tcW w:w="3060" w:type="dxa"/>
            <w:vMerge/>
          </w:tcPr>
          <w:p w:rsidR="00D11D53" w:rsidRDefault="00D11D53" w:rsidP="00B07043">
            <w:pPr>
              <w:rPr>
                <w:sz w:val="24"/>
                <w:szCs w:val="24"/>
              </w:rPr>
            </w:pPr>
          </w:p>
        </w:tc>
        <w:tc>
          <w:tcPr>
            <w:tcW w:w="3027" w:type="dxa"/>
            <w:vAlign w:val="center"/>
          </w:tcPr>
          <w:p w:rsidR="00D11D53" w:rsidRPr="00D11D53" w:rsidRDefault="00D11D53" w:rsidP="002F226A">
            <w:pPr>
              <w:rPr>
                <w:sz w:val="24"/>
                <w:szCs w:val="24"/>
              </w:rPr>
            </w:pPr>
            <w:r>
              <w:rPr>
                <w:sz w:val="24"/>
                <w:szCs w:val="24"/>
                <w:u w:val="single"/>
              </w:rPr>
              <w:t>Objective 4</w:t>
            </w:r>
            <w:r>
              <w:rPr>
                <w:sz w:val="24"/>
                <w:szCs w:val="24"/>
              </w:rPr>
              <w:t>: Solicit input from regional TB program staff on revised contact investigation index case and contact forms</w:t>
            </w:r>
          </w:p>
        </w:tc>
        <w:tc>
          <w:tcPr>
            <w:tcW w:w="2635" w:type="dxa"/>
            <w:vAlign w:val="center"/>
          </w:tcPr>
          <w:p w:rsidR="00D11D53" w:rsidRDefault="008374F3" w:rsidP="002F226A">
            <w:pPr>
              <w:rPr>
                <w:sz w:val="24"/>
                <w:szCs w:val="24"/>
              </w:rPr>
            </w:pPr>
            <w:r>
              <w:rPr>
                <w:sz w:val="24"/>
                <w:szCs w:val="24"/>
              </w:rPr>
              <w:t>Regional input was solicited one (1) month after implementation of each of the CI forms.</w:t>
            </w:r>
          </w:p>
        </w:tc>
        <w:tc>
          <w:tcPr>
            <w:tcW w:w="2636" w:type="dxa"/>
            <w:vAlign w:val="center"/>
          </w:tcPr>
          <w:p w:rsidR="00D11D53" w:rsidRDefault="008374F3" w:rsidP="002F226A">
            <w:pPr>
              <w:rPr>
                <w:sz w:val="24"/>
                <w:szCs w:val="24"/>
              </w:rPr>
            </w:pPr>
            <w:r>
              <w:rPr>
                <w:sz w:val="24"/>
                <w:szCs w:val="24"/>
              </w:rPr>
              <w:t>Overall, regional input was positive regarding the revisions to the CI forms.</w:t>
            </w:r>
          </w:p>
        </w:tc>
      </w:tr>
      <w:tr w:rsidR="00D11D53" w:rsidTr="002F226A">
        <w:tc>
          <w:tcPr>
            <w:tcW w:w="1818" w:type="dxa"/>
            <w:vMerge/>
            <w:vAlign w:val="center"/>
          </w:tcPr>
          <w:p w:rsidR="00D11D53" w:rsidRDefault="00D11D53" w:rsidP="00A0014F">
            <w:pPr>
              <w:jc w:val="center"/>
              <w:rPr>
                <w:sz w:val="24"/>
                <w:szCs w:val="24"/>
              </w:rPr>
            </w:pPr>
          </w:p>
        </w:tc>
        <w:tc>
          <w:tcPr>
            <w:tcW w:w="3060" w:type="dxa"/>
            <w:vMerge/>
          </w:tcPr>
          <w:p w:rsidR="00D11D53" w:rsidRDefault="00D11D53" w:rsidP="00B07043">
            <w:pPr>
              <w:rPr>
                <w:sz w:val="24"/>
                <w:szCs w:val="24"/>
              </w:rPr>
            </w:pPr>
          </w:p>
        </w:tc>
        <w:tc>
          <w:tcPr>
            <w:tcW w:w="3027" w:type="dxa"/>
            <w:vAlign w:val="center"/>
          </w:tcPr>
          <w:p w:rsidR="00D11D53" w:rsidRPr="00D11D53" w:rsidRDefault="00D11D53" w:rsidP="002F226A">
            <w:pPr>
              <w:rPr>
                <w:sz w:val="24"/>
                <w:szCs w:val="24"/>
              </w:rPr>
            </w:pPr>
            <w:r>
              <w:rPr>
                <w:sz w:val="24"/>
                <w:szCs w:val="24"/>
                <w:u w:val="single"/>
              </w:rPr>
              <w:t>Key Questions</w:t>
            </w:r>
            <w:r>
              <w:rPr>
                <w:sz w:val="24"/>
                <w:szCs w:val="24"/>
              </w:rPr>
              <w:t>: How many patients initiated the 3HP regimen?  How many completed the 3HP regimen?  How many stopped the 3HP regimen due to other reasons (e.g., adverse events)?</w:t>
            </w:r>
          </w:p>
        </w:tc>
        <w:tc>
          <w:tcPr>
            <w:tcW w:w="2635" w:type="dxa"/>
            <w:vAlign w:val="center"/>
          </w:tcPr>
          <w:p w:rsidR="00D11D53" w:rsidRDefault="00B47508" w:rsidP="002F226A">
            <w:pPr>
              <w:rPr>
                <w:sz w:val="24"/>
                <w:szCs w:val="24"/>
              </w:rPr>
            </w:pPr>
            <w:r>
              <w:rPr>
                <w:sz w:val="24"/>
                <w:szCs w:val="24"/>
              </w:rPr>
              <w:t>Regional TB programs submit and initial MAR when a patient starts 3HP and an “ending” MAR is sent when a patient stops 3HP for any reason.</w:t>
            </w:r>
          </w:p>
        </w:tc>
        <w:tc>
          <w:tcPr>
            <w:tcW w:w="2636" w:type="dxa"/>
            <w:vAlign w:val="center"/>
          </w:tcPr>
          <w:p w:rsidR="00D11D53" w:rsidRPr="00231C32" w:rsidRDefault="00231C32" w:rsidP="002F226A">
            <w:pPr>
              <w:rPr>
                <w:b/>
                <w:sz w:val="24"/>
                <w:szCs w:val="24"/>
              </w:rPr>
            </w:pPr>
            <w:r>
              <w:rPr>
                <w:sz w:val="24"/>
                <w:szCs w:val="24"/>
              </w:rPr>
              <w:t xml:space="preserve">See </w:t>
            </w:r>
            <w:r>
              <w:rPr>
                <w:b/>
                <w:sz w:val="24"/>
                <w:szCs w:val="24"/>
              </w:rPr>
              <w:t xml:space="preserve">Table </w:t>
            </w:r>
            <w:r w:rsidR="00A63AFB">
              <w:rPr>
                <w:b/>
                <w:sz w:val="24"/>
                <w:szCs w:val="24"/>
              </w:rPr>
              <w:t>10</w:t>
            </w:r>
            <w:r w:rsidR="001E1E94">
              <w:rPr>
                <w:b/>
                <w:sz w:val="24"/>
                <w:szCs w:val="24"/>
              </w:rPr>
              <w:t xml:space="preserve">.  </w:t>
            </w:r>
            <w:r w:rsidR="001E1E94" w:rsidRPr="0038770F">
              <w:rPr>
                <w:sz w:val="24"/>
                <w:szCs w:val="24"/>
              </w:rPr>
              <w:t>Tennessee 12-Week Isoniazid/Rifapentine (3HP) Treatment Da</w:t>
            </w:r>
            <w:r w:rsidR="001E1E94">
              <w:rPr>
                <w:b/>
                <w:sz w:val="24"/>
                <w:szCs w:val="24"/>
              </w:rPr>
              <w:t>ta</w:t>
            </w:r>
          </w:p>
        </w:tc>
      </w:tr>
      <w:tr w:rsidR="00544326" w:rsidTr="002F226A">
        <w:tc>
          <w:tcPr>
            <w:tcW w:w="1818" w:type="dxa"/>
            <w:vMerge w:val="restart"/>
            <w:vAlign w:val="center"/>
          </w:tcPr>
          <w:p w:rsidR="00544326" w:rsidRDefault="00544326" w:rsidP="00A0014F">
            <w:pPr>
              <w:jc w:val="center"/>
              <w:rPr>
                <w:sz w:val="24"/>
                <w:szCs w:val="24"/>
              </w:rPr>
            </w:pPr>
            <w:r>
              <w:rPr>
                <w:sz w:val="24"/>
                <w:szCs w:val="24"/>
              </w:rPr>
              <w:t>2017 - 2018</w:t>
            </w:r>
          </w:p>
        </w:tc>
        <w:tc>
          <w:tcPr>
            <w:tcW w:w="3060" w:type="dxa"/>
            <w:vMerge w:val="restart"/>
            <w:vAlign w:val="center"/>
          </w:tcPr>
          <w:p w:rsidR="00544326" w:rsidRDefault="00544326" w:rsidP="00544326">
            <w:pPr>
              <w:jc w:val="center"/>
              <w:rPr>
                <w:sz w:val="24"/>
                <w:szCs w:val="24"/>
              </w:rPr>
            </w:pPr>
            <w:r>
              <w:rPr>
                <w:sz w:val="24"/>
                <w:szCs w:val="24"/>
              </w:rPr>
              <w:t>TB Infection (TBI) Cascade of Care</w:t>
            </w:r>
          </w:p>
        </w:tc>
        <w:tc>
          <w:tcPr>
            <w:tcW w:w="3027" w:type="dxa"/>
            <w:vAlign w:val="center"/>
          </w:tcPr>
          <w:p w:rsidR="00544326" w:rsidRPr="008E6EE5" w:rsidRDefault="00544326" w:rsidP="002F226A">
            <w:pPr>
              <w:rPr>
                <w:sz w:val="24"/>
                <w:szCs w:val="24"/>
              </w:rPr>
            </w:pPr>
            <w:r>
              <w:rPr>
                <w:sz w:val="24"/>
                <w:szCs w:val="24"/>
                <w:u w:val="single"/>
              </w:rPr>
              <w:t>Objective 1</w:t>
            </w:r>
            <w:r>
              <w:rPr>
                <w:sz w:val="24"/>
                <w:szCs w:val="24"/>
              </w:rPr>
              <w:t>: By January 1, 2019, identify those patients with positive QuantiFERON Gold In-Tube or QuantiFERON-Plus (QFT) test result pe</w:t>
            </w:r>
            <w:r w:rsidR="007E771C">
              <w:rPr>
                <w:sz w:val="24"/>
                <w:szCs w:val="24"/>
              </w:rPr>
              <w:t>r</w:t>
            </w:r>
            <w:r>
              <w:rPr>
                <w:sz w:val="24"/>
                <w:szCs w:val="24"/>
              </w:rPr>
              <w:t>formed at the Tennessee Department of Health (TDH) Division of Laboratory Services (TDH State Lab)</w:t>
            </w:r>
          </w:p>
        </w:tc>
        <w:tc>
          <w:tcPr>
            <w:tcW w:w="2635" w:type="dxa"/>
            <w:vAlign w:val="center"/>
          </w:tcPr>
          <w:p w:rsidR="00544326" w:rsidRDefault="007E771C" w:rsidP="002F226A">
            <w:pPr>
              <w:rPr>
                <w:sz w:val="24"/>
                <w:szCs w:val="24"/>
              </w:rPr>
            </w:pPr>
            <w:r>
              <w:rPr>
                <w:sz w:val="24"/>
                <w:szCs w:val="24"/>
              </w:rPr>
              <w:t xml:space="preserve">An extract was created from the state lab StarLIMS system of all QFT specimens processed for a determined time period. </w:t>
            </w:r>
          </w:p>
        </w:tc>
        <w:tc>
          <w:tcPr>
            <w:tcW w:w="2636" w:type="dxa"/>
            <w:vAlign w:val="center"/>
          </w:tcPr>
          <w:p w:rsidR="00544326" w:rsidRDefault="002E39E3" w:rsidP="002F226A">
            <w:pPr>
              <w:rPr>
                <w:sz w:val="24"/>
                <w:szCs w:val="24"/>
              </w:rPr>
            </w:pPr>
            <w:r>
              <w:rPr>
                <w:sz w:val="24"/>
                <w:szCs w:val="24"/>
              </w:rPr>
              <w:t xml:space="preserve">In 2018, there were 815 patients with a positive QFT result collected by a health department in Tennessee.  </w:t>
            </w:r>
            <w:r w:rsidRPr="00A63AFB">
              <w:rPr>
                <w:sz w:val="24"/>
                <w:szCs w:val="24"/>
                <w:highlight w:val="yellow"/>
              </w:rPr>
              <w:t>Add 2019 data.</w:t>
            </w:r>
          </w:p>
        </w:tc>
      </w:tr>
      <w:tr w:rsidR="00544326" w:rsidTr="002F226A">
        <w:tc>
          <w:tcPr>
            <w:tcW w:w="1818" w:type="dxa"/>
            <w:vMerge/>
            <w:vAlign w:val="center"/>
          </w:tcPr>
          <w:p w:rsidR="00544326" w:rsidRDefault="00544326" w:rsidP="00A0014F">
            <w:pPr>
              <w:jc w:val="center"/>
              <w:rPr>
                <w:sz w:val="24"/>
                <w:szCs w:val="24"/>
              </w:rPr>
            </w:pPr>
          </w:p>
        </w:tc>
        <w:tc>
          <w:tcPr>
            <w:tcW w:w="3060" w:type="dxa"/>
            <w:vMerge/>
          </w:tcPr>
          <w:p w:rsidR="00544326" w:rsidRDefault="00544326" w:rsidP="00B07043">
            <w:pPr>
              <w:rPr>
                <w:sz w:val="24"/>
                <w:szCs w:val="24"/>
              </w:rPr>
            </w:pPr>
          </w:p>
        </w:tc>
        <w:tc>
          <w:tcPr>
            <w:tcW w:w="3027" w:type="dxa"/>
            <w:vAlign w:val="center"/>
          </w:tcPr>
          <w:p w:rsidR="00544326" w:rsidRPr="008E6EE5" w:rsidRDefault="00544326" w:rsidP="002F226A">
            <w:pPr>
              <w:rPr>
                <w:sz w:val="24"/>
                <w:szCs w:val="24"/>
              </w:rPr>
            </w:pPr>
            <w:r>
              <w:rPr>
                <w:sz w:val="24"/>
                <w:szCs w:val="24"/>
                <w:u w:val="single"/>
              </w:rPr>
              <w:t>Objective 2</w:t>
            </w:r>
            <w:r>
              <w:rPr>
                <w:sz w:val="24"/>
                <w:szCs w:val="24"/>
              </w:rPr>
              <w:t>: By February 2019, compile a dataset of individuals diagnosed with TB infection (TBI) at local and regional health departments in Tennessee.</w:t>
            </w:r>
          </w:p>
        </w:tc>
        <w:tc>
          <w:tcPr>
            <w:tcW w:w="2635" w:type="dxa"/>
            <w:vAlign w:val="center"/>
          </w:tcPr>
          <w:p w:rsidR="00544326" w:rsidRDefault="007E771C" w:rsidP="002F226A">
            <w:pPr>
              <w:rPr>
                <w:sz w:val="24"/>
                <w:szCs w:val="24"/>
              </w:rPr>
            </w:pPr>
            <w:r>
              <w:rPr>
                <w:sz w:val="24"/>
                <w:szCs w:val="24"/>
              </w:rPr>
              <w:t>A data extract was developed to extract TBI case information from the Tennessee TB surveillance system</w:t>
            </w:r>
            <w:r w:rsidR="00A63AFB">
              <w:rPr>
                <w:sz w:val="24"/>
                <w:szCs w:val="24"/>
              </w:rPr>
              <w:t xml:space="preserve">.  </w:t>
            </w:r>
          </w:p>
        </w:tc>
        <w:tc>
          <w:tcPr>
            <w:tcW w:w="2636" w:type="dxa"/>
            <w:vAlign w:val="center"/>
          </w:tcPr>
          <w:p w:rsidR="00544326" w:rsidRDefault="002E39E3" w:rsidP="002F226A">
            <w:pPr>
              <w:rPr>
                <w:sz w:val="24"/>
                <w:szCs w:val="24"/>
              </w:rPr>
            </w:pPr>
            <w:r>
              <w:rPr>
                <w:sz w:val="24"/>
                <w:szCs w:val="24"/>
              </w:rPr>
              <w:t xml:space="preserve">In 2018, there were 1,146 TBI investigations for </w:t>
            </w:r>
            <w:r w:rsidRPr="00405936">
              <w:rPr>
                <w:sz w:val="24"/>
                <w:szCs w:val="24"/>
              </w:rPr>
              <w:t>1</w:t>
            </w:r>
            <w:r>
              <w:rPr>
                <w:sz w:val="24"/>
                <w:szCs w:val="24"/>
              </w:rPr>
              <w:t>,138</w:t>
            </w:r>
            <w:r w:rsidRPr="00405936">
              <w:rPr>
                <w:sz w:val="24"/>
                <w:szCs w:val="24"/>
              </w:rPr>
              <w:t xml:space="preserve"> patients. </w:t>
            </w:r>
            <w:r>
              <w:rPr>
                <w:sz w:val="24"/>
                <w:szCs w:val="24"/>
              </w:rPr>
              <w:t>In 2019, there were 962 TBI investigations for 954 patients.</w:t>
            </w:r>
          </w:p>
        </w:tc>
      </w:tr>
      <w:tr w:rsidR="00544326" w:rsidTr="002F226A">
        <w:tc>
          <w:tcPr>
            <w:tcW w:w="1818" w:type="dxa"/>
            <w:vMerge/>
            <w:vAlign w:val="center"/>
          </w:tcPr>
          <w:p w:rsidR="00544326" w:rsidRDefault="00544326" w:rsidP="00A0014F">
            <w:pPr>
              <w:jc w:val="center"/>
              <w:rPr>
                <w:sz w:val="24"/>
                <w:szCs w:val="24"/>
              </w:rPr>
            </w:pPr>
          </w:p>
        </w:tc>
        <w:tc>
          <w:tcPr>
            <w:tcW w:w="3060" w:type="dxa"/>
            <w:vMerge/>
          </w:tcPr>
          <w:p w:rsidR="00544326" w:rsidRDefault="00544326" w:rsidP="00B07043">
            <w:pPr>
              <w:rPr>
                <w:sz w:val="24"/>
                <w:szCs w:val="24"/>
              </w:rPr>
            </w:pPr>
          </w:p>
        </w:tc>
        <w:tc>
          <w:tcPr>
            <w:tcW w:w="3027" w:type="dxa"/>
            <w:vAlign w:val="center"/>
          </w:tcPr>
          <w:p w:rsidR="00544326" w:rsidRPr="00723165" w:rsidRDefault="00544326" w:rsidP="002F226A">
            <w:pPr>
              <w:rPr>
                <w:sz w:val="24"/>
                <w:szCs w:val="24"/>
              </w:rPr>
            </w:pPr>
            <w:r>
              <w:rPr>
                <w:sz w:val="24"/>
                <w:szCs w:val="24"/>
                <w:u w:val="single"/>
              </w:rPr>
              <w:t>Objective 3</w:t>
            </w:r>
            <w:r>
              <w:rPr>
                <w:sz w:val="24"/>
                <w:szCs w:val="24"/>
              </w:rPr>
              <w:t>: By June 2019, identify the patients that initiate treatment for TBI and identify regimens used by public health for treatment of TBI as well as the completion of treatment rates for the cohort on each regimen.</w:t>
            </w:r>
          </w:p>
        </w:tc>
        <w:tc>
          <w:tcPr>
            <w:tcW w:w="2635" w:type="dxa"/>
            <w:vAlign w:val="center"/>
          </w:tcPr>
          <w:p w:rsidR="00544326" w:rsidRDefault="002E39E3" w:rsidP="002F226A">
            <w:pPr>
              <w:rPr>
                <w:sz w:val="24"/>
                <w:szCs w:val="24"/>
              </w:rPr>
            </w:pPr>
            <w:r>
              <w:rPr>
                <w:sz w:val="24"/>
                <w:szCs w:val="24"/>
              </w:rPr>
              <w:t>Use TBI data extract from surveillance system to identify patients confirmed by public health as TBI and stratify by type of regimen started and completed.</w:t>
            </w:r>
          </w:p>
        </w:tc>
        <w:tc>
          <w:tcPr>
            <w:tcW w:w="2636" w:type="dxa"/>
            <w:vAlign w:val="center"/>
          </w:tcPr>
          <w:p w:rsidR="00544326" w:rsidRDefault="002E39E3" w:rsidP="002F226A">
            <w:pPr>
              <w:rPr>
                <w:sz w:val="24"/>
                <w:szCs w:val="24"/>
              </w:rPr>
            </w:pPr>
            <w:r>
              <w:rPr>
                <w:sz w:val="24"/>
                <w:szCs w:val="24"/>
              </w:rPr>
              <w:t xml:space="preserve">In 2018, 954 patients started treatment for TBI.  Of those 954, 714 (74.8%) completed treatment.  </w:t>
            </w:r>
            <w:r w:rsidR="00653058">
              <w:rPr>
                <w:sz w:val="24"/>
                <w:szCs w:val="24"/>
              </w:rPr>
              <w:t>Due to limitations of the state surveillance system, the individual regimen for each patiently is not easily obtained through the extract that was developed.  Additional work is continuing.</w:t>
            </w:r>
          </w:p>
        </w:tc>
      </w:tr>
      <w:tr w:rsidR="00944439" w:rsidTr="002F226A">
        <w:tc>
          <w:tcPr>
            <w:tcW w:w="1818" w:type="dxa"/>
            <w:vMerge/>
            <w:vAlign w:val="center"/>
          </w:tcPr>
          <w:p w:rsidR="00944439" w:rsidRDefault="00944439" w:rsidP="00A0014F">
            <w:pPr>
              <w:jc w:val="center"/>
              <w:rPr>
                <w:sz w:val="24"/>
                <w:szCs w:val="24"/>
              </w:rPr>
            </w:pPr>
          </w:p>
        </w:tc>
        <w:tc>
          <w:tcPr>
            <w:tcW w:w="3060" w:type="dxa"/>
            <w:vMerge/>
          </w:tcPr>
          <w:p w:rsidR="00944439" w:rsidRDefault="00944439" w:rsidP="00B07043">
            <w:pPr>
              <w:rPr>
                <w:sz w:val="24"/>
                <w:szCs w:val="24"/>
              </w:rPr>
            </w:pPr>
          </w:p>
        </w:tc>
        <w:tc>
          <w:tcPr>
            <w:tcW w:w="3027" w:type="dxa"/>
            <w:vAlign w:val="center"/>
          </w:tcPr>
          <w:p w:rsidR="00944439" w:rsidRPr="00FC6F61" w:rsidRDefault="00944439" w:rsidP="002F226A">
            <w:pPr>
              <w:rPr>
                <w:sz w:val="24"/>
                <w:szCs w:val="24"/>
              </w:rPr>
            </w:pPr>
            <w:r>
              <w:rPr>
                <w:sz w:val="24"/>
                <w:szCs w:val="24"/>
                <w:u w:val="single"/>
              </w:rPr>
              <w:t>Objective 4</w:t>
            </w:r>
            <w:r>
              <w:rPr>
                <w:sz w:val="24"/>
                <w:szCs w:val="24"/>
              </w:rPr>
              <w:t>: By December 2019, develop a brief survey that would be administered to patients that refuse treatment to identify the reason(s) why patients refuse treatment.</w:t>
            </w:r>
          </w:p>
        </w:tc>
        <w:tc>
          <w:tcPr>
            <w:tcW w:w="5271" w:type="dxa"/>
            <w:gridSpan w:val="2"/>
            <w:vMerge w:val="restart"/>
            <w:vAlign w:val="center"/>
          </w:tcPr>
          <w:p w:rsidR="00944439" w:rsidRDefault="00944439" w:rsidP="002F226A">
            <w:pPr>
              <w:rPr>
                <w:sz w:val="24"/>
                <w:szCs w:val="24"/>
              </w:rPr>
            </w:pPr>
            <w:r>
              <w:rPr>
                <w:sz w:val="24"/>
                <w:szCs w:val="24"/>
              </w:rPr>
              <w:t>Due to staffing issues at the two largest metropolitan regions that account for a large number of patients with TBI, it was decided that administering a survey to patients would be an added burden and was not pursued.</w:t>
            </w:r>
          </w:p>
        </w:tc>
      </w:tr>
      <w:tr w:rsidR="00944439" w:rsidTr="002F226A">
        <w:tc>
          <w:tcPr>
            <w:tcW w:w="1818" w:type="dxa"/>
            <w:vMerge/>
            <w:vAlign w:val="center"/>
          </w:tcPr>
          <w:p w:rsidR="00944439" w:rsidRDefault="00944439" w:rsidP="00A0014F">
            <w:pPr>
              <w:jc w:val="center"/>
              <w:rPr>
                <w:sz w:val="24"/>
                <w:szCs w:val="24"/>
              </w:rPr>
            </w:pPr>
          </w:p>
        </w:tc>
        <w:tc>
          <w:tcPr>
            <w:tcW w:w="3060" w:type="dxa"/>
            <w:vMerge/>
          </w:tcPr>
          <w:p w:rsidR="00944439" w:rsidRDefault="00944439" w:rsidP="00B07043">
            <w:pPr>
              <w:rPr>
                <w:sz w:val="24"/>
                <w:szCs w:val="24"/>
              </w:rPr>
            </w:pPr>
          </w:p>
        </w:tc>
        <w:tc>
          <w:tcPr>
            <w:tcW w:w="3027" w:type="dxa"/>
            <w:vAlign w:val="center"/>
          </w:tcPr>
          <w:p w:rsidR="00944439" w:rsidRPr="00FC6F61" w:rsidRDefault="00944439" w:rsidP="002F226A">
            <w:pPr>
              <w:rPr>
                <w:sz w:val="24"/>
                <w:szCs w:val="24"/>
              </w:rPr>
            </w:pPr>
            <w:r>
              <w:rPr>
                <w:sz w:val="24"/>
                <w:szCs w:val="24"/>
                <w:u w:val="single"/>
              </w:rPr>
              <w:t>Objective 5</w:t>
            </w:r>
            <w:r>
              <w:rPr>
                <w:sz w:val="24"/>
                <w:szCs w:val="24"/>
              </w:rPr>
              <w:t>: By December 2019, develop a brief survey that would be administered to patients that chose to stop treatment of TBI prior to completion to determine reason(s) by they chose to stop.</w:t>
            </w:r>
          </w:p>
        </w:tc>
        <w:tc>
          <w:tcPr>
            <w:tcW w:w="5271" w:type="dxa"/>
            <w:gridSpan w:val="2"/>
            <w:vMerge/>
          </w:tcPr>
          <w:p w:rsidR="00944439" w:rsidRDefault="00944439" w:rsidP="00B07043">
            <w:pPr>
              <w:rPr>
                <w:sz w:val="24"/>
                <w:szCs w:val="24"/>
              </w:rPr>
            </w:pPr>
          </w:p>
        </w:tc>
      </w:tr>
      <w:tr w:rsidR="00544326" w:rsidTr="002F226A">
        <w:tc>
          <w:tcPr>
            <w:tcW w:w="1818" w:type="dxa"/>
            <w:vMerge/>
            <w:vAlign w:val="center"/>
          </w:tcPr>
          <w:p w:rsidR="00544326" w:rsidRDefault="00544326" w:rsidP="00A0014F">
            <w:pPr>
              <w:jc w:val="center"/>
              <w:rPr>
                <w:sz w:val="24"/>
                <w:szCs w:val="24"/>
              </w:rPr>
            </w:pPr>
          </w:p>
        </w:tc>
        <w:tc>
          <w:tcPr>
            <w:tcW w:w="3060" w:type="dxa"/>
            <w:vMerge/>
          </w:tcPr>
          <w:p w:rsidR="00544326" w:rsidRDefault="00544326" w:rsidP="00B07043">
            <w:pPr>
              <w:rPr>
                <w:sz w:val="24"/>
                <w:szCs w:val="24"/>
              </w:rPr>
            </w:pPr>
          </w:p>
        </w:tc>
        <w:tc>
          <w:tcPr>
            <w:tcW w:w="3027" w:type="dxa"/>
            <w:vAlign w:val="center"/>
          </w:tcPr>
          <w:p w:rsidR="00544326" w:rsidRPr="00FC6F61" w:rsidRDefault="00544326" w:rsidP="002F226A">
            <w:pPr>
              <w:rPr>
                <w:sz w:val="24"/>
                <w:szCs w:val="24"/>
              </w:rPr>
            </w:pPr>
            <w:r>
              <w:rPr>
                <w:sz w:val="24"/>
                <w:szCs w:val="24"/>
                <w:u w:val="single"/>
              </w:rPr>
              <w:t>Objective 6</w:t>
            </w:r>
            <w:r>
              <w:rPr>
                <w:sz w:val="24"/>
                <w:szCs w:val="24"/>
              </w:rPr>
              <w:t xml:space="preserve">: By January 2020, begin outreach to private providers that have reported positive </w:t>
            </w:r>
            <w:r w:rsidR="002E39E3">
              <w:rPr>
                <w:sz w:val="24"/>
                <w:szCs w:val="24"/>
              </w:rPr>
              <w:t xml:space="preserve">IGRA </w:t>
            </w:r>
            <w:r>
              <w:rPr>
                <w:sz w:val="24"/>
                <w:szCs w:val="24"/>
              </w:rPr>
              <w:t xml:space="preserve">or positive </w:t>
            </w:r>
            <w:r w:rsidR="002E39E3">
              <w:rPr>
                <w:sz w:val="24"/>
                <w:szCs w:val="24"/>
              </w:rPr>
              <w:t>TST</w:t>
            </w:r>
            <w:r>
              <w:rPr>
                <w:sz w:val="24"/>
                <w:szCs w:val="24"/>
              </w:rPr>
              <w:t xml:space="preserve"> results to evaluate TBI regimens used (if treating).</w:t>
            </w:r>
          </w:p>
        </w:tc>
        <w:tc>
          <w:tcPr>
            <w:tcW w:w="2635" w:type="dxa"/>
            <w:vAlign w:val="center"/>
          </w:tcPr>
          <w:p w:rsidR="00544326" w:rsidRDefault="00D70495" w:rsidP="002F226A">
            <w:pPr>
              <w:rPr>
                <w:sz w:val="24"/>
                <w:szCs w:val="24"/>
              </w:rPr>
            </w:pPr>
            <w:r>
              <w:rPr>
                <w:sz w:val="24"/>
                <w:szCs w:val="24"/>
              </w:rPr>
              <w:t>In 2017, positive IGRA results and positive TST results (for patients &lt;18 years of age) were added to the Tennessee Reportable Conditions list.</w:t>
            </w:r>
          </w:p>
        </w:tc>
        <w:tc>
          <w:tcPr>
            <w:tcW w:w="2636" w:type="dxa"/>
            <w:vAlign w:val="center"/>
          </w:tcPr>
          <w:p w:rsidR="00544326" w:rsidRDefault="002E39E3" w:rsidP="002F226A">
            <w:pPr>
              <w:rPr>
                <w:sz w:val="24"/>
                <w:szCs w:val="24"/>
              </w:rPr>
            </w:pPr>
            <w:r>
              <w:rPr>
                <w:sz w:val="24"/>
                <w:szCs w:val="24"/>
              </w:rPr>
              <w:t>Positive tests reported by year:</w:t>
            </w:r>
          </w:p>
          <w:p w:rsidR="002E39E3" w:rsidRDefault="002E39E3" w:rsidP="002F226A">
            <w:pPr>
              <w:rPr>
                <w:sz w:val="24"/>
                <w:szCs w:val="24"/>
              </w:rPr>
            </w:pPr>
            <w:r>
              <w:rPr>
                <w:sz w:val="24"/>
                <w:szCs w:val="24"/>
              </w:rPr>
              <w:t>2017: 526</w:t>
            </w:r>
          </w:p>
          <w:p w:rsidR="002E39E3" w:rsidRDefault="002E39E3" w:rsidP="002F226A">
            <w:pPr>
              <w:rPr>
                <w:sz w:val="24"/>
                <w:szCs w:val="24"/>
              </w:rPr>
            </w:pPr>
            <w:r>
              <w:rPr>
                <w:sz w:val="24"/>
                <w:szCs w:val="24"/>
              </w:rPr>
              <w:t>2018: 225</w:t>
            </w:r>
          </w:p>
          <w:p w:rsidR="002E39E3" w:rsidRDefault="002E39E3" w:rsidP="002F226A">
            <w:pPr>
              <w:rPr>
                <w:sz w:val="24"/>
                <w:szCs w:val="24"/>
              </w:rPr>
            </w:pPr>
            <w:r>
              <w:rPr>
                <w:sz w:val="24"/>
                <w:szCs w:val="24"/>
              </w:rPr>
              <w:t>2019: 566</w:t>
            </w:r>
          </w:p>
        </w:tc>
      </w:tr>
    </w:tbl>
    <w:p w:rsidR="00A0014F" w:rsidRDefault="00A0014F" w:rsidP="00B07043">
      <w:pPr>
        <w:spacing w:after="0" w:line="240" w:lineRule="auto"/>
        <w:rPr>
          <w:sz w:val="24"/>
          <w:szCs w:val="24"/>
        </w:rPr>
      </w:pPr>
    </w:p>
    <w:p w:rsidR="00231C32" w:rsidRDefault="00231C32" w:rsidP="00B07043">
      <w:pPr>
        <w:spacing w:after="0" w:line="240" w:lineRule="auto"/>
        <w:rPr>
          <w:b/>
          <w:sz w:val="24"/>
          <w:szCs w:val="24"/>
        </w:rPr>
      </w:pPr>
      <w:r>
        <w:rPr>
          <w:b/>
          <w:sz w:val="24"/>
          <w:szCs w:val="24"/>
        </w:rPr>
        <w:t xml:space="preserve">Table </w:t>
      </w:r>
      <w:r w:rsidR="0041398C">
        <w:rPr>
          <w:b/>
          <w:sz w:val="24"/>
          <w:szCs w:val="24"/>
        </w:rPr>
        <w:t>10</w:t>
      </w:r>
      <w:r>
        <w:rPr>
          <w:b/>
          <w:sz w:val="24"/>
          <w:szCs w:val="24"/>
        </w:rPr>
        <w:t>.  Tennessee 12-Week Isoniazid/Rifapentine (3HP) Treatment Data</w:t>
      </w:r>
    </w:p>
    <w:tbl>
      <w:tblPr>
        <w:tblStyle w:val="TableGrid"/>
        <w:tblW w:w="0" w:type="auto"/>
        <w:tblLook w:val="04A0" w:firstRow="1" w:lastRow="0" w:firstColumn="1" w:lastColumn="0" w:noHBand="0" w:noVBand="1"/>
      </w:tblPr>
      <w:tblGrid>
        <w:gridCol w:w="1882"/>
        <w:gridCol w:w="1882"/>
        <w:gridCol w:w="1882"/>
        <w:gridCol w:w="1882"/>
        <w:gridCol w:w="1882"/>
        <w:gridCol w:w="1883"/>
        <w:gridCol w:w="1883"/>
      </w:tblGrid>
      <w:tr w:rsidR="00231C32" w:rsidTr="0041398C">
        <w:tc>
          <w:tcPr>
            <w:tcW w:w="1882" w:type="dxa"/>
            <w:vMerge w:val="restart"/>
            <w:shd w:val="clear" w:color="auto" w:fill="BFBFBF" w:themeFill="background1" w:themeFillShade="BF"/>
            <w:vAlign w:val="center"/>
          </w:tcPr>
          <w:p w:rsidR="00231C32" w:rsidRPr="00F85DA3" w:rsidRDefault="00231C32" w:rsidP="0041398C">
            <w:pPr>
              <w:jc w:val="center"/>
              <w:rPr>
                <w:b/>
                <w:sz w:val="24"/>
                <w:szCs w:val="24"/>
              </w:rPr>
            </w:pPr>
            <w:r>
              <w:rPr>
                <w:b/>
                <w:sz w:val="24"/>
                <w:szCs w:val="24"/>
              </w:rPr>
              <w:t>Year</w:t>
            </w:r>
          </w:p>
        </w:tc>
        <w:tc>
          <w:tcPr>
            <w:tcW w:w="1882" w:type="dxa"/>
            <w:vMerge w:val="restart"/>
            <w:shd w:val="clear" w:color="auto" w:fill="BFBFBF" w:themeFill="background1" w:themeFillShade="BF"/>
            <w:vAlign w:val="center"/>
          </w:tcPr>
          <w:p w:rsidR="00231C32" w:rsidRPr="00F85DA3" w:rsidRDefault="00231C32" w:rsidP="0041398C">
            <w:pPr>
              <w:jc w:val="center"/>
              <w:rPr>
                <w:b/>
                <w:sz w:val="24"/>
                <w:szCs w:val="24"/>
              </w:rPr>
            </w:pPr>
            <w:r>
              <w:rPr>
                <w:b/>
                <w:sz w:val="24"/>
                <w:szCs w:val="24"/>
              </w:rPr>
              <w:t>Number Initiated 3HP</w:t>
            </w:r>
          </w:p>
        </w:tc>
        <w:tc>
          <w:tcPr>
            <w:tcW w:w="9412" w:type="dxa"/>
            <w:gridSpan w:val="5"/>
            <w:tcBorders>
              <w:bottom w:val="single" w:sz="4" w:space="0" w:color="auto"/>
            </w:tcBorders>
            <w:shd w:val="clear" w:color="auto" w:fill="BFBFBF" w:themeFill="background1" w:themeFillShade="BF"/>
            <w:vAlign w:val="center"/>
          </w:tcPr>
          <w:p w:rsidR="00231C32" w:rsidRPr="00F85DA3" w:rsidRDefault="00231C32" w:rsidP="0041398C">
            <w:pPr>
              <w:jc w:val="center"/>
              <w:rPr>
                <w:b/>
                <w:sz w:val="24"/>
                <w:szCs w:val="24"/>
              </w:rPr>
            </w:pPr>
            <w:r>
              <w:rPr>
                <w:b/>
                <w:sz w:val="24"/>
                <w:szCs w:val="24"/>
              </w:rPr>
              <w:t>Reason Therapy Stopped</w:t>
            </w:r>
          </w:p>
        </w:tc>
      </w:tr>
      <w:tr w:rsidR="00231C32" w:rsidTr="0041398C">
        <w:tc>
          <w:tcPr>
            <w:tcW w:w="1882" w:type="dxa"/>
            <w:vMerge/>
            <w:shd w:val="clear" w:color="auto" w:fill="BFBFBF" w:themeFill="background1" w:themeFillShade="BF"/>
            <w:vAlign w:val="center"/>
          </w:tcPr>
          <w:p w:rsidR="00231C32" w:rsidRDefault="00231C32" w:rsidP="0041398C">
            <w:pPr>
              <w:jc w:val="center"/>
              <w:rPr>
                <w:sz w:val="24"/>
                <w:szCs w:val="24"/>
              </w:rPr>
            </w:pPr>
          </w:p>
        </w:tc>
        <w:tc>
          <w:tcPr>
            <w:tcW w:w="1882" w:type="dxa"/>
            <w:vMerge/>
            <w:shd w:val="clear" w:color="auto" w:fill="BFBFBF" w:themeFill="background1" w:themeFillShade="BF"/>
            <w:vAlign w:val="center"/>
          </w:tcPr>
          <w:p w:rsidR="00231C32" w:rsidRDefault="00231C32" w:rsidP="0041398C">
            <w:pPr>
              <w:jc w:val="center"/>
              <w:rPr>
                <w:sz w:val="24"/>
                <w:szCs w:val="24"/>
              </w:rPr>
            </w:pPr>
          </w:p>
        </w:tc>
        <w:tc>
          <w:tcPr>
            <w:tcW w:w="1882" w:type="dxa"/>
            <w:shd w:val="clear" w:color="auto" w:fill="D9D9D9" w:themeFill="background1" w:themeFillShade="D9"/>
            <w:vAlign w:val="center"/>
          </w:tcPr>
          <w:p w:rsidR="00231C32" w:rsidRPr="00F85DA3" w:rsidRDefault="00231C32" w:rsidP="0041398C">
            <w:pPr>
              <w:jc w:val="center"/>
              <w:rPr>
                <w:b/>
                <w:sz w:val="24"/>
                <w:szCs w:val="24"/>
              </w:rPr>
            </w:pPr>
            <w:r w:rsidRPr="00F85DA3">
              <w:rPr>
                <w:b/>
                <w:sz w:val="24"/>
                <w:szCs w:val="24"/>
              </w:rPr>
              <w:t>Completed Therapy</w:t>
            </w:r>
            <w:r>
              <w:rPr>
                <w:b/>
                <w:sz w:val="24"/>
                <w:szCs w:val="24"/>
              </w:rPr>
              <w:t xml:space="preserve"> (%)</w:t>
            </w:r>
          </w:p>
        </w:tc>
        <w:tc>
          <w:tcPr>
            <w:tcW w:w="1882" w:type="dxa"/>
            <w:shd w:val="clear" w:color="auto" w:fill="D9D9D9" w:themeFill="background1" w:themeFillShade="D9"/>
            <w:vAlign w:val="center"/>
          </w:tcPr>
          <w:p w:rsidR="00231C32" w:rsidRPr="00F85DA3" w:rsidRDefault="00231C32" w:rsidP="0041398C">
            <w:pPr>
              <w:jc w:val="center"/>
              <w:rPr>
                <w:b/>
                <w:sz w:val="24"/>
                <w:szCs w:val="24"/>
              </w:rPr>
            </w:pPr>
            <w:r>
              <w:rPr>
                <w:b/>
                <w:sz w:val="24"/>
                <w:szCs w:val="24"/>
              </w:rPr>
              <w:t>Adverse Event (%)</w:t>
            </w:r>
          </w:p>
        </w:tc>
        <w:tc>
          <w:tcPr>
            <w:tcW w:w="1882" w:type="dxa"/>
            <w:shd w:val="clear" w:color="auto" w:fill="D9D9D9" w:themeFill="background1" w:themeFillShade="D9"/>
            <w:vAlign w:val="center"/>
          </w:tcPr>
          <w:p w:rsidR="00231C32" w:rsidRPr="00F85DA3" w:rsidRDefault="00231C32" w:rsidP="0041398C">
            <w:pPr>
              <w:jc w:val="center"/>
              <w:rPr>
                <w:b/>
                <w:sz w:val="24"/>
                <w:szCs w:val="24"/>
              </w:rPr>
            </w:pPr>
            <w:r>
              <w:rPr>
                <w:b/>
                <w:sz w:val="24"/>
                <w:szCs w:val="24"/>
              </w:rPr>
              <w:t>Lost to Follow-up (%)</w:t>
            </w:r>
          </w:p>
        </w:tc>
        <w:tc>
          <w:tcPr>
            <w:tcW w:w="1883" w:type="dxa"/>
            <w:shd w:val="clear" w:color="auto" w:fill="D9D9D9" w:themeFill="background1" w:themeFillShade="D9"/>
            <w:vAlign w:val="center"/>
          </w:tcPr>
          <w:p w:rsidR="00231C32" w:rsidRPr="00F85DA3" w:rsidRDefault="00231C32" w:rsidP="0041398C">
            <w:pPr>
              <w:jc w:val="center"/>
              <w:rPr>
                <w:b/>
                <w:sz w:val="24"/>
                <w:szCs w:val="24"/>
              </w:rPr>
            </w:pPr>
            <w:r>
              <w:rPr>
                <w:b/>
                <w:sz w:val="24"/>
                <w:szCs w:val="24"/>
              </w:rPr>
              <w:t>Moved (%)</w:t>
            </w:r>
          </w:p>
        </w:tc>
        <w:tc>
          <w:tcPr>
            <w:tcW w:w="1883" w:type="dxa"/>
            <w:shd w:val="clear" w:color="auto" w:fill="D9D9D9" w:themeFill="background1" w:themeFillShade="D9"/>
            <w:vAlign w:val="center"/>
          </w:tcPr>
          <w:p w:rsidR="00231C32" w:rsidRPr="00F85DA3" w:rsidRDefault="00231C32" w:rsidP="0041398C">
            <w:pPr>
              <w:jc w:val="center"/>
              <w:rPr>
                <w:b/>
                <w:sz w:val="24"/>
                <w:szCs w:val="24"/>
              </w:rPr>
            </w:pPr>
            <w:r>
              <w:rPr>
                <w:b/>
                <w:sz w:val="24"/>
                <w:szCs w:val="24"/>
              </w:rPr>
              <w:t>Other (%)</w:t>
            </w:r>
          </w:p>
        </w:tc>
      </w:tr>
      <w:tr w:rsidR="00231C32" w:rsidTr="0041398C">
        <w:tc>
          <w:tcPr>
            <w:tcW w:w="1882" w:type="dxa"/>
          </w:tcPr>
          <w:p w:rsidR="00231C32" w:rsidRPr="00F85DA3" w:rsidRDefault="00231C32" w:rsidP="0041398C">
            <w:pPr>
              <w:jc w:val="center"/>
              <w:rPr>
                <w:sz w:val="24"/>
                <w:szCs w:val="24"/>
                <w:vertAlign w:val="superscript"/>
              </w:rPr>
            </w:pPr>
            <w:r>
              <w:rPr>
                <w:sz w:val="24"/>
                <w:szCs w:val="24"/>
              </w:rPr>
              <w:t>2015</w:t>
            </w:r>
            <w:r>
              <w:rPr>
                <w:sz w:val="24"/>
                <w:szCs w:val="24"/>
                <w:vertAlign w:val="superscript"/>
              </w:rPr>
              <w:t>*</w:t>
            </w:r>
          </w:p>
        </w:tc>
        <w:tc>
          <w:tcPr>
            <w:tcW w:w="1882" w:type="dxa"/>
          </w:tcPr>
          <w:p w:rsidR="00231C32" w:rsidRDefault="00231C32" w:rsidP="0041398C">
            <w:pPr>
              <w:jc w:val="center"/>
              <w:rPr>
                <w:sz w:val="24"/>
                <w:szCs w:val="24"/>
              </w:rPr>
            </w:pPr>
            <w:r>
              <w:rPr>
                <w:sz w:val="24"/>
                <w:szCs w:val="24"/>
              </w:rPr>
              <w:t>74</w:t>
            </w:r>
          </w:p>
        </w:tc>
        <w:tc>
          <w:tcPr>
            <w:tcW w:w="1882" w:type="dxa"/>
          </w:tcPr>
          <w:p w:rsidR="00231C32" w:rsidRDefault="00231C32" w:rsidP="0041398C">
            <w:pPr>
              <w:jc w:val="center"/>
              <w:rPr>
                <w:sz w:val="24"/>
                <w:szCs w:val="24"/>
              </w:rPr>
            </w:pPr>
            <w:r>
              <w:rPr>
                <w:sz w:val="24"/>
                <w:szCs w:val="24"/>
              </w:rPr>
              <w:t>62 (83.8)</w:t>
            </w:r>
          </w:p>
        </w:tc>
        <w:tc>
          <w:tcPr>
            <w:tcW w:w="1882" w:type="dxa"/>
          </w:tcPr>
          <w:p w:rsidR="00231C32" w:rsidRDefault="00231C32" w:rsidP="0041398C">
            <w:pPr>
              <w:jc w:val="center"/>
              <w:rPr>
                <w:sz w:val="24"/>
                <w:szCs w:val="24"/>
              </w:rPr>
            </w:pPr>
            <w:r>
              <w:rPr>
                <w:sz w:val="24"/>
                <w:szCs w:val="24"/>
              </w:rPr>
              <w:t>7 (9.5)</w:t>
            </w:r>
          </w:p>
        </w:tc>
        <w:tc>
          <w:tcPr>
            <w:tcW w:w="1882" w:type="dxa"/>
          </w:tcPr>
          <w:p w:rsidR="00231C32" w:rsidRDefault="00231C32" w:rsidP="0041398C">
            <w:pPr>
              <w:jc w:val="center"/>
              <w:rPr>
                <w:sz w:val="24"/>
                <w:szCs w:val="24"/>
              </w:rPr>
            </w:pPr>
            <w:r>
              <w:rPr>
                <w:sz w:val="24"/>
                <w:szCs w:val="24"/>
              </w:rPr>
              <w:t>0 (0.0)</w:t>
            </w:r>
          </w:p>
        </w:tc>
        <w:tc>
          <w:tcPr>
            <w:tcW w:w="1883" w:type="dxa"/>
          </w:tcPr>
          <w:p w:rsidR="00231C32" w:rsidRDefault="00231C32" w:rsidP="0041398C">
            <w:pPr>
              <w:jc w:val="center"/>
              <w:rPr>
                <w:sz w:val="24"/>
                <w:szCs w:val="24"/>
              </w:rPr>
            </w:pPr>
            <w:r>
              <w:rPr>
                <w:sz w:val="24"/>
                <w:szCs w:val="24"/>
              </w:rPr>
              <w:t>0 (0.0)</w:t>
            </w:r>
          </w:p>
        </w:tc>
        <w:tc>
          <w:tcPr>
            <w:tcW w:w="1883" w:type="dxa"/>
          </w:tcPr>
          <w:p w:rsidR="00231C32" w:rsidRDefault="00231C32" w:rsidP="0041398C">
            <w:pPr>
              <w:jc w:val="center"/>
              <w:rPr>
                <w:sz w:val="24"/>
                <w:szCs w:val="24"/>
              </w:rPr>
            </w:pPr>
            <w:r>
              <w:rPr>
                <w:sz w:val="24"/>
                <w:szCs w:val="24"/>
              </w:rPr>
              <w:t>5 (6.8)</w:t>
            </w:r>
          </w:p>
        </w:tc>
      </w:tr>
      <w:tr w:rsidR="00231C32" w:rsidTr="0041398C">
        <w:tc>
          <w:tcPr>
            <w:tcW w:w="1882" w:type="dxa"/>
          </w:tcPr>
          <w:p w:rsidR="00231C32" w:rsidRDefault="00231C32" w:rsidP="0041398C">
            <w:pPr>
              <w:jc w:val="center"/>
              <w:rPr>
                <w:sz w:val="24"/>
                <w:szCs w:val="24"/>
              </w:rPr>
            </w:pPr>
            <w:r>
              <w:rPr>
                <w:sz w:val="24"/>
                <w:szCs w:val="24"/>
              </w:rPr>
              <w:t>2016</w:t>
            </w:r>
          </w:p>
        </w:tc>
        <w:tc>
          <w:tcPr>
            <w:tcW w:w="1882" w:type="dxa"/>
          </w:tcPr>
          <w:p w:rsidR="00231C32" w:rsidRDefault="00231C32" w:rsidP="0041398C">
            <w:pPr>
              <w:jc w:val="center"/>
              <w:rPr>
                <w:sz w:val="24"/>
                <w:szCs w:val="24"/>
              </w:rPr>
            </w:pPr>
            <w:r>
              <w:rPr>
                <w:sz w:val="24"/>
                <w:szCs w:val="24"/>
              </w:rPr>
              <w:t>432</w:t>
            </w:r>
          </w:p>
        </w:tc>
        <w:tc>
          <w:tcPr>
            <w:tcW w:w="1882" w:type="dxa"/>
          </w:tcPr>
          <w:p w:rsidR="00231C32" w:rsidRDefault="00231C32" w:rsidP="0041398C">
            <w:pPr>
              <w:jc w:val="center"/>
              <w:rPr>
                <w:sz w:val="24"/>
                <w:szCs w:val="24"/>
              </w:rPr>
            </w:pPr>
            <w:r>
              <w:rPr>
                <w:sz w:val="24"/>
                <w:szCs w:val="24"/>
              </w:rPr>
              <w:t>351 (81.3)</w:t>
            </w:r>
          </w:p>
        </w:tc>
        <w:tc>
          <w:tcPr>
            <w:tcW w:w="1882" w:type="dxa"/>
          </w:tcPr>
          <w:p w:rsidR="00231C32" w:rsidRDefault="00231C32" w:rsidP="0041398C">
            <w:pPr>
              <w:jc w:val="center"/>
              <w:rPr>
                <w:sz w:val="24"/>
                <w:szCs w:val="24"/>
              </w:rPr>
            </w:pPr>
            <w:r>
              <w:rPr>
                <w:sz w:val="24"/>
                <w:szCs w:val="24"/>
              </w:rPr>
              <w:t>30 (6.9)</w:t>
            </w:r>
          </w:p>
        </w:tc>
        <w:tc>
          <w:tcPr>
            <w:tcW w:w="1882" w:type="dxa"/>
          </w:tcPr>
          <w:p w:rsidR="00231C32" w:rsidRDefault="00231C32" w:rsidP="0041398C">
            <w:pPr>
              <w:jc w:val="center"/>
              <w:rPr>
                <w:sz w:val="24"/>
                <w:szCs w:val="24"/>
              </w:rPr>
            </w:pPr>
            <w:r>
              <w:rPr>
                <w:sz w:val="24"/>
                <w:szCs w:val="24"/>
              </w:rPr>
              <w:t>20 (4.6)</w:t>
            </w:r>
          </w:p>
        </w:tc>
        <w:tc>
          <w:tcPr>
            <w:tcW w:w="1883" w:type="dxa"/>
          </w:tcPr>
          <w:p w:rsidR="00231C32" w:rsidRDefault="00231C32" w:rsidP="0041398C">
            <w:pPr>
              <w:jc w:val="center"/>
              <w:rPr>
                <w:sz w:val="24"/>
                <w:szCs w:val="24"/>
              </w:rPr>
            </w:pPr>
            <w:r>
              <w:rPr>
                <w:sz w:val="24"/>
                <w:szCs w:val="24"/>
              </w:rPr>
              <w:t>3 (0.7)</w:t>
            </w:r>
          </w:p>
        </w:tc>
        <w:tc>
          <w:tcPr>
            <w:tcW w:w="1883" w:type="dxa"/>
          </w:tcPr>
          <w:p w:rsidR="00231C32" w:rsidRDefault="00231C32" w:rsidP="0041398C">
            <w:pPr>
              <w:jc w:val="center"/>
              <w:rPr>
                <w:sz w:val="24"/>
                <w:szCs w:val="24"/>
              </w:rPr>
            </w:pPr>
            <w:r>
              <w:rPr>
                <w:sz w:val="24"/>
                <w:szCs w:val="24"/>
              </w:rPr>
              <w:t>28 (6.5)</w:t>
            </w:r>
          </w:p>
        </w:tc>
      </w:tr>
      <w:tr w:rsidR="00231C32" w:rsidTr="0041398C">
        <w:tc>
          <w:tcPr>
            <w:tcW w:w="1882" w:type="dxa"/>
          </w:tcPr>
          <w:p w:rsidR="00231C32" w:rsidRDefault="00231C32" w:rsidP="0041398C">
            <w:pPr>
              <w:jc w:val="center"/>
              <w:rPr>
                <w:sz w:val="24"/>
                <w:szCs w:val="24"/>
              </w:rPr>
            </w:pPr>
            <w:r>
              <w:rPr>
                <w:sz w:val="24"/>
                <w:szCs w:val="24"/>
              </w:rPr>
              <w:t>2017</w:t>
            </w:r>
          </w:p>
        </w:tc>
        <w:tc>
          <w:tcPr>
            <w:tcW w:w="1882" w:type="dxa"/>
          </w:tcPr>
          <w:p w:rsidR="00231C32" w:rsidRDefault="00231C32" w:rsidP="0041398C">
            <w:pPr>
              <w:jc w:val="center"/>
              <w:rPr>
                <w:sz w:val="24"/>
                <w:szCs w:val="24"/>
              </w:rPr>
            </w:pPr>
            <w:r>
              <w:rPr>
                <w:sz w:val="24"/>
                <w:szCs w:val="24"/>
              </w:rPr>
              <w:t>500</w:t>
            </w:r>
          </w:p>
        </w:tc>
        <w:tc>
          <w:tcPr>
            <w:tcW w:w="1882" w:type="dxa"/>
          </w:tcPr>
          <w:p w:rsidR="00231C32" w:rsidRDefault="00231C32" w:rsidP="0041398C">
            <w:pPr>
              <w:jc w:val="center"/>
              <w:rPr>
                <w:sz w:val="24"/>
                <w:szCs w:val="24"/>
              </w:rPr>
            </w:pPr>
            <w:r>
              <w:rPr>
                <w:sz w:val="24"/>
                <w:szCs w:val="24"/>
              </w:rPr>
              <w:t>398 (79.6)</w:t>
            </w:r>
          </w:p>
        </w:tc>
        <w:tc>
          <w:tcPr>
            <w:tcW w:w="1882" w:type="dxa"/>
          </w:tcPr>
          <w:p w:rsidR="00231C32" w:rsidRDefault="00231C32" w:rsidP="0041398C">
            <w:pPr>
              <w:jc w:val="center"/>
              <w:rPr>
                <w:sz w:val="24"/>
                <w:szCs w:val="24"/>
              </w:rPr>
            </w:pPr>
            <w:r>
              <w:rPr>
                <w:sz w:val="24"/>
                <w:szCs w:val="24"/>
              </w:rPr>
              <w:t>33 (6.6)</w:t>
            </w:r>
          </w:p>
        </w:tc>
        <w:tc>
          <w:tcPr>
            <w:tcW w:w="1882" w:type="dxa"/>
          </w:tcPr>
          <w:p w:rsidR="00231C32" w:rsidRDefault="00231C32" w:rsidP="0041398C">
            <w:pPr>
              <w:jc w:val="center"/>
              <w:rPr>
                <w:sz w:val="24"/>
                <w:szCs w:val="24"/>
              </w:rPr>
            </w:pPr>
            <w:r>
              <w:rPr>
                <w:sz w:val="24"/>
                <w:szCs w:val="24"/>
              </w:rPr>
              <w:t>27 (5.4)</w:t>
            </w:r>
          </w:p>
        </w:tc>
        <w:tc>
          <w:tcPr>
            <w:tcW w:w="1883" w:type="dxa"/>
          </w:tcPr>
          <w:p w:rsidR="00231C32" w:rsidRDefault="00231C32" w:rsidP="0041398C">
            <w:pPr>
              <w:jc w:val="center"/>
              <w:rPr>
                <w:sz w:val="24"/>
                <w:szCs w:val="24"/>
              </w:rPr>
            </w:pPr>
            <w:r>
              <w:rPr>
                <w:sz w:val="24"/>
                <w:szCs w:val="24"/>
              </w:rPr>
              <w:t>2 (0.4)</w:t>
            </w:r>
          </w:p>
        </w:tc>
        <w:tc>
          <w:tcPr>
            <w:tcW w:w="1883" w:type="dxa"/>
          </w:tcPr>
          <w:p w:rsidR="00231C32" w:rsidRDefault="00231C32" w:rsidP="0041398C">
            <w:pPr>
              <w:jc w:val="center"/>
              <w:rPr>
                <w:sz w:val="24"/>
                <w:szCs w:val="24"/>
              </w:rPr>
            </w:pPr>
            <w:r>
              <w:rPr>
                <w:sz w:val="24"/>
                <w:szCs w:val="24"/>
              </w:rPr>
              <w:t>40 (8.0)</w:t>
            </w:r>
          </w:p>
        </w:tc>
      </w:tr>
      <w:tr w:rsidR="00231C32" w:rsidTr="0041398C">
        <w:tc>
          <w:tcPr>
            <w:tcW w:w="1882" w:type="dxa"/>
          </w:tcPr>
          <w:p w:rsidR="00231C32" w:rsidRDefault="00231C32" w:rsidP="0041398C">
            <w:pPr>
              <w:jc w:val="center"/>
              <w:rPr>
                <w:sz w:val="24"/>
                <w:szCs w:val="24"/>
              </w:rPr>
            </w:pPr>
            <w:r>
              <w:rPr>
                <w:sz w:val="24"/>
                <w:szCs w:val="24"/>
              </w:rPr>
              <w:t>2018</w:t>
            </w:r>
          </w:p>
        </w:tc>
        <w:tc>
          <w:tcPr>
            <w:tcW w:w="1882" w:type="dxa"/>
          </w:tcPr>
          <w:p w:rsidR="00231C32" w:rsidRDefault="00231C32" w:rsidP="0041398C">
            <w:pPr>
              <w:jc w:val="center"/>
              <w:rPr>
                <w:sz w:val="24"/>
                <w:szCs w:val="24"/>
              </w:rPr>
            </w:pPr>
            <w:r>
              <w:rPr>
                <w:sz w:val="24"/>
                <w:szCs w:val="24"/>
              </w:rPr>
              <w:t>360</w:t>
            </w:r>
          </w:p>
        </w:tc>
        <w:tc>
          <w:tcPr>
            <w:tcW w:w="1882" w:type="dxa"/>
          </w:tcPr>
          <w:p w:rsidR="00231C32" w:rsidRDefault="00231C32" w:rsidP="0041398C">
            <w:pPr>
              <w:jc w:val="center"/>
              <w:rPr>
                <w:sz w:val="24"/>
                <w:szCs w:val="24"/>
              </w:rPr>
            </w:pPr>
            <w:r>
              <w:rPr>
                <w:sz w:val="24"/>
                <w:szCs w:val="24"/>
              </w:rPr>
              <w:t>286 (79.4)</w:t>
            </w:r>
          </w:p>
        </w:tc>
        <w:tc>
          <w:tcPr>
            <w:tcW w:w="1882" w:type="dxa"/>
          </w:tcPr>
          <w:p w:rsidR="00231C32" w:rsidRDefault="00231C32" w:rsidP="0041398C">
            <w:pPr>
              <w:jc w:val="center"/>
              <w:rPr>
                <w:sz w:val="24"/>
                <w:szCs w:val="24"/>
              </w:rPr>
            </w:pPr>
            <w:r>
              <w:rPr>
                <w:sz w:val="24"/>
                <w:szCs w:val="24"/>
              </w:rPr>
              <w:t>26 (7.2)</w:t>
            </w:r>
          </w:p>
        </w:tc>
        <w:tc>
          <w:tcPr>
            <w:tcW w:w="1882" w:type="dxa"/>
          </w:tcPr>
          <w:p w:rsidR="00231C32" w:rsidRDefault="00231C32" w:rsidP="0041398C">
            <w:pPr>
              <w:jc w:val="center"/>
              <w:rPr>
                <w:sz w:val="24"/>
                <w:szCs w:val="24"/>
              </w:rPr>
            </w:pPr>
            <w:r>
              <w:rPr>
                <w:sz w:val="24"/>
                <w:szCs w:val="24"/>
              </w:rPr>
              <w:t>20 (5.6)</w:t>
            </w:r>
          </w:p>
        </w:tc>
        <w:tc>
          <w:tcPr>
            <w:tcW w:w="1883" w:type="dxa"/>
          </w:tcPr>
          <w:p w:rsidR="00231C32" w:rsidRDefault="00231C32" w:rsidP="0041398C">
            <w:pPr>
              <w:jc w:val="center"/>
              <w:rPr>
                <w:sz w:val="24"/>
                <w:szCs w:val="24"/>
              </w:rPr>
            </w:pPr>
            <w:r>
              <w:rPr>
                <w:sz w:val="24"/>
                <w:szCs w:val="24"/>
              </w:rPr>
              <w:t>1 (0.3)</w:t>
            </w:r>
          </w:p>
        </w:tc>
        <w:tc>
          <w:tcPr>
            <w:tcW w:w="1883" w:type="dxa"/>
          </w:tcPr>
          <w:p w:rsidR="00231C32" w:rsidRDefault="00231C32" w:rsidP="0041398C">
            <w:pPr>
              <w:jc w:val="center"/>
              <w:rPr>
                <w:sz w:val="24"/>
                <w:szCs w:val="24"/>
              </w:rPr>
            </w:pPr>
            <w:r>
              <w:rPr>
                <w:sz w:val="24"/>
                <w:szCs w:val="24"/>
              </w:rPr>
              <w:t>27 (7.5)</w:t>
            </w:r>
          </w:p>
        </w:tc>
      </w:tr>
      <w:tr w:rsidR="00231C32" w:rsidTr="0041398C">
        <w:tc>
          <w:tcPr>
            <w:tcW w:w="1882" w:type="dxa"/>
          </w:tcPr>
          <w:p w:rsidR="00231C32" w:rsidRPr="00F17CFB" w:rsidRDefault="00231C32" w:rsidP="0041398C">
            <w:pPr>
              <w:jc w:val="center"/>
              <w:rPr>
                <w:sz w:val="24"/>
                <w:szCs w:val="24"/>
                <w:vertAlign w:val="superscript"/>
              </w:rPr>
            </w:pPr>
            <w:r w:rsidRPr="00F17CFB">
              <w:rPr>
                <w:sz w:val="24"/>
                <w:szCs w:val="24"/>
              </w:rPr>
              <w:t>2019</w:t>
            </w:r>
            <w:r w:rsidRPr="00F17CFB">
              <w:rPr>
                <w:sz w:val="24"/>
                <w:szCs w:val="24"/>
                <w:vertAlign w:val="superscript"/>
              </w:rPr>
              <w:t>**</w:t>
            </w:r>
          </w:p>
        </w:tc>
        <w:tc>
          <w:tcPr>
            <w:tcW w:w="1882" w:type="dxa"/>
          </w:tcPr>
          <w:p w:rsidR="00231C32" w:rsidRPr="00F17CFB" w:rsidRDefault="006808DA" w:rsidP="0041398C">
            <w:pPr>
              <w:jc w:val="center"/>
              <w:rPr>
                <w:sz w:val="24"/>
                <w:szCs w:val="24"/>
              </w:rPr>
            </w:pPr>
            <w:r w:rsidRPr="00F17CFB">
              <w:rPr>
                <w:sz w:val="24"/>
                <w:szCs w:val="24"/>
              </w:rPr>
              <w:t>372</w:t>
            </w:r>
          </w:p>
        </w:tc>
        <w:tc>
          <w:tcPr>
            <w:tcW w:w="1882" w:type="dxa"/>
          </w:tcPr>
          <w:p w:rsidR="00231C32" w:rsidRPr="00F17CFB" w:rsidRDefault="003F77E1" w:rsidP="00DF4836">
            <w:pPr>
              <w:jc w:val="center"/>
              <w:rPr>
                <w:sz w:val="24"/>
                <w:szCs w:val="24"/>
              </w:rPr>
            </w:pPr>
            <w:r w:rsidRPr="00F17CFB">
              <w:rPr>
                <w:sz w:val="24"/>
                <w:szCs w:val="24"/>
              </w:rPr>
              <w:t>253 (68.0</w:t>
            </w:r>
            <w:r w:rsidR="006808DA" w:rsidRPr="00F17CFB">
              <w:rPr>
                <w:sz w:val="24"/>
                <w:szCs w:val="24"/>
              </w:rPr>
              <w:t>)</w:t>
            </w:r>
          </w:p>
        </w:tc>
        <w:tc>
          <w:tcPr>
            <w:tcW w:w="1882" w:type="dxa"/>
          </w:tcPr>
          <w:p w:rsidR="00231C32" w:rsidRPr="00F17CFB" w:rsidRDefault="003F77E1" w:rsidP="0041398C">
            <w:pPr>
              <w:jc w:val="center"/>
              <w:rPr>
                <w:sz w:val="24"/>
                <w:szCs w:val="24"/>
              </w:rPr>
            </w:pPr>
            <w:r w:rsidRPr="00F17CFB">
              <w:rPr>
                <w:sz w:val="24"/>
                <w:szCs w:val="24"/>
              </w:rPr>
              <w:t>15 (4.0</w:t>
            </w:r>
            <w:r w:rsidR="006808DA" w:rsidRPr="00F17CFB">
              <w:rPr>
                <w:sz w:val="24"/>
                <w:szCs w:val="24"/>
              </w:rPr>
              <w:t>)</w:t>
            </w:r>
          </w:p>
        </w:tc>
        <w:tc>
          <w:tcPr>
            <w:tcW w:w="1882" w:type="dxa"/>
          </w:tcPr>
          <w:p w:rsidR="00231C32" w:rsidRPr="00F17CFB" w:rsidRDefault="006808DA" w:rsidP="0041398C">
            <w:pPr>
              <w:jc w:val="center"/>
              <w:rPr>
                <w:sz w:val="24"/>
                <w:szCs w:val="24"/>
              </w:rPr>
            </w:pPr>
            <w:r w:rsidRPr="00F17CFB">
              <w:rPr>
                <w:sz w:val="24"/>
                <w:szCs w:val="24"/>
              </w:rPr>
              <w:t>5 (1.3)</w:t>
            </w:r>
          </w:p>
        </w:tc>
        <w:tc>
          <w:tcPr>
            <w:tcW w:w="1883" w:type="dxa"/>
          </w:tcPr>
          <w:p w:rsidR="00231C32" w:rsidRPr="00F17CFB" w:rsidRDefault="00911E69" w:rsidP="006808DA">
            <w:pPr>
              <w:jc w:val="center"/>
              <w:rPr>
                <w:sz w:val="24"/>
                <w:szCs w:val="24"/>
              </w:rPr>
            </w:pPr>
            <w:r w:rsidRPr="00F17CFB">
              <w:rPr>
                <w:sz w:val="24"/>
                <w:szCs w:val="24"/>
              </w:rPr>
              <w:t>5 (1</w:t>
            </w:r>
            <w:r w:rsidR="006808DA" w:rsidRPr="00F17CFB">
              <w:rPr>
                <w:sz w:val="24"/>
                <w:szCs w:val="24"/>
              </w:rPr>
              <w:t>.3</w:t>
            </w:r>
            <w:r w:rsidRPr="00F17CFB">
              <w:rPr>
                <w:sz w:val="24"/>
                <w:szCs w:val="24"/>
              </w:rPr>
              <w:t>)</w:t>
            </w:r>
          </w:p>
        </w:tc>
        <w:tc>
          <w:tcPr>
            <w:tcW w:w="1883" w:type="dxa"/>
          </w:tcPr>
          <w:p w:rsidR="00231C32" w:rsidRPr="00F17CFB" w:rsidRDefault="006808DA" w:rsidP="0041398C">
            <w:pPr>
              <w:jc w:val="center"/>
              <w:rPr>
                <w:sz w:val="24"/>
                <w:szCs w:val="24"/>
              </w:rPr>
            </w:pPr>
            <w:r w:rsidRPr="00F17CFB">
              <w:rPr>
                <w:sz w:val="24"/>
                <w:szCs w:val="24"/>
              </w:rPr>
              <w:t>22 (5.9)</w:t>
            </w:r>
          </w:p>
        </w:tc>
      </w:tr>
    </w:tbl>
    <w:p w:rsidR="00463FA9" w:rsidRDefault="00463FA9" w:rsidP="00DB5C0E">
      <w:pPr>
        <w:spacing w:after="0" w:line="240" w:lineRule="auto"/>
        <w:rPr>
          <w:sz w:val="24"/>
          <w:szCs w:val="24"/>
        </w:rPr>
      </w:pPr>
      <w:r>
        <w:rPr>
          <w:sz w:val="24"/>
          <w:szCs w:val="24"/>
          <w:vertAlign w:val="superscript"/>
        </w:rPr>
        <w:t>*</w:t>
      </w:r>
      <w:r>
        <w:rPr>
          <w:sz w:val="24"/>
          <w:szCs w:val="24"/>
        </w:rPr>
        <w:t>Partial 2015 data (3HP was not implemented until spring 2015)</w:t>
      </w:r>
    </w:p>
    <w:p w:rsidR="00463FA9" w:rsidRPr="00463FA9" w:rsidRDefault="00463FA9" w:rsidP="00DB5C0E">
      <w:pPr>
        <w:spacing w:after="0" w:line="240" w:lineRule="auto"/>
        <w:rPr>
          <w:sz w:val="24"/>
          <w:szCs w:val="24"/>
        </w:rPr>
      </w:pPr>
      <w:r>
        <w:rPr>
          <w:sz w:val="24"/>
          <w:szCs w:val="24"/>
          <w:vertAlign w:val="superscript"/>
        </w:rPr>
        <w:t>**</w:t>
      </w:r>
      <w:r>
        <w:rPr>
          <w:sz w:val="24"/>
          <w:szCs w:val="24"/>
        </w:rPr>
        <w:t>Data as of 1/2/2020</w:t>
      </w:r>
      <w:r w:rsidR="00DF4836">
        <w:rPr>
          <w:sz w:val="24"/>
          <w:szCs w:val="24"/>
        </w:rPr>
        <w:t xml:space="preserve">.  </w:t>
      </w:r>
      <w:r w:rsidR="000C2615">
        <w:rPr>
          <w:sz w:val="24"/>
          <w:szCs w:val="24"/>
        </w:rPr>
        <w:t>72 (19.4</w:t>
      </w:r>
      <w:r w:rsidR="00DF4836">
        <w:rPr>
          <w:sz w:val="24"/>
          <w:szCs w:val="24"/>
        </w:rPr>
        <w:t>%) remain on treatment at the time of this report.</w:t>
      </w:r>
    </w:p>
    <w:p w:rsidR="00DB5C0E" w:rsidRPr="00CD22AA" w:rsidRDefault="00DB5C0E" w:rsidP="00DB5C0E">
      <w:pPr>
        <w:spacing w:after="0" w:line="240" w:lineRule="auto"/>
        <w:rPr>
          <w:i/>
          <w:sz w:val="24"/>
          <w:szCs w:val="24"/>
        </w:rPr>
      </w:pPr>
      <w:r w:rsidRPr="00466B96">
        <w:rPr>
          <w:i/>
          <w:sz w:val="24"/>
          <w:szCs w:val="24"/>
          <w:u w:val="single"/>
        </w:rPr>
        <w:t>Source</w:t>
      </w:r>
      <w:r w:rsidRPr="00CD22AA">
        <w:rPr>
          <w:i/>
          <w:sz w:val="24"/>
          <w:szCs w:val="24"/>
        </w:rPr>
        <w:t xml:space="preserve">: </w:t>
      </w:r>
      <w:r w:rsidRPr="0038770F">
        <w:rPr>
          <w:sz w:val="24"/>
          <w:szCs w:val="24"/>
        </w:rPr>
        <w:t xml:space="preserve">Tennessee TB Elimination Program 3HP </w:t>
      </w:r>
      <w:r w:rsidR="00DE55F9" w:rsidRPr="0038770F">
        <w:rPr>
          <w:sz w:val="24"/>
          <w:szCs w:val="24"/>
        </w:rPr>
        <w:t>D</w:t>
      </w:r>
      <w:r w:rsidRPr="0038770F">
        <w:rPr>
          <w:sz w:val="24"/>
          <w:szCs w:val="24"/>
        </w:rPr>
        <w:t>atabase</w:t>
      </w:r>
    </w:p>
    <w:p w:rsidR="0038770F" w:rsidRDefault="0038770F" w:rsidP="00B07043">
      <w:pPr>
        <w:spacing w:after="0" w:line="240" w:lineRule="auto"/>
        <w:rPr>
          <w:sz w:val="24"/>
          <w:szCs w:val="24"/>
        </w:rPr>
      </w:pPr>
    </w:p>
    <w:p w:rsidR="00AB13BD" w:rsidRPr="00AB13BD" w:rsidRDefault="00AB13BD" w:rsidP="00B07043">
      <w:pPr>
        <w:spacing w:after="0" w:line="240" w:lineRule="auto"/>
        <w:rPr>
          <w:b/>
          <w:sz w:val="24"/>
          <w:szCs w:val="24"/>
          <w:u w:val="single"/>
        </w:rPr>
      </w:pPr>
      <w:r>
        <w:rPr>
          <w:b/>
          <w:sz w:val="24"/>
          <w:szCs w:val="24"/>
          <w:u w:val="single"/>
        </w:rPr>
        <w:t>HUMAN RESOURCES DEVELOPMENT</w:t>
      </w:r>
    </w:p>
    <w:p w:rsidR="0038770F" w:rsidRDefault="0038770F" w:rsidP="00B07043">
      <w:pPr>
        <w:spacing w:after="0" w:line="240" w:lineRule="auto"/>
        <w:rPr>
          <w:b/>
          <w:sz w:val="24"/>
          <w:szCs w:val="24"/>
        </w:rPr>
      </w:pPr>
    </w:p>
    <w:p w:rsidR="002065C9" w:rsidRPr="002063D8" w:rsidRDefault="002063D8" w:rsidP="00B07043">
      <w:pPr>
        <w:spacing w:after="0" w:line="240" w:lineRule="auto"/>
        <w:rPr>
          <w:b/>
          <w:sz w:val="24"/>
          <w:szCs w:val="24"/>
        </w:rPr>
      </w:pPr>
      <w:r>
        <w:rPr>
          <w:b/>
          <w:sz w:val="24"/>
          <w:szCs w:val="24"/>
        </w:rPr>
        <w:t xml:space="preserve">Table </w:t>
      </w:r>
      <w:r w:rsidR="0041398C">
        <w:rPr>
          <w:b/>
          <w:sz w:val="24"/>
          <w:szCs w:val="24"/>
        </w:rPr>
        <w:t>11</w:t>
      </w:r>
      <w:r w:rsidR="00FB7B9F">
        <w:rPr>
          <w:b/>
          <w:sz w:val="24"/>
          <w:szCs w:val="24"/>
        </w:rPr>
        <w:t>.  Human Resources Development—Objectives, Work Plan, Activities, and Progress</w:t>
      </w:r>
      <w:r w:rsidR="00385AC6">
        <w:rPr>
          <w:b/>
          <w:sz w:val="24"/>
          <w:szCs w:val="24"/>
        </w:rPr>
        <w:t>, 2018-2019</w:t>
      </w:r>
    </w:p>
    <w:tbl>
      <w:tblPr>
        <w:tblStyle w:val="TableGrid"/>
        <w:tblW w:w="0" w:type="auto"/>
        <w:tblLook w:val="04A0" w:firstRow="1" w:lastRow="0" w:firstColumn="1" w:lastColumn="0" w:noHBand="0" w:noVBand="1"/>
      </w:tblPr>
      <w:tblGrid>
        <w:gridCol w:w="3294"/>
        <w:gridCol w:w="3294"/>
        <w:gridCol w:w="3294"/>
        <w:gridCol w:w="3294"/>
      </w:tblGrid>
      <w:tr w:rsidR="002065C9" w:rsidTr="002065C9">
        <w:tc>
          <w:tcPr>
            <w:tcW w:w="3294" w:type="dxa"/>
            <w:shd w:val="clear" w:color="auto" w:fill="D9D9D9" w:themeFill="background1" w:themeFillShade="D9"/>
          </w:tcPr>
          <w:p w:rsidR="002065C9" w:rsidRPr="002065C9" w:rsidRDefault="002065C9" w:rsidP="002065C9">
            <w:pPr>
              <w:jc w:val="center"/>
              <w:rPr>
                <w:b/>
                <w:sz w:val="24"/>
                <w:szCs w:val="24"/>
              </w:rPr>
            </w:pPr>
            <w:r>
              <w:rPr>
                <w:b/>
                <w:sz w:val="24"/>
                <w:szCs w:val="24"/>
              </w:rPr>
              <w:t>Objective</w:t>
            </w:r>
          </w:p>
        </w:tc>
        <w:tc>
          <w:tcPr>
            <w:tcW w:w="3294" w:type="dxa"/>
            <w:shd w:val="clear" w:color="auto" w:fill="D9D9D9" w:themeFill="background1" w:themeFillShade="D9"/>
          </w:tcPr>
          <w:p w:rsidR="002065C9" w:rsidRPr="002065C9" w:rsidRDefault="002065C9" w:rsidP="002065C9">
            <w:pPr>
              <w:jc w:val="center"/>
              <w:rPr>
                <w:b/>
                <w:sz w:val="24"/>
                <w:szCs w:val="24"/>
              </w:rPr>
            </w:pPr>
            <w:r>
              <w:rPr>
                <w:b/>
                <w:sz w:val="24"/>
                <w:szCs w:val="24"/>
              </w:rPr>
              <w:t>Sub-objective</w:t>
            </w:r>
          </w:p>
        </w:tc>
        <w:tc>
          <w:tcPr>
            <w:tcW w:w="3294" w:type="dxa"/>
            <w:shd w:val="clear" w:color="auto" w:fill="D9D9D9" w:themeFill="background1" w:themeFillShade="D9"/>
          </w:tcPr>
          <w:p w:rsidR="002065C9" w:rsidRPr="002065C9" w:rsidRDefault="002065C9" w:rsidP="002065C9">
            <w:pPr>
              <w:jc w:val="center"/>
              <w:rPr>
                <w:b/>
                <w:sz w:val="24"/>
                <w:szCs w:val="24"/>
              </w:rPr>
            </w:pPr>
            <w:r>
              <w:rPr>
                <w:b/>
                <w:sz w:val="24"/>
                <w:szCs w:val="24"/>
              </w:rPr>
              <w:t>Work Plan</w:t>
            </w:r>
          </w:p>
        </w:tc>
        <w:tc>
          <w:tcPr>
            <w:tcW w:w="3294" w:type="dxa"/>
            <w:shd w:val="clear" w:color="auto" w:fill="D9D9D9" w:themeFill="background1" w:themeFillShade="D9"/>
          </w:tcPr>
          <w:p w:rsidR="002065C9" w:rsidRPr="002065C9" w:rsidRDefault="002065C9" w:rsidP="002065C9">
            <w:pPr>
              <w:jc w:val="center"/>
              <w:rPr>
                <w:b/>
                <w:sz w:val="24"/>
                <w:szCs w:val="24"/>
              </w:rPr>
            </w:pPr>
            <w:r>
              <w:rPr>
                <w:b/>
                <w:sz w:val="24"/>
                <w:szCs w:val="24"/>
              </w:rPr>
              <w:t>Activities and Progress</w:t>
            </w:r>
          </w:p>
        </w:tc>
      </w:tr>
      <w:tr w:rsidR="00385AC6" w:rsidTr="002F226A">
        <w:trPr>
          <w:trHeight w:val="1273"/>
        </w:trPr>
        <w:tc>
          <w:tcPr>
            <w:tcW w:w="3294" w:type="dxa"/>
            <w:vMerge w:val="restart"/>
            <w:vAlign w:val="center"/>
          </w:tcPr>
          <w:p w:rsidR="00385AC6" w:rsidRPr="002065C9" w:rsidRDefault="00385AC6" w:rsidP="002065C9">
            <w:pPr>
              <w:jc w:val="center"/>
              <w:rPr>
                <w:b/>
                <w:sz w:val="24"/>
                <w:szCs w:val="24"/>
              </w:rPr>
            </w:pPr>
            <w:r>
              <w:rPr>
                <w:b/>
                <w:sz w:val="24"/>
                <w:szCs w:val="24"/>
                <w:u w:val="single"/>
              </w:rPr>
              <w:t>Objective 1</w:t>
            </w:r>
            <w:r>
              <w:rPr>
                <w:b/>
                <w:sz w:val="24"/>
                <w:szCs w:val="24"/>
              </w:rPr>
              <w:t>: Establish an improve existing in-service TB training and human resource development</w:t>
            </w:r>
          </w:p>
        </w:tc>
        <w:tc>
          <w:tcPr>
            <w:tcW w:w="3294" w:type="dxa"/>
            <w:vMerge w:val="restart"/>
            <w:vAlign w:val="center"/>
          </w:tcPr>
          <w:p w:rsidR="00385AC6" w:rsidRDefault="00385AC6" w:rsidP="002F226A">
            <w:pPr>
              <w:rPr>
                <w:sz w:val="24"/>
                <w:szCs w:val="24"/>
              </w:rPr>
            </w:pPr>
            <w:r>
              <w:rPr>
                <w:sz w:val="24"/>
                <w:szCs w:val="24"/>
              </w:rPr>
              <w:t>TB education and training focal point provides central office and regional TB staff timely announcements of education and training opportunities offered by internal and external partners.  Attendance records for staff will be maintained by TB education and training focal point.</w:t>
            </w:r>
          </w:p>
        </w:tc>
        <w:tc>
          <w:tcPr>
            <w:tcW w:w="3294" w:type="dxa"/>
            <w:vAlign w:val="center"/>
          </w:tcPr>
          <w:p w:rsidR="00385AC6" w:rsidRDefault="00385AC6" w:rsidP="002F226A">
            <w:pPr>
              <w:rPr>
                <w:sz w:val="24"/>
                <w:szCs w:val="24"/>
              </w:rPr>
            </w:pPr>
            <w:r>
              <w:rPr>
                <w:sz w:val="24"/>
                <w:szCs w:val="24"/>
              </w:rPr>
              <w:t>Develop and distribute announcements for educational and training opportunities</w:t>
            </w:r>
            <w:r w:rsidR="00BF2C3F">
              <w:rPr>
                <w:sz w:val="24"/>
                <w:szCs w:val="24"/>
              </w:rPr>
              <w:t>.</w:t>
            </w:r>
          </w:p>
        </w:tc>
        <w:tc>
          <w:tcPr>
            <w:tcW w:w="3294" w:type="dxa"/>
            <w:vAlign w:val="center"/>
          </w:tcPr>
          <w:p w:rsidR="00385AC6" w:rsidRDefault="00690A66" w:rsidP="002F226A">
            <w:pPr>
              <w:rPr>
                <w:sz w:val="24"/>
                <w:szCs w:val="24"/>
              </w:rPr>
            </w:pPr>
            <w:r>
              <w:rPr>
                <w:sz w:val="24"/>
                <w:szCs w:val="24"/>
              </w:rPr>
              <w:t>All relevant education and training opportunities were distributed within two (2) days of receipt by the TB training and education focal point</w:t>
            </w:r>
          </w:p>
        </w:tc>
      </w:tr>
      <w:tr w:rsidR="00385AC6" w:rsidTr="002F226A">
        <w:trPr>
          <w:trHeight w:val="1273"/>
        </w:trPr>
        <w:tc>
          <w:tcPr>
            <w:tcW w:w="3294" w:type="dxa"/>
            <w:vMerge/>
            <w:vAlign w:val="center"/>
          </w:tcPr>
          <w:p w:rsidR="00385AC6" w:rsidRDefault="00385AC6" w:rsidP="002065C9">
            <w:pPr>
              <w:jc w:val="center"/>
              <w:rPr>
                <w:b/>
                <w:sz w:val="24"/>
                <w:szCs w:val="24"/>
                <w:u w:val="single"/>
              </w:rPr>
            </w:pPr>
          </w:p>
        </w:tc>
        <w:tc>
          <w:tcPr>
            <w:tcW w:w="3294" w:type="dxa"/>
            <w:vMerge/>
            <w:vAlign w:val="center"/>
          </w:tcPr>
          <w:p w:rsidR="00385AC6" w:rsidRDefault="00385AC6" w:rsidP="002F226A">
            <w:pPr>
              <w:rPr>
                <w:sz w:val="24"/>
                <w:szCs w:val="24"/>
              </w:rPr>
            </w:pPr>
          </w:p>
        </w:tc>
        <w:tc>
          <w:tcPr>
            <w:tcW w:w="3294" w:type="dxa"/>
            <w:vAlign w:val="center"/>
          </w:tcPr>
          <w:p w:rsidR="00385AC6" w:rsidRDefault="00690A66" w:rsidP="002F226A">
            <w:pPr>
              <w:rPr>
                <w:sz w:val="24"/>
                <w:szCs w:val="24"/>
              </w:rPr>
            </w:pPr>
            <w:r>
              <w:rPr>
                <w:sz w:val="24"/>
                <w:szCs w:val="24"/>
              </w:rPr>
              <w:t>Course attendance records will be maintained by the TB education and training focal point and detailed in the Cooperative Agreement</w:t>
            </w:r>
            <w:r w:rsidR="00BF2C3F">
              <w:rPr>
                <w:sz w:val="24"/>
                <w:szCs w:val="24"/>
              </w:rPr>
              <w:t>.</w:t>
            </w:r>
          </w:p>
        </w:tc>
        <w:tc>
          <w:tcPr>
            <w:tcW w:w="3294" w:type="dxa"/>
            <w:vAlign w:val="center"/>
          </w:tcPr>
          <w:p w:rsidR="00385AC6" w:rsidRDefault="00690A66" w:rsidP="002F226A">
            <w:pPr>
              <w:rPr>
                <w:sz w:val="24"/>
                <w:szCs w:val="24"/>
              </w:rPr>
            </w:pPr>
            <w:r>
              <w:rPr>
                <w:b/>
                <w:sz w:val="24"/>
                <w:szCs w:val="24"/>
                <w:u w:val="single"/>
              </w:rPr>
              <w:t>2018 in-person trainings</w:t>
            </w:r>
            <w:r>
              <w:rPr>
                <w:sz w:val="24"/>
                <w:szCs w:val="24"/>
              </w:rPr>
              <w:t>: 21 events with 455 attendees for a total of 1,417 training hours (includes statewide meeting and clinical symposium)</w:t>
            </w:r>
          </w:p>
          <w:p w:rsidR="00690A66" w:rsidRDefault="00690A66" w:rsidP="002F226A">
            <w:pPr>
              <w:rPr>
                <w:sz w:val="24"/>
                <w:szCs w:val="24"/>
              </w:rPr>
            </w:pPr>
            <w:r>
              <w:rPr>
                <w:b/>
                <w:sz w:val="24"/>
                <w:szCs w:val="24"/>
                <w:u w:val="single"/>
              </w:rPr>
              <w:t>2018 webinars and online courses</w:t>
            </w:r>
            <w:r>
              <w:rPr>
                <w:sz w:val="24"/>
                <w:szCs w:val="24"/>
              </w:rPr>
              <w:t>: 20 events with 146 participants for a total of 141 training hours</w:t>
            </w:r>
          </w:p>
          <w:p w:rsidR="00690A66" w:rsidRDefault="00690A66" w:rsidP="002F226A">
            <w:pPr>
              <w:rPr>
                <w:sz w:val="24"/>
                <w:szCs w:val="24"/>
              </w:rPr>
            </w:pPr>
            <w:r>
              <w:rPr>
                <w:b/>
                <w:sz w:val="24"/>
                <w:szCs w:val="24"/>
                <w:u w:val="single"/>
              </w:rPr>
              <w:t>2019 in-person trainings</w:t>
            </w:r>
            <w:r>
              <w:rPr>
                <w:sz w:val="24"/>
                <w:szCs w:val="24"/>
              </w:rPr>
              <w:t xml:space="preserve">: </w:t>
            </w:r>
            <w:r w:rsidR="00C349B9">
              <w:rPr>
                <w:sz w:val="24"/>
                <w:szCs w:val="24"/>
              </w:rPr>
              <w:t>Eight</w:t>
            </w:r>
            <w:r>
              <w:rPr>
                <w:sz w:val="24"/>
                <w:szCs w:val="24"/>
              </w:rPr>
              <w:t xml:space="preserve"> (</w:t>
            </w:r>
            <w:r w:rsidR="00C349B9">
              <w:rPr>
                <w:sz w:val="24"/>
                <w:szCs w:val="24"/>
              </w:rPr>
              <w:t>8</w:t>
            </w:r>
            <w:r>
              <w:rPr>
                <w:sz w:val="24"/>
                <w:szCs w:val="24"/>
              </w:rPr>
              <w:t xml:space="preserve">) events with </w:t>
            </w:r>
            <w:r w:rsidR="00C349B9">
              <w:rPr>
                <w:sz w:val="24"/>
                <w:szCs w:val="24"/>
              </w:rPr>
              <w:t>320</w:t>
            </w:r>
            <w:r>
              <w:rPr>
                <w:sz w:val="24"/>
                <w:szCs w:val="24"/>
              </w:rPr>
              <w:t xml:space="preserve"> attendees for a total of </w:t>
            </w:r>
            <w:r w:rsidR="00C349B9">
              <w:rPr>
                <w:sz w:val="24"/>
                <w:szCs w:val="24"/>
              </w:rPr>
              <w:t>701.8</w:t>
            </w:r>
            <w:r>
              <w:rPr>
                <w:sz w:val="24"/>
                <w:szCs w:val="24"/>
              </w:rPr>
              <w:t xml:space="preserve"> training hours (includes statewide meeting)</w:t>
            </w:r>
          </w:p>
          <w:p w:rsidR="00690A66" w:rsidRPr="00690A66" w:rsidRDefault="00690A66" w:rsidP="002F226A">
            <w:pPr>
              <w:rPr>
                <w:sz w:val="24"/>
                <w:szCs w:val="24"/>
              </w:rPr>
            </w:pPr>
            <w:r>
              <w:rPr>
                <w:b/>
                <w:sz w:val="24"/>
                <w:szCs w:val="24"/>
                <w:u w:val="single"/>
              </w:rPr>
              <w:t>2019 webinars and online courses</w:t>
            </w:r>
            <w:r>
              <w:rPr>
                <w:sz w:val="24"/>
                <w:szCs w:val="24"/>
              </w:rPr>
              <w:t xml:space="preserve">: </w:t>
            </w:r>
            <w:r w:rsidR="00C349B9">
              <w:rPr>
                <w:sz w:val="24"/>
                <w:szCs w:val="24"/>
              </w:rPr>
              <w:t>20</w:t>
            </w:r>
            <w:r>
              <w:rPr>
                <w:sz w:val="24"/>
                <w:szCs w:val="24"/>
              </w:rPr>
              <w:t xml:space="preserve"> events with 10</w:t>
            </w:r>
            <w:r w:rsidR="00C349B9">
              <w:rPr>
                <w:sz w:val="24"/>
                <w:szCs w:val="24"/>
              </w:rPr>
              <w:t>7</w:t>
            </w:r>
            <w:r>
              <w:rPr>
                <w:sz w:val="24"/>
                <w:szCs w:val="24"/>
              </w:rPr>
              <w:t xml:space="preserve"> participants for a total of </w:t>
            </w:r>
            <w:r w:rsidR="00C349B9">
              <w:rPr>
                <w:sz w:val="24"/>
                <w:szCs w:val="24"/>
              </w:rPr>
              <w:t>162.</w:t>
            </w:r>
            <w:r>
              <w:rPr>
                <w:sz w:val="24"/>
                <w:szCs w:val="24"/>
              </w:rPr>
              <w:t>1 training hours</w:t>
            </w:r>
          </w:p>
        </w:tc>
      </w:tr>
      <w:tr w:rsidR="00385AC6" w:rsidTr="002065C9">
        <w:tc>
          <w:tcPr>
            <w:tcW w:w="3294" w:type="dxa"/>
            <w:vMerge/>
            <w:vAlign w:val="center"/>
          </w:tcPr>
          <w:p w:rsidR="00385AC6" w:rsidRDefault="00385AC6" w:rsidP="002065C9">
            <w:pPr>
              <w:jc w:val="center"/>
              <w:rPr>
                <w:sz w:val="24"/>
                <w:szCs w:val="24"/>
              </w:rPr>
            </w:pPr>
          </w:p>
        </w:tc>
        <w:tc>
          <w:tcPr>
            <w:tcW w:w="3294" w:type="dxa"/>
          </w:tcPr>
          <w:p w:rsidR="00385AC6" w:rsidRDefault="00385AC6" w:rsidP="00B07043">
            <w:pPr>
              <w:rPr>
                <w:sz w:val="24"/>
                <w:szCs w:val="24"/>
              </w:rPr>
            </w:pPr>
            <w:r>
              <w:rPr>
                <w:sz w:val="24"/>
                <w:szCs w:val="24"/>
              </w:rPr>
              <w:t>Hold monthly statewide conference calls and an annual TTBEP statewide meeting to discuss TB topics including the TTBEP Manual for improved prevention, detection, and treatment of TB.</w:t>
            </w:r>
          </w:p>
        </w:tc>
        <w:tc>
          <w:tcPr>
            <w:tcW w:w="3294" w:type="dxa"/>
          </w:tcPr>
          <w:p w:rsidR="00385AC6" w:rsidRDefault="00617B78" w:rsidP="00B07043">
            <w:pPr>
              <w:rPr>
                <w:sz w:val="24"/>
                <w:szCs w:val="24"/>
              </w:rPr>
            </w:pPr>
            <w:r>
              <w:rPr>
                <w:sz w:val="24"/>
                <w:szCs w:val="24"/>
              </w:rPr>
              <w:t>Monthly statewide conference calls for TTBEP staff planned with agenda and attendance records</w:t>
            </w:r>
            <w:r w:rsidR="00BF2C3F">
              <w:rPr>
                <w:sz w:val="24"/>
                <w:szCs w:val="24"/>
              </w:rPr>
              <w:t>.</w:t>
            </w:r>
          </w:p>
        </w:tc>
        <w:tc>
          <w:tcPr>
            <w:tcW w:w="3294" w:type="dxa"/>
          </w:tcPr>
          <w:p w:rsidR="00385AC6" w:rsidRDefault="00617B78" w:rsidP="00617B78">
            <w:pPr>
              <w:rPr>
                <w:sz w:val="24"/>
                <w:szCs w:val="24"/>
              </w:rPr>
            </w:pPr>
            <w:r>
              <w:rPr>
                <w:sz w:val="24"/>
                <w:szCs w:val="24"/>
              </w:rPr>
              <w:t>The decision was made in 2018 to have bi-monthly conference calls to accommodate staff.  Per the schedule, six (6) conference calls were held in 2018 and six (6) were held in 2019.</w:t>
            </w:r>
          </w:p>
        </w:tc>
      </w:tr>
      <w:tr w:rsidR="000A4814" w:rsidTr="001F5464">
        <w:trPr>
          <w:trHeight w:val="1529"/>
        </w:trPr>
        <w:tc>
          <w:tcPr>
            <w:tcW w:w="3294" w:type="dxa"/>
            <w:vMerge w:val="restart"/>
            <w:vAlign w:val="center"/>
          </w:tcPr>
          <w:p w:rsidR="000A4814" w:rsidRPr="002065C9" w:rsidRDefault="000A4814" w:rsidP="002065C9">
            <w:pPr>
              <w:jc w:val="center"/>
              <w:rPr>
                <w:b/>
                <w:sz w:val="24"/>
                <w:szCs w:val="24"/>
              </w:rPr>
            </w:pPr>
            <w:r>
              <w:rPr>
                <w:b/>
                <w:sz w:val="24"/>
                <w:szCs w:val="24"/>
                <w:u w:val="single"/>
              </w:rPr>
              <w:t>Object 2</w:t>
            </w:r>
            <w:r>
              <w:rPr>
                <w:b/>
                <w:sz w:val="24"/>
                <w:szCs w:val="24"/>
              </w:rPr>
              <w:t>: Establish evaluation strategies to improve existing systems and to identify ongoing training and human resource needs</w:t>
            </w:r>
          </w:p>
        </w:tc>
        <w:tc>
          <w:tcPr>
            <w:tcW w:w="3294" w:type="dxa"/>
            <w:vMerge w:val="restart"/>
            <w:vAlign w:val="center"/>
          </w:tcPr>
          <w:p w:rsidR="000A4814" w:rsidRDefault="000A4814" w:rsidP="001F5464">
            <w:pPr>
              <w:rPr>
                <w:sz w:val="24"/>
                <w:szCs w:val="24"/>
              </w:rPr>
            </w:pPr>
            <w:r>
              <w:rPr>
                <w:sz w:val="24"/>
                <w:szCs w:val="24"/>
              </w:rPr>
              <w:t>TB education and training focal point will conduct an online survey of central office and regional TB staff to assess training and educational needs and preferred method(s) of delivery; suggestions will be explored to identify and promote opportunities throughout the following year.</w:t>
            </w:r>
          </w:p>
          <w:p w:rsidR="000A4814" w:rsidRDefault="000A4814" w:rsidP="001F5464">
            <w:pPr>
              <w:rPr>
                <w:sz w:val="24"/>
                <w:szCs w:val="24"/>
              </w:rPr>
            </w:pPr>
          </w:p>
          <w:p w:rsidR="000A4814" w:rsidRDefault="000A4814" w:rsidP="001F5464">
            <w:pPr>
              <w:rPr>
                <w:sz w:val="24"/>
                <w:szCs w:val="24"/>
              </w:rPr>
            </w:pPr>
          </w:p>
        </w:tc>
        <w:tc>
          <w:tcPr>
            <w:tcW w:w="3294" w:type="dxa"/>
            <w:vAlign w:val="center"/>
          </w:tcPr>
          <w:p w:rsidR="000A4814" w:rsidRDefault="000A4814" w:rsidP="00DA6D01">
            <w:pPr>
              <w:rPr>
                <w:sz w:val="24"/>
                <w:szCs w:val="24"/>
              </w:rPr>
            </w:pPr>
            <w:r>
              <w:rPr>
                <w:sz w:val="24"/>
                <w:szCs w:val="24"/>
              </w:rPr>
              <w:t>Distribute online survey, tabulate results, and identify educational needs</w:t>
            </w:r>
            <w:r w:rsidR="00BF2C3F">
              <w:rPr>
                <w:sz w:val="24"/>
                <w:szCs w:val="24"/>
              </w:rPr>
              <w:t>.</w:t>
            </w:r>
          </w:p>
        </w:tc>
        <w:tc>
          <w:tcPr>
            <w:tcW w:w="3294" w:type="dxa"/>
            <w:vMerge w:val="restart"/>
          </w:tcPr>
          <w:p w:rsidR="000A4814" w:rsidRDefault="00160190" w:rsidP="00B07043">
            <w:pPr>
              <w:rPr>
                <w:sz w:val="24"/>
                <w:szCs w:val="24"/>
              </w:rPr>
            </w:pPr>
            <w:r>
              <w:rPr>
                <w:sz w:val="24"/>
                <w:szCs w:val="24"/>
              </w:rPr>
              <w:t>All 12 regional TB program managers responded to the survey in 2018 and 2019 and results were discussed on statewide conference calls.  Results were communicated with the Southeastern National TB Center (SNTC) at their request to identify training needs for jurisdictions in the SNTC catchment area.  Recurring themes from both surveys included requests for information and education on TB treatment and diagnostics.</w:t>
            </w:r>
          </w:p>
        </w:tc>
      </w:tr>
      <w:tr w:rsidR="000A4814" w:rsidTr="00DA6D01">
        <w:trPr>
          <w:trHeight w:val="1528"/>
        </w:trPr>
        <w:tc>
          <w:tcPr>
            <w:tcW w:w="3294" w:type="dxa"/>
            <w:vMerge/>
            <w:vAlign w:val="center"/>
          </w:tcPr>
          <w:p w:rsidR="000A4814" w:rsidRDefault="000A4814" w:rsidP="002065C9">
            <w:pPr>
              <w:jc w:val="center"/>
              <w:rPr>
                <w:b/>
                <w:sz w:val="24"/>
                <w:szCs w:val="24"/>
                <w:u w:val="single"/>
              </w:rPr>
            </w:pPr>
          </w:p>
        </w:tc>
        <w:tc>
          <w:tcPr>
            <w:tcW w:w="3294" w:type="dxa"/>
            <w:vMerge/>
          </w:tcPr>
          <w:p w:rsidR="000A4814" w:rsidRDefault="000A4814" w:rsidP="00B07043">
            <w:pPr>
              <w:rPr>
                <w:sz w:val="24"/>
                <w:szCs w:val="24"/>
              </w:rPr>
            </w:pPr>
          </w:p>
        </w:tc>
        <w:tc>
          <w:tcPr>
            <w:tcW w:w="3294" w:type="dxa"/>
            <w:vAlign w:val="center"/>
          </w:tcPr>
          <w:p w:rsidR="000A4814" w:rsidRDefault="00BF2C3F" w:rsidP="00DA6D01">
            <w:pPr>
              <w:rPr>
                <w:sz w:val="24"/>
                <w:szCs w:val="24"/>
              </w:rPr>
            </w:pPr>
            <w:r>
              <w:rPr>
                <w:sz w:val="24"/>
                <w:szCs w:val="24"/>
              </w:rPr>
              <w:t>Outcomes of surveys communicated on subsequent statewide conference calls and used to plan future statewide conference calls and annual statewide meeting.</w:t>
            </w:r>
          </w:p>
        </w:tc>
        <w:tc>
          <w:tcPr>
            <w:tcW w:w="3294" w:type="dxa"/>
            <w:vMerge/>
          </w:tcPr>
          <w:p w:rsidR="000A4814" w:rsidRDefault="000A4814" w:rsidP="00B07043">
            <w:pPr>
              <w:rPr>
                <w:sz w:val="24"/>
                <w:szCs w:val="24"/>
              </w:rPr>
            </w:pPr>
          </w:p>
        </w:tc>
      </w:tr>
      <w:tr w:rsidR="003F6A09" w:rsidTr="001F5464">
        <w:trPr>
          <w:trHeight w:val="892"/>
        </w:trPr>
        <w:tc>
          <w:tcPr>
            <w:tcW w:w="3294" w:type="dxa"/>
            <w:vMerge w:val="restart"/>
            <w:vAlign w:val="center"/>
          </w:tcPr>
          <w:p w:rsidR="003F6A09" w:rsidRPr="00363877" w:rsidRDefault="003F6A09" w:rsidP="002065C9">
            <w:pPr>
              <w:jc w:val="center"/>
              <w:rPr>
                <w:b/>
                <w:sz w:val="24"/>
                <w:szCs w:val="24"/>
              </w:rPr>
            </w:pPr>
            <w:r>
              <w:rPr>
                <w:b/>
                <w:sz w:val="24"/>
                <w:szCs w:val="24"/>
                <w:u w:val="single"/>
              </w:rPr>
              <w:t>Objective 3</w:t>
            </w:r>
            <w:r>
              <w:rPr>
                <w:b/>
                <w:sz w:val="24"/>
                <w:szCs w:val="24"/>
              </w:rPr>
              <w:t>: Establish and improve education and communications capacity within the program</w:t>
            </w:r>
          </w:p>
        </w:tc>
        <w:tc>
          <w:tcPr>
            <w:tcW w:w="3294" w:type="dxa"/>
            <w:vMerge w:val="restart"/>
            <w:vAlign w:val="center"/>
          </w:tcPr>
          <w:p w:rsidR="003F6A09" w:rsidRDefault="003F6A09" w:rsidP="001F5464">
            <w:pPr>
              <w:rPr>
                <w:sz w:val="24"/>
                <w:szCs w:val="24"/>
              </w:rPr>
            </w:pPr>
            <w:r>
              <w:rPr>
                <w:sz w:val="24"/>
                <w:szCs w:val="24"/>
              </w:rPr>
              <w:t>At least two (2) in-service training sessions (via webinar or in-person) will be identified, developed, and delivered to meet the needs identified by TTBEP central office and regional TB staff.</w:t>
            </w:r>
          </w:p>
        </w:tc>
        <w:tc>
          <w:tcPr>
            <w:tcW w:w="3294" w:type="dxa"/>
          </w:tcPr>
          <w:p w:rsidR="003F6A09" w:rsidRDefault="003F6A09" w:rsidP="00B07043">
            <w:pPr>
              <w:rPr>
                <w:sz w:val="24"/>
                <w:szCs w:val="24"/>
              </w:rPr>
            </w:pPr>
            <w:r>
              <w:rPr>
                <w:sz w:val="24"/>
                <w:szCs w:val="24"/>
              </w:rPr>
              <w:t>Access CDC and Center of Excellence (COE) websites to identify appropriate training materials; utilize regional TB staff expertise and invited guest speakers.</w:t>
            </w:r>
          </w:p>
        </w:tc>
        <w:tc>
          <w:tcPr>
            <w:tcW w:w="3294" w:type="dxa"/>
            <w:vMerge w:val="restart"/>
          </w:tcPr>
          <w:p w:rsidR="003F6A09" w:rsidRDefault="00B9406F" w:rsidP="00B9406F">
            <w:pPr>
              <w:rPr>
                <w:sz w:val="24"/>
                <w:szCs w:val="24"/>
              </w:rPr>
            </w:pPr>
            <w:r>
              <w:rPr>
                <w:sz w:val="24"/>
                <w:szCs w:val="24"/>
              </w:rPr>
              <w:t>At</w:t>
            </w:r>
            <w:r w:rsidR="00D43B15">
              <w:rPr>
                <w:sz w:val="24"/>
                <w:szCs w:val="24"/>
              </w:rPr>
              <w:t xml:space="preserve"> the 2018 annual statewide meeting, five (5) regional or state TB staff presented at the meeting.  The clinical symposium held that same year included speakers from two (2) academic-affiliated </w:t>
            </w:r>
            <w:r w:rsidR="008B710B">
              <w:rPr>
                <w:sz w:val="24"/>
                <w:szCs w:val="24"/>
              </w:rPr>
              <w:t>hospitals;</w:t>
            </w:r>
            <w:r w:rsidR="00D43B15">
              <w:rPr>
                <w:sz w:val="24"/>
                <w:szCs w:val="24"/>
              </w:rPr>
              <w:t xml:space="preserve"> state Medical Examiner’s office, SNTC, and regional TB programs. The 2019 statewide meeting included interactive discussions from all regional TB programs related to engaging community partners.</w:t>
            </w:r>
          </w:p>
        </w:tc>
      </w:tr>
      <w:tr w:rsidR="003F6A09" w:rsidTr="00D43B15">
        <w:trPr>
          <w:trHeight w:val="892"/>
        </w:trPr>
        <w:tc>
          <w:tcPr>
            <w:tcW w:w="3294" w:type="dxa"/>
            <w:vMerge/>
            <w:vAlign w:val="center"/>
          </w:tcPr>
          <w:p w:rsidR="003F6A09" w:rsidRDefault="003F6A09" w:rsidP="002065C9">
            <w:pPr>
              <w:jc w:val="center"/>
              <w:rPr>
                <w:b/>
                <w:sz w:val="24"/>
                <w:szCs w:val="24"/>
                <w:u w:val="single"/>
              </w:rPr>
            </w:pPr>
          </w:p>
        </w:tc>
        <w:tc>
          <w:tcPr>
            <w:tcW w:w="3294" w:type="dxa"/>
            <w:vMerge/>
          </w:tcPr>
          <w:p w:rsidR="003F6A09" w:rsidRDefault="003F6A09" w:rsidP="00B07043">
            <w:pPr>
              <w:rPr>
                <w:sz w:val="24"/>
                <w:szCs w:val="24"/>
              </w:rPr>
            </w:pPr>
          </w:p>
        </w:tc>
        <w:tc>
          <w:tcPr>
            <w:tcW w:w="3294" w:type="dxa"/>
            <w:vAlign w:val="center"/>
          </w:tcPr>
          <w:p w:rsidR="003F6A09" w:rsidRDefault="003F6A09" w:rsidP="00D43B15">
            <w:pPr>
              <w:rPr>
                <w:sz w:val="24"/>
                <w:szCs w:val="24"/>
              </w:rPr>
            </w:pPr>
            <w:r>
              <w:rPr>
                <w:sz w:val="24"/>
                <w:szCs w:val="24"/>
              </w:rPr>
              <w:t>Deliver and evaluate training sessions.</w:t>
            </w:r>
          </w:p>
        </w:tc>
        <w:tc>
          <w:tcPr>
            <w:tcW w:w="3294" w:type="dxa"/>
            <w:vMerge/>
          </w:tcPr>
          <w:p w:rsidR="003F6A09" w:rsidRDefault="003F6A09" w:rsidP="00B07043">
            <w:pPr>
              <w:rPr>
                <w:sz w:val="24"/>
                <w:szCs w:val="24"/>
              </w:rPr>
            </w:pPr>
          </w:p>
        </w:tc>
      </w:tr>
      <w:tr w:rsidR="009E3DAA" w:rsidTr="002F226A">
        <w:trPr>
          <w:trHeight w:val="679"/>
        </w:trPr>
        <w:tc>
          <w:tcPr>
            <w:tcW w:w="3294" w:type="dxa"/>
            <w:vMerge w:val="restart"/>
            <w:vAlign w:val="center"/>
          </w:tcPr>
          <w:p w:rsidR="009E3DAA" w:rsidRPr="00935479" w:rsidRDefault="009E3DAA" w:rsidP="002065C9">
            <w:pPr>
              <w:jc w:val="center"/>
              <w:rPr>
                <w:b/>
                <w:sz w:val="24"/>
                <w:szCs w:val="24"/>
              </w:rPr>
            </w:pPr>
            <w:r>
              <w:rPr>
                <w:b/>
                <w:sz w:val="24"/>
                <w:szCs w:val="24"/>
                <w:u w:val="single"/>
              </w:rPr>
              <w:t>Objective 4</w:t>
            </w:r>
            <w:r>
              <w:rPr>
                <w:b/>
                <w:sz w:val="24"/>
                <w:szCs w:val="24"/>
              </w:rPr>
              <w:t>: Coordinate training related to TB control with training for other disease control interventions such as HIV/AIDS, viral hepatitis, and STD</w:t>
            </w:r>
          </w:p>
        </w:tc>
        <w:tc>
          <w:tcPr>
            <w:tcW w:w="3294" w:type="dxa"/>
            <w:vMerge w:val="restart"/>
            <w:vAlign w:val="center"/>
          </w:tcPr>
          <w:p w:rsidR="009E3DAA" w:rsidRDefault="009E3DAA" w:rsidP="002F226A">
            <w:pPr>
              <w:rPr>
                <w:sz w:val="24"/>
                <w:szCs w:val="24"/>
              </w:rPr>
            </w:pPr>
            <w:r>
              <w:rPr>
                <w:sz w:val="24"/>
                <w:szCs w:val="24"/>
              </w:rPr>
              <w:t>Throughout the year, TB central office staff will provide education to and learn about other disease control program interventions (including HIV and STD programs) via participation in and presentations to programs</w:t>
            </w:r>
            <w:r w:rsidR="001F05BE">
              <w:rPr>
                <w:sz w:val="24"/>
                <w:szCs w:val="24"/>
              </w:rPr>
              <w:t>.</w:t>
            </w:r>
          </w:p>
        </w:tc>
        <w:tc>
          <w:tcPr>
            <w:tcW w:w="3294" w:type="dxa"/>
            <w:vAlign w:val="center"/>
          </w:tcPr>
          <w:p w:rsidR="009E3DAA" w:rsidRDefault="001F05BE" w:rsidP="002F226A">
            <w:pPr>
              <w:rPr>
                <w:sz w:val="24"/>
                <w:szCs w:val="24"/>
              </w:rPr>
            </w:pPr>
            <w:r>
              <w:rPr>
                <w:sz w:val="24"/>
                <w:szCs w:val="24"/>
              </w:rPr>
              <w:t>Attend and present TB issues at a weekly communicable disease surveillance meeting that includes all programs within the Communicable and Environmental Disease and Emergency Preparedness (CEDEP) at the Tennessee Department of Health.</w:t>
            </w:r>
          </w:p>
        </w:tc>
        <w:tc>
          <w:tcPr>
            <w:tcW w:w="3294" w:type="dxa"/>
            <w:vAlign w:val="center"/>
          </w:tcPr>
          <w:p w:rsidR="009E3DAA" w:rsidRDefault="00BA6055" w:rsidP="002F226A">
            <w:pPr>
              <w:rPr>
                <w:sz w:val="24"/>
                <w:szCs w:val="24"/>
              </w:rPr>
            </w:pPr>
            <w:r>
              <w:rPr>
                <w:sz w:val="24"/>
                <w:szCs w:val="24"/>
              </w:rPr>
              <w:t>At least one (1) central office TB program attended the weekly CEDEP meetings to provide TB programmatic updates to the group.</w:t>
            </w:r>
          </w:p>
        </w:tc>
      </w:tr>
      <w:tr w:rsidR="009E3DAA" w:rsidTr="002F226A">
        <w:trPr>
          <w:trHeight w:val="678"/>
        </w:trPr>
        <w:tc>
          <w:tcPr>
            <w:tcW w:w="3294" w:type="dxa"/>
            <w:vMerge/>
            <w:vAlign w:val="center"/>
          </w:tcPr>
          <w:p w:rsidR="009E3DAA" w:rsidRDefault="009E3DAA" w:rsidP="002065C9">
            <w:pPr>
              <w:jc w:val="center"/>
              <w:rPr>
                <w:b/>
                <w:sz w:val="24"/>
                <w:szCs w:val="24"/>
                <w:u w:val="single"/>
              </w:rPr>
            </w:pPr>
          </w:p>
        </w:tc>
        <w:tc>
          <w:tcPr>
            <w:tcW w:w="3294" w:type="dxa"/>
            <w:vMerge/>
            <w:vAlign w:val="center"/>
          </w:tcPr>
          <w:p w:rsidR="009E3DAA" w:rsidRDefault="009E3DAA" w:rsidP="002F226A">
            <w:pPr>
              <w:rPr>
                <w:sz w:val="24"/>
                <w:szCs w:val="24"/>
              </w:rPr>
            </w:pPr>
          </w:p>
        </w:tc>
        <w:tc>
          <w:tcPr>
            <w:tcW w:w="3294" w:type="dxa"/>
            <w:vAlign w:val="center"/>
          </w:tcPr>
          <w:p w:rsidR="009E3DAA" w:rsidRDefault="001F05BE" w:rsidP="002F226A">
            <w:pPr>
              <w:rPr>
                <w:sz w:val="24"/>
                <w:szCs w:val="24"/>
              </w:rPr>
            </w:pPr>
            <w:r>
              <w:rPr>
                <w:sz w:val="24"/>
                <w:szCs w:val="24"/>
              </w:rPr>
              <w:t>Attend and present TB updates on a monthly CEDEP conference call that includes communicable disease program staff from all Tennessee public health regions.</w:t>
            </w:r>
          </w:p>
        </w:tc>
        <w:tc>
          <w:tcPr>
            <w:tcW w:w="3294" w:type="dxa"/>
            <w:vAlign w:val="center"/>
          </w:tcPr>
          <w:p w:rsidR="009E3DAA" w:rsidRDefault="00BA6055" w:rsidP="002F226A">
            <w:pPr>
              <w:rPr>
                <w:sz w:val="24"/>
                <w:szCs w:val="24"/>
              </w:rPr>
            </w:pPr>
            <w:r>
              <w:rPr>
                <w:sz w:val="24"/>
                <w:szCs w:val="24"/>
              </w:rPr>
              <w:t>At least one (1) central office TB program staff participated on the monthly CEDEP conference calls to provide TB programmatic updates.</w:t>
            </w:r>
          </w:p>
        </w:tc>
      </w:tr>
      <w:tr w:rsidR="009E3DAA" w:rsidTr="002F226A">
        <w:trPr>
          <w:trHeight w:val="678"/>
        </w:trPr>
        <w:tc>
          <w:tcPr>
            <w:tcW w:w="3294" w:type="dxa"/>
            <w:vMerge/>
            <w:vAlign w:val="center"/>
          </w:tcPr>
          <w:p w:rsidR="009E3DAA" w:rsidRDefault="009E3DAA" w:rsidP="002065C9">
            <w:pPr>
              <w:jc w:val="center"/>
              <w:rPr>
                <w:b/>
                <w:sz w:val="24"/>
                <w:szCs w:val="24"/>
                <w:u w:val="single"/>
              </w:rPr>
            </w:pPr>
          </w:p>
        </w:tc>
        <w:tc>
          <w:tcPr>
            <w:tcW w:w="3294" w:type="dxa"/>
            <w:vMerge/>
            <w:vAlign w:val="center"/>
          </w:tcPr>
          <w:p w:rsidR="009E3DAA" w:rsidRDefault="009E3DAA" w:rsidP="002F226A">
            <w:pPr>
              <w:rPr>
                <w:sz w:val="24"/>
                <w:szCs w:val="24"/>
              </w:rPr>
            </w:pPr>
          </w:p>
        </w:tc>
        <w:tc>
          <w:tcPr>
            <w:tcW w:w="3294" w:type="dxa"/>
            <w:vAlign w:val="center"/>
          </w:tcPr>
          <w:p w:rsidR="009E3DAA" w:rsidRDefault="001F05BE" w:rsidP="002F226A">
            <w:pPr>
              <w:rPr>
                <w:sz w:val="24"/>
                <w:szCs w:val="24"/>
              </w:rPr>
            </w:pPr>
            <w:r>
              <w:rPr>
                <w:sz w:val="24"/>
                <w:szCs w:val="24"/>
              </w:rPr>
              <w:t>Attend and present TB updates at the semi-annual statewide CEDEP meetings.</w:t>
            </w:r>
          </w:p>
        </w:tc>
        <w:tc>
          <w:tcPr>
            <w:tcW w:w="3294" w:type="dxa"/>
            <w:vAlign w:val="center"/>
          </w:tcPr>
          <w:p w:rsidR="009C2A4C" w:rsidRDefault="002C6147" w:rsidP="002F226A">
            <w:pPr>
              <w:rPr>
                <w:sz w:val="24"/>
                <w:szCs w:val="24"/>
              </w:rPr>
            </w:pPr>
            <w:r>
              <w:rPr>
                <w:sz w:val="24"/>
                <w:szCs w:val="24"/>
              </w:rPr>
              <w:t>Central office TB program staff attended the semi-annual statewide CEDEP meetings in 2018 and 2019.  In 2019, the TTBEP program manager presented on the TB program’s work with the Tennessee Department of Correction.</w:t>
            </w:r>
          </w:p>
        </w:tc>
      </w:tr>
      <w:tr w:rsidR="00935479" w:rsidTr="002F226A">
        <w:tc>
          <w:tcPr>
            <w:tcW w:w="3294" w:type="dxa"/>
            <w:vAlign w:val="center"/>
          </w:tcPr>
          <w:p w:rsidR="00935479" w:rsidRPr="00935479" w:rsidRDefault="00935479" w:rsidP="002065C9">
            <w:pPr>
              <w:jc w:val="center"/>
              <w:rPr>
                <w:b/>
                <w:sz w:val="24"/>
                <w:szCs w:val="24"/>
              </w:rPr>
            </w:pPr>
            <w:r>
              <w:rPr>
                <w:b/>
                <w:sz w:val="24"/>
                <w:szCs w:val="24"/>
                <w:u w:val="single"/>
              </w:rPr>
              <w:t>Objective 5</w:t>
            </w:r>
            <w:r>
              <w:rPr>
                <w:b/>
                <w:sz w:val="24"/>
                <w:szCs w:val="24"/>
              </w:rPr>
              <w:t>: Target other health care providers and organizations serving high-risk populations</w:t>
            </w:r>
          </w:p>
        </w:tc>
        <w:tc>
          <w:tcPr>
            <w:tcW w:w="3294" w:type="dxa"/>
            <w:vAlign w:val="center"/>
          </w:tcPr>
          <w:p w:rsidR="00935479" w:rsidRDefault="002C6147" w:rsidP="002F226A">
            <w:pPr>
              <w:rPr>
                <w:sz w:val="24"/>
                <w:szCs w:val="24"/>
              </w:rPr>
            </w:pPr>
            <w:r>
              <w:rPr>
                <w:sz w:val="24"/>
                <w:szCs w:val="24"/>
              </w:rPr>
              <w:t>Every other year, TTBEP will host a clinical TB update for regional and local TB staff as well as medical providers throughout the state.</w:t>
            </w:r>
          </w:p>
        </w:tc>
        <w:tc>
          <w:tcPr>
            <w:tcW w:w="3294" w:type="dxa"/>
            <w:vAlign w:val="center"/>
          </w:tcPr>
          <w:p w:rsidR="00935479" w:rsidRDefault="002C6147" w:rsidP="002F226A">
            <w:pPr>
              <w:rPr>
                <w:sz w:val="24"/>
                <w:szCs w:val="24"/>
              </w:rPr>
            </w:pPr>
            <w:r>
              <w:rPr>
                <w:sz w:val="24"/>
                <w:szCs w:val="24"/>
              </w:rPr>
              <w:t>Program evaluations from participants are used to plan future clinical updates.</w:t>
            </w:r>
          </w:p>
        </w:tc>
        <w:tc>
          <w:tcPr>
            <w:tcW w:w="3294" w:type="dxa"/>
            <w:vAlign w:val="center"/>
          </w:tcPr>
          <w:p w:rsidR="00935479" w:rsidRDefault="002C6147" w:rsidP="002F226A">
            <w:pPr>
              <w:rPr>
                <w:sz w:val="24"/>
                <w:szCs w:val="24"/>
              </w:rPr>
            </w:pPr>
            <w:r>
              <w:rPr>
                <w:b/>
                <w:sz w:val="24"/>
                <w:szCs w:val="24"/>
                <w:u w:val="single"/>
              </w:rPr>
              <w:t>2018</w:t>
            </w:r>
            <w:r>
              <w:rPr>
                <w:sz w:val="24"/>
                <w:szCs w:val="24"/>
              </w:rPr>
              <w:t>: A statewide TB Clinical Symposium was held on November 1, 2018.  Number of participants and general affiliations were:</w:t>
            </w:r>
          </w:p>
          <w:p w:rsidR="002C6147" w:rsidRPr="001F5464" w:rsidRDefault="002C6147" w:rsidP="002F226A">
            <w:pPr>
              <w:rPr>
                <w:sz w:val="24"/>
                <w:szCs w:val="24"/>
              </w:rPr>
            </w:pPr>
            <w:r w:rsidRPr="001F5464">
              <w:rPr>
                <w:sz w:val="24"/>
                <w:szCs w:val="24"/>
              </w:rPr>
              <w:t>Regional TB staff: 47</w:t>
            </w:r>
          </w:p>
          <w:p w:rsidR="002C6147" w:rsidRPr="001F5464" w:rsidRDefault="002C6147" w:rsidP="002F226A">
            <w:pPr>
              <w:rPr>
                <w:sz w:val="24"/>
                <w:szCs w:val="24"/>
              </w:rPr>
            </w:pPr>
            <w:r w:rsidRPr="001F5464">
              <w:rPr>
                <w:sz w:val="24"/>
                <w:szCs w:val="24"/>
              </w:rPr>
              <w:t>State TB staff: 11</w:t>
            </w:r>
          </w:p>
          <w:p w:rsidR="002C6147" w:rsidRPr="001F5464" w:rsidRDefault="002C6147" w:rsidP="002F226A">
            <w:pPr>
              <w:rPr>
                <w:sz w:val="24"/>
                <w:szCs w:val="24"/>
              </w:rPr>
            </w:pPr>
            <w:r w:rsidRPr="001F5464">
              <w:rPr>
                <w:sz w:val="24"/>
                <w:szCs w:val="24"/>
              </w:rPr>
              <w:t>TB staff from other states: 10</w:t>
            </w:r>
          </w:p>
          <w:p w:rsidR="002C6147" w:rsidRPr="001F5464" w:rsidRDefault="002C6147" w:rsidP="002F226A">
            <w:pPr>
              <w:rPr>
                <w:sz w:val="24"/>
                <w:szCs w:val="24"/>
              </w:rPr>
            </w:pPr>
            <w:r w:rsidRPr="001F5464">
              <w:rPr>
                <w:sz w:val="24"/>
                <w:szCs w:val="24"/>
              </w:rPr>
              <w:t>SNTC: 3</w:t>
            </w:r>
          </w:p>
          <w:p w:rsidR="002C6147" w:rsidRPr="001F5464" w:rsidRDefault="002C6147" w:rsidP="002F226A">
            <w:pPr>
              <w:rPr>
                <w:sz w:val="24"/>
                <w:szCs w:val="24"/>
              </w:rPr>
            </w:pPr>
            <w:r w:rsidRPr="001F5464">
              <w:rPr>
                <w:sz w:val="24"/>
                <w:szCs w:val="24"/>
              </w:rPr>
              <w:t>Other Tennessee agencies: 3</w:t>
            </w:r>
          </w:p>
          <w:p w:rsidR="002C6147" w:rsidRPr="001F5464" w:rsidRDefault="002C6147" w:rsidP="002F226A">
            <w:pPr>
              <w:rPr>
                <w:sz w:val="24"/>
                <w:szCs w:val="24"/>
              </w:rPr>
            </w:pPr>
            <w:r w:rsidRPr="001F5464">
              <w:rPr>
                <w:sz w:val="24"/>
                <w:szCs w:val="24"/>
              </w:rPr>
              <w:t>Hospital/university: 11</w:t>
            </w:r>
          </w:p>
          <w:p w:rsidR="002C6147" w:rsidRDefault="002C6147" w:rsidP="002F226A">
            <w:pPr>
              <w:rPr>
                <w:sz w:val="24"/>
                <w:szCs w:val="24"/>
              </w:rPr>
            </w:pPr>
            <w:r w:rsidRPr="001F5464">
              <w:rPr>
                <w:sz w:val="24"/>
                <w:szCs w:val="24"/>
              </w:rPr>
              <w:t>Other Tennessee Department of Health disease program: 1</w:t>
            </w:r>
          </w:p>
          <w:p w:rsidR="001A5972" w:rsidRPr="001A5972" w:rsidRDefault="001A5972" w:rsidP="002F226A">
            <w:pPr>
              <w:rPr>
                <w:sz w:val="24"/>
                <w:szCs w:val="24"/>
              </w:rPr>
            </w:pPr>
            <w:r>
              <w:rPr>
                <w:b/>
                <w:sz w:val="24"/>
                <w:szCs w:val="24"/>
                <w:u w:val="single"/>
              </w:rPr>
              <w:t>2019</w:t>
            </w:r>
            <w:r>
              <w:rPr>
                <w:sz w:val="24"/>
                <w:szCs w:val="24"/>
              </w:rPr>
              <w:t>: In observance of World TB Day on March 24, 2019, the TB program displayed a poster in the lobby of the Department of Health building and held an “It’s Time to End TB” facts contest where the winner won a Fitbit Charge 3.  The TTBEP medical director provided TB education as an exhibitor at the 71</w:t>
            </w:r>
            <w:r w:rsidRPr="001A5972">
              <w:rPr>
                <w:sz w:val="24"/>
                <w:szCs w:val="24"/>
                <w:vertAlign w:val="superscript"/>
              </w:rPr>
              <w:t>st</w:t>
            </w:r>
            <w:r>
              <w:rPr>
                <w:sz w:val="24"/>
                <w:szCs w:val="24"/>
              </w:rPr>
              <w:t xml:space="preserve"> Tennessee Scientific Academy of Family Physician Scientific Assembly meeting.</w:t>
            </w:r>
          </w:p>
        </w:tc>
      </w:tr>
    </w:tbl>
    <w:p w:rsidR="004256A8" w:rsidRDefault="004256A8" w:rsidP="00B07043">
      <w:pPr>
        <w:spacing w:after="0" w:line="240" w:lineRule="auto"/>
        <w:rPr>
          <w:sz w:val="24"/>
          <w:szCs w:val="24"/>
        </w:rPr>
      </w:pPr>
    </w:p>
    <w:p w:rsidR="004256A8" w:rsidRPr="002063D8" w:rsidRDefault="004256A8" w:rsidP="004256A8">
      <w:pPr>
        <w:spacing w:after="0" w:line="240" w:lineRule="auto"/>
        <w:rPr>
          <w:b/>
          <w:sz w:val="24"/>
          <w:szCs w:val="24"/>
        </w:rPr>
      </w:pPr>
      <w:r>
        <w:rPr>
          <w:b/>
          <w:sz w:val="24"/>
          <w:szCs w:val="24"/>
        </w:rPr>
        <w:t>Table 12.  Human Resources Development—Overview of Activities, 2015-2017</w:t>
      </w:r>
    </w:p>
    <w:tbl>
      <w:tblPr>
        <w:tblStyle w:val="TableGrid"/>
        <w:tblW w:w="0" w:type="auto"/>
        <w:tblLook w:val="04A0" w:firstRow="1" w:lastRow="0" w:firstColumn="1" w:lastColumn="0" w:noHBand="0" w:noVBand="1"/>
      </w:tblPr>
      <w:tblGrid>
        <w:gridCol w:w="1728"/>
        <w:gridCol w:w="3870"/>
        <w:gridCol w:w="7578"/>
      </w:tblGrid>
      <w:tr w:rsidR="004256A8" w:rsidTr="004256A8">
        <w:tc>
          <w:tcPr>
            <w:tcW w:w="1728" w:type="dxa"/>
            <w:shd w:val="clear" w:color="auto" w:fill="D9D9D9" w:themeFill="background1" w:themeFillShade="D9"/>
          </w:tcPr>
          <w:p w:rsidR="004256A8" w:rsidRPr="004256A8" w:rsidRDefault="004256A8" w:rsidP="004256A8">
            <w:pPr>
              <w:jc w:val="center"/>
              <w:rPr>
                <w:b/>
                <w:sz w:val="24"/>
                <w:szCs w:val="24"/>
              </w:rPr>
            </w:pPr>
            <w:r>
              <w:rPr>
                <w:b/>
                <w:sz w:val="24"/>
                <w:szCs w:val="24"/>
              </w:rPr>
              <w:t>Year</w:t>
            </w:r>
          </w:p>
        </w:tc>
        <w:tc>
          <w:tcPr>
            <w:tcW w:w="3870" w:type="dxa"/>
            <w:shd w:val="clear" w:color="auto" w:fill="D9D9D9" w:themeFill="background1" w:themeFillShade="D9"/>
          </w:tcPr>
          <w:p w:rsidR="004256A8" w:rsidRPr="004256A8" w:rsidRDefault="004256A8" w:rsidP="004256A8">
            <w:pPr>
              <w:jc w:val="center"/>
              <w:rPr>
                <w:b/>
                <w:sz w:val="24"/>
                <w:szCs w:val="24"/>
              </w:rPr>
            </w:pPr>
            <w:r>
              <w:rPr>
                <w:b/>
                <w:sz w:val="24"/>
                <w:szCs w:val="24"/>
              </w:rPr>
              <w:t>Objectives</w:t>
            </w:r>
          </w:p>
        </w:tc>
        <w:tc>
          <w:tcPr>
            <w:tcW w:w="7578" w:type="dxa"/>
            <w:shd w:val="clear" w:color="auto" w:fill="D9D9D9" w:themeFill="background1" w:themeFillShade="D9"/>
          </w:tcPr>
          <w:p w:rsidR="004256A8" w:rsidRPr="004256A8" w:rsidRDefault="004256A8" w:rsidP="004256A8">
            <w:pPr>
              <w:jc w:val="center"/>
              <w:rPr>
                <w:b/>
                <w:sz w:val="24"/>
                <w:szCs w:val="24"/>
              </w:rPr>
            </w:pPr>
            <w:r>
              <w:rPr>
                <w:b/>
                <w:sz w:val="24"/>
                <w:szCs w:val="24"/>
              </w:rPr>
              <w:t>Activities</w:t>
            </w:r>
          </w:p>
        </w:tc>
      </w:tr>
      <w:tr w:rsidR="005D464D" w:rsidTr="00AE4E99">
        <w:tc>
          <w:tcPr>
            <w:tcW w:w="1728" w:type="dxa"/>
            <w:vAlign w:val="center"/>
          </w:tcPr>
          <w:p w:rsidR="005D464D" w:rsidRDefault="005D464D" w:rsidP="00146AA3">
            <w:pPr>
              <w:jc w:val="center"/>
              <w:rPr>
                <w:sz w:val="24"/>
                <w:szCs w:val="24"/>
              </w:rPr>
            </w:pPr>
            <w:r>
              <w:rPr>
                <w:sz w:val="24"/>
                <w:szCs w:val="24"/>
              </w:rPr>
              <w:t>2015</w:t>
            </w:r>
          </w:p>
        </w:tc>
        <w:tc>
          <w:tcPr>
            <w:tcW w:w="3870" w:type="dxa"/>
            <w:vMerge w:val="restart"/>
            <w:vAlign w:val="center"/>
          </w:tcPr>
          <w:p w:rsidR="005D464D" w:rsidRDefault="005D464D" w:rsidP="00AE4E99">
            <w:pPr>
              <w:pStyle w:val="ListParagraph"/>
              <w:numPr>
                <w:ilvl w:val="0"/>
                <w:numId w:val="13"/>
              </w:numPr>
              <w:ind w:left="342"/>
              <w:rPr>
                <w:sz w:val="24"/>
                <w:szCs w:val="24"/>
              </w:rPr>
            </w:pPr>
            <w:r>
              <w:rPr>
                <w:sz w:val="24"/>
                <w:szCs w:val="24"/>
              </w:rPr>
              <w:t>Establish and improve existing in-service TB training and human resource development</w:t>
            </w:r>
          </w:p>
          <w:p w:rsidR="005D464D" w:rsidRDefault="005D464D" w:rsidP="00AE4E99">
            <w:pPr>
              <w:pStyle w:val="ListParagraph"/>
              <w:numPr>
                <w:ilvl w:val="0"/>
                <w:numId w:val="13"/>
              </w:numPr>
              <w:ind w:left="342"/>
              <w:rPr>
                <w:sz w:val="24"/>
                <w:szCs w:val="24"/>
              </w:rPr>
            </w:pPr>
            <w:r>
              <w:rPr>
                <w:sz w:val="24"/>
                <w:szCs w:val="24"/>
              </w:rPr>
              <w:t>Establish evaluation strategies to improve existing systems and to identify ongoing training and human resource needs</w:t>
            </w:r>
          </w:p>
          <w:p w:rsidR="005D464D" w:rsidRDefault="005D464D" w:rsidP="00AE4E99">
            <w:pPr>
              <w:pStyle w:val="ListParagraph"/>
              <w:numPr>
                <w:ilvl w:val="0"/>
                <w:numId w:val="13"/>
              </w:numPr>
              <w:ind w:left="342"/>
              <w:rPr>
                <w:sz w:val="24"/>
                <w:szCs w:val="24"/>
              </w:rPr>
            </w:pPr>
            <w:r>
              <w:rPr>
                <w:sz w:val="24"/>
                <w:szCs w:val="24"/>
              </w:rPr>
              <w:t>Establish and improve patient education and communications capacity within the program</w:t>
            </w:r>
          </w:p>
          <w:p w:rsidR="005D464D" w:rsidRDefault="005D464D" w:rsidP="00AE4E99">
            <w:pPr>
              <w:pStyle w:val="ListParagraph"/>
              <w:numPr>
                <w:ilvl w:val="0"/>
                <w:numId w:val="13"/>
              </w:numPr>
              <w:ind w:left="342"/>
              <w:rPr>
                <w:sz w:val="24"/>
                <w:szCs w:val="24"/>
              </w:rPr>
            </w:pPr>
            <w:r>
              <w:rPr>
                <w:sz w:val="24"/>
                <w:szCs w:val="24"/>
              </w:rPr>
              <w:t>Coordinate training related to TB control with training for other disease control interventions such as HIV/AIDS, viral hepatitis and STD</w:t>
            </w:r>
          </w:p>
          <w:p w:rsidR="005D464D" w:rsidRPr="005D464D" w:rsidRDefault="005D464D" w:rsidP="00AE4E99">
            <w:pPr>
              <w:pStyle w:val="ListParagraph"/>
              <w:numPr>
                <w:ilvl w:val="0"/>
                <w:numId w:val="13"/>
              </w:numPr>
              <w:ind w:left="342"/>
              <w:rPr>
                <w:sz w:val="24"/>
                <w:szCs w:val="24"/>
              </w:rPr>
            </w:pPr>
            <w:r>
              <w:rPr>
                <w:sz w:val="24"/>
                <w:szCs w:val="24"/>
              </w:rPr>
              <w:t>Target other health care providers and organizations serving high-risk populations</w:t>
            </w:r>
          </w:p>
        </w:tc>
        <w:tc>
          <w:tcPr>
            <w:tcW w:w="7578" w:type="dxa"/>
          </w:tcPr>
          <w:p w:rsidR="005D464D" w:rsidRDefault="005D464D" w:rsidP="00B07043">
            <w:pPr>
              <w:rPr>
                <w:sz w:val="24"/>
                <w:szCs w:val="24"/>
              </w:rPr>
            </w:pPr>
            <w:r>
              <w:rPr>
                <w:sz w:val="24"/>
                <w:szCs w:val="24"/>
                <w:u w:val="single"/>
              </w:rPr>
              <w:t>Statewide meeting</w:t>
            </w:r>
            <w:r>
              <w:rPr>
                <w:sz w:val="24"/>
                <w:szCs w:val="24"/>
              </w:rPr>
              <w:t>: Meeting held October 29-30, 2015 with 43 state and regional TB program attendees.</w:t>
            </w:r>
          </w:p>
          <w:p w:rsidR="005D464D" w:rsidRDefault="005D464D" w:rsidP="00B07043">
            <w:pPr>
              <w:rPr>
                <w:sz w:val="24"/>
                <w:szCs w:val="24"/>
              </w:rPr>
            </w:pPr>
            <w:r w:rsidRPr="006E3D5E">
              <w:rPr>
                <w:sz w:val="24"/>
                <w:szCs w:val="24"/>
                <w:u w:val="single"/>
              </w:rPr>
              <w:t>Trainings (in-person and webinar)</w:t>
            </w:r>
            <w:r>
              <w:rPr>
                <w:sz w:val="24"/>
                <w:szCs w:val="24"/>
              </w:rPr>
              <w:t>: 30 in-person trainings were held with 483 participants and 23 webinars were viewed by 83 participants.</w:t>
            </w:r>
          </w:p>
          <w:p w:rsidR="005D464D" w:rsidRDefault="005D464D" w:rsidP="00B07043">
            <w:pPr>
              <w:rPr>
                <w:sz w:val="24"/>
                <w:szCs w:val="24"/>
              </w:rPr>
            </w:pPr>
            <w:r>
              <w:rPr>
                <w:sz w:val="24"/>
                <w:szCs w:val="24"/>
                <w:u w:val="single"/>
              </w:rPr>
              <w:t>Educational Needs Survey</w:t>
            </w:r>
            <w:r>
              <w:rPr>
                <w:sz w:val="24"/>
                <w:szCs w:val="24"/>
              </w:rPr>
              <w:t>: 26 regional TB staff from 12 regional TB program completed the annual educational needs survey</w:t>
            </w:r>
          </w:p>
          <w:p w:rsidR="005D464D" w:rsidRPr="006E3D5E" w:rsidRDefault="005D464D" w:rsidP="00B07043">
            <w:pPr>
              <w:rPr>
                <w:sz w:val="24"/>
                <w:szCs w:val="24"/>
              </w:rPr>
            </w:pPr>
            <w:r>
              <w:rPr>
                <w:sz w:val="24"/>
                <w:szCs w:val="24"/>
                <w:u w:val="single"/>
              </w:rPr>
              <w:t>Presentations</w:t>
            </w:r>
            <w:r>
              <w:rPr>
                <w:sz w:val="24"/>
                <w:szCs w:val="24"/>
              </w:rPr>
              <w:t>: Central office TB staff (medical director, program manager, nurse consultants, and epidemiologists) delivered 30 presentations statewide with 483 total attendees (total of 1,737 hours of in-service training)</w:t>
            </w:r>
          </w:p>
        </w:tc>
      </w:tr>
      <w:tr w:rsidR="005D464D" w:rsidTr="00146AA3">
        <w:tc>
          <w:tcPr>
            <w:tcW w:w="1728" w:type="dxa"/>
            <w:vAlign w:val="center"/>
          </w:tcPr>
          <w:p w:rsidR="005D464D" w:rsidRDefault="005D464D" w:rsidP="00146AA3">
            <w:pPr>
              <w:jc w:val="center"/>
              <w:rPr>
                <w:sz w:val="24"/>
                <w:szCs w:val="24"/>
              </w:rPr>
            </w:pPr>
            <w:r>
              <w:rPr>
                <w:sz w:val="24"/>
                <w:szCs w:val="24"/>
              </w:rPr>
              <w:t>2016</w:t>
            </w:r>
          </w:p>
        </w:tc>
        <w:tc>
          <w:tcPr>
            <w:tcW w:w="3870" w:type="dxa"/>
            <w:vMerge/>
          </w:tcPr>
          <w:p w:rsidR="005D464D" w:rsidRDefault="005D464D" w:rsidP="00B07043">
            <w:pPr>
              <w:rPr>
                <w:sz w:val="24"/>
                <w:szCs w:val="24"/>
              </w:rPr>
            </w:pPr>
          </w:p>
        </w:tc>
        <w:tc>
          <w:tcPr>
            <w:tcW w:w="7578" w:type="dxa"/>
          </w:tcPr>
          <w:p w:rsidR="005D464D" w:rsidRDefault="00F67A03" w:rsidP="00B07043">
            <w:pPr>
              <w:rPr>
                <w:sz w:val="24"/>
                <w:szCs w:val="24"/>
              </w:rPr>
            </w:pPr>
            <w:r>
              <w:rPr>
                <w:sz w:val="24"/>
                <w:szCs w:val="24"/>
              </w:rPr>
              <w:t>Revised “Welcome to Tennessee” letters for immigrants and refugees with a B-TB classification needing evaluation at the public health department to include the following languages: Arabic, Burmese, Chinese, Dzongkha, Russian, Somali, Spanish, Tagalog, and Vietnamese.</w:t>
            </w:r>
          </w:p>
        </w:tc>
      </w:tr>
      <w:tr w:rsidR="005D464D" w:rsidTr="00146AA3">
        <w:tc>
          <w:tcPr>
            <w:tcW w:w="1728" w:type="dxa"/>
            <w:vAlign w:val="center"/>
          </w:tcPr>
          <w:p w:rsidR="005D464D" w:rsidRDefault="005D464D" w:rsidP="00146AA3">
            <w:pPr>
              <w:jc w:val="center"/>
              <w:rPr>
                <w:sz w:val="24"/>
                <w:szCs w:val="24"/>
              </w:rPr>
            </w:pPr>
            <w:r>
              <w:rPr>
                <w:sz w:val="24"/>
                <w:szCs w:val="24"/>
              </w:rPr>
              <w:t>2017</w:t>
            </w:r>
          </w:p>
        </w:tc>
        <w:tc>
          <w:tcPr>
            <w:tcW w:w="3870" w:type="dxa"/>
            <w:vMerge/>
          </w:tcPr>
          <w:p w:rsidR="005D464D" w:rsidRDefault="005D464D" w:rsidP="00B07043">
            <w:pPr>
              <w:rPr>
                <w:sz w:val="24"/>
                <w:szCs w:val="24"/>
              </w:rPr>
            </w:pPr>
          </w:p>
        </w:tc>
        <w:tc>
          <w:tcPr>
            <w:tcW w:w="7578" w:type="dxa"/>
          </w:tcPr>
          <w:p w:rsidR="005D464D" w:rsidRDefault="00F67A03" w:rsidP="00B07043">
            <w:pPr>
              <w:rPr>
                <w:sz w:val="24"/>
                <w:szCs w:val="24"/>
              </w:rPr>
            </w:pPr>
            <w:r>
              <w:rPr>
                <w:sz w:val="24"/>
                <w:szCs w:val="24"/>
              </w:rPr>
              <w:t>Expanded “Welcome to Tennessee” letters for immigrants and refugees with a B-TB classification needing evaluation at the public health department.  Letters provided in the following languages: Amharic, Arabic, Burmese, Dzongkha, French, Haitian Creole, Hindi, Nepali, Simplified Chinese, Somali, Spanish, Swahili, Tagalog, Traditional Chinese, and Vietnamese.  Additional languages were added after an multi-year analysis of the most common countries of birth of immigrants and refugees entering Tennessee</w:t>
            </w:r>
          </w:p>
        </w:tc>
      </w:tr>
    </w:tbl>
    <w:p w:rsidR="004256A8" w:rsidRDefault="004256A8" w:rsidP="00B07043">
      <w:pPr>
        <w:spacing w:after="0" w:line="240" w:lineRule="auto"/>
        <w:rPr>
          <w:sz w:val="24"/>
          <w:szCs w:val="24"/>
        </w:rPr>
      </w:pPr>
    </w:p>
    <w:p w:rsidR="004256A8" w:rsidRPr="00883440" w:rsidRDefault="004256A8" w:rsidP="00B07043">
      <w:pPr>
        <w:spacing w:after="0" w:line="240" w:lineRule="auto"/>
        <w:rPr>
          <w:sz w:val="24"/>
          <w:szCs w:val="24"/>
        </w:rPr>
      </w:pPr>
    </w:p>
    <w:p w:rsidR="00443FED" w:rsidRPr="00DC184F" w:rsidRDefault="00AB13BD" w:rsidP="00B07043">
      <w:pPr>
        <w:spacing w:after="0" w:line="240" w:lineRule="auto"/>
        <w:rPr>
          <w:sz w:val="24"/>
          <w:szCs w:val="24"/>
        </w:rPr>
      </w:pPr>
      <w:r>
        <w:rPr>
          <w:b/>
          <w:sz w:val="24"/>
          <w:szCs w:val="24"/>
          <w:u w:val="single"/>
        </w:rPr>
        <w:t>LABORATORY STRENGTHENING</w:t>
      </w:r>
    </w:p>
    <w:p w:rsidR="00F85DA3" w:rsidRPr="00F85DA3" w:rsidRDefault="00F85DA3" w:rsidP="00B07043">
      <w:pPr>
        <w:spacing w:after="0" w:line="240" w:lineRule="auto"/>
        <w:rPr>
          <w:sz w:val="24"/>
          <w:szCs w:val="24"/>
        </w:rPr>
      </w:pPr>
    </w:p>
    <w:sectPr w:rsidR="00F85DA3" w:rsidRPr="00F85DA3" w:rsidSect="00AA40FB">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43B" w:rsidRDefault="005B543B" w:rsidP="00B07043">
      <w:pPr>
        <w:spacing w:after="0" w:line="240" w:lineRule="auto"/>
      </w:pPr>
      <w:r>
        <w:separator/>
      </w:r>
    </w:p>
  </w:endnote>
  <w:endnote w:type="continuationSeparator" w:id="0">
    <w:p w:rsidR="005B543B" w:rsidRDefault="005B543B" w:rsidP="00B07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43B" w:rsidRPr="009E6CC8" w:rsidRDefault="005B543B">
    <w:pPr>
      <w:pStyle w:val="Footer"/>
      <w:rPr>
        <w:sz w:val="24"/>
        <w:szCs w:val="24"/>
      </w:rPr>
    </w:pPr>
    <w:r>
      <w:rPr>
        <w:sz w:val="24"/>
        <w:szCs w:val="24"/>
      </w:rPr>
      <w:t>APR/</w:t>
    </w:r>
    <w:r w:rsidRPr="009E6CC8">
      <w:rPr>
        <w:sz w:val="24"/>
        <w:szCs w:val="24"/>
      </w:rPr>
      <w:t>Closeout Report</w:t>
    </w:r>
    <w:r w:rsidRPr="009E6CC8">
      <w:rPr>
        <w:sz w:val="24"/>
        <w:szCs w:val="24"/>
      </w:rPr>
      <w:tab/>
    </w:r>
    <w:sdt>
      <w:sdtPr>
        <w:rPr>
          <w:sz w:val="24"/>
          <w:szCs w:val="24"/>
        </w:rPr>
        <w:id w:val="1719087129"/>
        <w:docPartObj>
          <w:docPartGallery w:val="Page Numbers (Bottom of Page)"/>
          <w:docPartUnique/>
        </w:docPartObj>
      </w:sdtPr>
      <w:sdtEndPr>
        <w:rPr>
          <w:noProof/>
        </w:rPr>
      </w:sdtEndPr>
      <w:sdtContent>
        <w:r w:rsidRPr="009E6CC8">
          <w:rPr>
            <w:sz w:val="24"/>
            <w:szCs w:val="24"/>
          </w:rPr>
          <w:fldChar w:fldCharType="begin"/>
        </w:r>
        <w:r w:rsidRPr="009E6CC8">
          <w:rPr>
            <w:sz w:val="24"/>
            <w:szCs w:val="24"/>
          </w:rPr>
          <w:instrText xml:space="preserve"> PAGE   \* MERGEFORMAT </w:instrText>
        </w:r>
        <w:r w:rsidRPr="009E6CC8">
          <w:rPr>
            <w:sz w:val="24"/>
            <w:szCs w:val="24"/>
          </w:rPr>
          <w:fldChar w:fldCharType="separate"/>
        </w:r>
        <w:r w:rsidR="00F37230">
          <w:rPr>
            <w:noProof/>
            <w:sz w:val="24"/>
            <w:szCs w:val="24"/>
          </w:rPr>
          <w:t>1</w:t>
        </w:r>
        <w:r w:rsidRPr="009E6CC8">
          <w:rPr>
            <w:noProof/>
            <w:sz w:val="24"/>
            <w:szCs w:val="24"/>
          </w:rPr>
          <w:fldChar w:fldCharType="end"/>
        </w:r>
      </w:sdtContent>
    </w:sdt>
  </w:p>
  <w:p w:rsidR="005B543B" w:rsidRDefault="005B543B">
    <w:pPr>
      <w:pStyle w:val="Footer"/>
    </w:pPr>
    <w:r w:rsidRPr="00164FA0">
      <w:rPr>
        <w:sz w:val="24"/>
        <w:szCs w:val="24"/>
      </w:rPr>
      <w:t>Prevention and Control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43B" w:rsidRPr="009E6CC8" w:rsidRDefault="005B543B">
    <w:pPr>
      <w:pStyle w:val="Footer"/>
      <w:rPr>
        <w:sz w:val="24"/>
        <w:szCs w:val="24"/>
      </w:rPr>
    </w:pPr>
    <w:r>
      <w:rPr>
        <w:sz w:val="24"/>
        <w:szCs w:val="24"/>
      </w:rPr>
      <w:t>APR/</w:t>
    </w:r>
    <w:r w:rsidRPr="009E6CC8">
      <w:rPr>
        <w:sz w:val="24"/>
        <w:szCs w:val="24"/>
      </w:rPr>
      <w:t>Closeout Report</w:t>
    </w:r>
    <w:r w:rsidRPr="009E6CC8">
      <w:rPr>
        <w:sz w:val="24"/>
        <w:szCs w:val="24"/>
      </w:rPr>
      <w:tab/>
    </w:r>
    <w:sdt>
      <w:sdtPr>
        <w:rPr>
          <w:sz w:val="24"/>
          <w:szCs w:val="24"/>
        </w:rPr>
        <w:id w:val="-76595013"/>
        <w:docPartObj>
          <w:docPartGallery w:val="Page Numbers (Bottom of Page)"/>
          <w:docPartUnique/>
        </w:docPartObj>
      </w:sdtPr>
      <w:sdtEndPr>
        <w:rPr>
          <w:noProof/>
        </w:rPr>
      </w:sdtEndPr>
      <w:sdtContent>
        <w:r>
          <w:rPr>
            <w:sz w:val="24"/>
            <w:szCs w:val="24"/>
          </w:rPr>
          <w:t xml:space="preserve">                                                                     </w:t>
        </w:r>
        <w:r w:rsidRPr="009E6CC8">
          <w:rPr>
            <w:sz w:val="24"/>
            <w:szCs w:val="24"/>
          </w:rPr>
          <w:fldChar w:fldCharType="begin"/>
        </w:r>
        <w:r w:rsidRPr="009E6CC8">
          <w:rPr>
            <w:sz w:val="24"/>
            <w:szCs w:val="24"/>
          </w:rPr>
          <w:instrText xml:space="preserve"> PAGE   \* MERGEFORMAT </w:instrText>
        </w:r>
        <w:r w:rsidRPr="009E6CC8">
          <w:rPr>
            <w:sz w:val="24"/>
            <w:szCs w:val="24"/>
          </w:rPr>
          <w:fldChar w:fldCharType="separate"/>
        </w:r>
        <w:r w:rsidR="00F53034">
          <w:rPr>
            <w:noProof/>
            <w:sz w:val="24"/>
            <w:szCs w:val="24"/>
          </w:rPr>
          <w:t>4</w:t>
        </w:r>
        <w:r w:rsidRPr="009E6CC8">
          <w:rPr>
            <w:noProof/>
            <w:sz w:val="24"/>
            <w:szCs w:val="24"/>
          </w:rPr>
          <w:fldChar w:fldCharType="end"/>
        </w:r>
      </w:sdtContent>
    </w:sdt>
  </w:p>
  <w:p w:rsidR="005B543B" w:rsidRDefault="005B543B">
    <w:pPr>
      <w:pStyle w:val="Footer"/>
    </w:pPr>
    <w:r w:rsidRPr="00164FA0">
      <w:rPr>
        <w:sz w:val="24"/>
        <w:szCs w:val="24"/>
      </w:rPr>
      <w:t>Prevention and Control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43B" w:rsidRPr="009E6CC8" w:rsidRDefault="005B543B">
    <w:pPr>
      <w:pStyle w:val="Footer"/>
      <w:rPr>
        <w:sz w:val="24"/>
        <w:szCs w:val="24"/>
      </w:rPr>
    </w:pPr>
    <w:r>
      <w:rPr>
        <w:sz w:val="24"/>
        <w:szCs w:val="24"/>
      </w:rPr>
      <w:t>APR/</w:t>
    </w:r>
    <w:r w:rsidRPr="009E6CC8">
      <w:rPr>
        <w:sz w:val="24"/>
        <w:szCs w:val="24"/>
      </w:rPr>
      <w:t>Closeout Report</w:t>
    </w:r>
    <w:r w:rsidRPr="009E6CC8">
      <w:rPr>
        <w:sz w:val="24"/>
        <w:szCs w:val="24"/>
      </w:rPr>
      <w:tab/>
    </w:r>
    <w:sdt>
      <w:sdtPr>
        <w:rPr>
          <w:sz w:val="24"/>
          <w:szCs w:val="24"/>
        </w:rPr>
        <w:id w:val="1072389565"/>
        <w:docPartObj>
          <w:docPartGallery w:val="Page Numbers (Bottom of Page)"/>
          <w:docPartUnique/>
        </w:docPartObj>
      </w:sdtPr>
      <w:sdtEndPr>
        <w:rPr>
          <w:noProof/>
        </w:rPr>
      </w:sdtEndPr>
      <w:sdtContent>
        <w:r w:rsidRPr="009E6CC8">
          <w:rPr>
            <w:sz w:val="24"/>
            <w:szCs w:val="24"/>
          </w:rPr>
          <w:fldChar w:fldCharType="begin"/>
        </w:r>
        <w:r w:rsidRPr="009E6CC8">
          <w:rPr>
            <w:sz w:val="24"/>
            <w:szCs w:val="24"/>
          </w:rPr>
          <w:instrText xml:space="preserve"> PAGE   \* MERGEFORMAT </w:instrText>
        </w:r>
        <w:r w:rsidRPr="009E6CC8">
          <w:rPr>
            <w:sz w:val="24"/>
            <w:szCs w:val="24"/>
          </w:rPr>
          <w:fldChar w:fldCharType="separate"/>
        </w:r>
        <w:r w:rsidR="00F53034">
          <w:rPr>
            <w:noProof/>
            <w:sz w:val="24"/>
            <w:szCs w:val="24"/>
          </w:rPr>
          <w:t>8</w:t>
        </w:r>
        <w:r w:rsidRPr="009E6CC8">
          <w:rPr>
            <w:noProof/>
            <w:sz w:val="24"/>
            <w:szCs w:val="24"/>
          </w:rPr>
          <w:fldChar w:fldCharType="end"/>
        </w:r>
      </w:sdtContent>
    </w:sdt>
  </w:p>
  <w:p w:rsidR="005B543B" w:rsidRDefault="005B543B">
    <w:pPr>
      <w:pStyle w:val="Footer"/>
    </w:pPr>
    <w:r w:rsidRPr="00164FA0">
      <w:rPr>
        <w:sz w:val="24"/>
        <w:szCs w:val="24"/>
      </w:rPr>
      <w:t>Prevention and Control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43B" w:rsidRPr="009E6CC8" w:rsidRDefault="005B543B">
    <w:pPr>
      <w:pStyle w:val="Footer"/>
      <w:rPr>
        <w:sz w:val="24"/>
        <w:szCs w:val="24"/>
      </w:rPr>
    </w:pPr>
    <w:r w:rsidRPr="009E6CC8">
      <w:rPr>
        <w:sz w:val="24"/>
        <w:szCs w:val="24"/>
      </w:rPr>
      <w:t>Closeout Report</w:t>
    </w:r>
    <w:r w:rsidRPr="009E6CC8">
      <w:rPr>
        <w:sz w:val="24"/>
        <w:szCs w:val="24"/>
      </w:rPr>
      <w:tab/>
    </w:r>
    <w:sdt>
      <w:sdtPr>
        <w:rPr>
          <w:sz w:val="24"/>
          <w:szCs w:val="24"/>
        </w:rPr>
        <w:id w:val="-297992080"/>
        <w:docPartObj>
          <w:docPartGallery w:val="Page Numbers (Bottom of Page)"/>
          <w:docPartUnique/>
        </w:docPartObj>
      </w:sdtPr>
      <w:sdtEndPr>
        <w:rPr>
          <w:noProof/>
        </w:rPr>
      </w:sdtEndPr>
      <w:sdtContent>
        <w:r>
          <w:rPr>
            <w:sz w:val="24"/>
            <w:szCs w:val="24"/>
          </w:rPr>
          <w:t xml:space="preserve">                                                            </w:t>
        </w:r>
        <w:r w:rsidRPr="009E6CC8">
          <w:rPr>
            <w:sz w:val="24"/>
            <w:szCs w:val="24"/>
          </w:rPr>
          <w:fldChar w:fldCharType="begin"/>
        </w:r>
        <w:r w:rsidRPr="009E6CC8">
          <w:rPr>
            <w:sz w:val="24"/>
            <w:szCs w:val="24"/>
          </w:rPr>
          <w:instrText xml:space="preserve"> PAGE   \* MERGEFORMAT </w:instrText>
        </w:r>
        <w:r w:rsidRPr="009E6CC8">
          <w:rPr>
            <w:sz w:val="24"/>
            <w:szCs w:val="24"/>
          </w:rPr>
          <w:fldChar w:fldCharType="separate"/>
        </w:r>
        <w:r w:rsidR="00F53034">
          <w:rPr>
            <w:noProof/>
            <w:sz w:val="24"/>
            <w:szCs w:val="24"/>
          </w:rPr>
          <w:t>30</w:t>
        </w:r>
        <w:r w:rsidRPr="009E6CC8">
          <w:rPr>
            <w:noProof/>
            <w:sz w:val="24"/>
            <w:szCs w:val="24"/>
          </w:rPr>
          <w:fldChar w:fldCharType="end"/>
        </w:r>
      </w:sdtContent>
    </w:sdt>
  </w:p>
  <w:p w:rsidR="005B543B" w:rsidRPr="00163B00" w:rsidRDefault="005B543B">
    <w:pPr>
      <w:pStyle w:val="Footer"/>
      <w:rPr>
        <w:sz w:val="24"/>
        <w:szCs w:val="24"/>
      </w:rPr>
    </w:pPr>
    <w:r>
      <w:rPr>
        <w:sz w:val="24"/>
        <w:szCs w:val="24"/>
      </w:rPr>
      <w:t>Human Resources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43B" w:rsidRDefault="005B543B" w:rsidP="00B07043">
      <w:pPr>
        <w:spacing w:after="0" w:line="240" w:lineRule="auto"/>
      </w:pPr>
      <w:r>
        <w:separator/>
      </w:r>
    </w:p>
  </w:footnote>
  <w:footnote w:type="continuationSeparator" w:id="0">
    <w:p w:rsidR="005B543B" w:rsidRDefault="005B543B" w:rsidP="00B07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43B" w:rsidRPr="00B07043" w:rsidRDefault="005B543B" w:rsidP="00B07043">
    <w:pPr>
      <w:pStyle w:val="Header"/>
      <w:rPr>
        <w:sz w:val="24"/>
        <w:szCs w:val="24"/>
      </w:rPr>
    </w:pPr>
    <w:r w:rsidRPr="00B07043">
      <w:rPr>
        <w:sz w:val="24"/>
        <w:szCs w:val="24"/>
        <w:u w:val="single"/>
      </w:rPr>
      <w:t>Grant Number</w:t>
    </w:r>
    <w:r w:rsidRPr="00B07043">
      <w:rPr>
        <w:sz w:val="24"/>
        <w:szCs w:val="24"/>
      </w:rPr>
      <w:t>:  6 NU52PS004696-05-04</w:t>
    </w:r>
  </w:p>
  <w:p w:rsidR="005B543B" w:rsidRPr="00B07043" w:rsidRDefault="005B543B" w:rsidP="00B07043">
    <w:pPr>
      <w:pStyle w:val="Header"/>
      <w:rPr>
        <w:sz w:val="24"/>
        <w:szCs w:val="24"/>
      </w:rPr>
    </w:pPr>
    <w:r w:rsidRPr="00B07043">
      <w:rPr>
        <w:sz w:val="24"/>
        <w:szCs w:val="24"/>
        <w:u w:val="single"/>
      </w:rPr>
      <w:t>Grant Program</w:t>
    </w:r>
    <w:r w:rsidRPr="00B07043">
      <w:rPr>
        <w:sz w:val="24"/>
        <w:szCs w:val="24"/>
      </w:rPr>
      <w:t>:  PS15-1501.NU52 Tuberculosis Elimination and Laboratory Cooperative</w:t>
    </w:r>
  </w:p>
  <w:p w:rsidR="005B543B" w:rsidRPr="00B07043" w:rsidRDefault="005B543B" w:rsidP="00B07043">
    <w:pPr>
      <w:pStyle w:val="Header"/>
      <w:rPr>
        <w:sz w:val="24"/>
        <w:szCs w:val="24"/>
      </w:rPr>
    </w:pPr>
    <w:r w:rsidRPr="00B07043">
      <w:rPr>
        <w:sz w:val="24"/>
        <w:szCs w:val="24"/>
        <w:u w:val="single"/>
      </w:rPr>
      <w:t>Grantee</w:t>
    </w:r>
    <w:r w:rsidRPr="00B07043">
      <w:rPr>
        <w:sz w:val="24"/>
        <w:szCs w:val="24"/>
      </w:rPr>
      <w:t>:  Tennessee Department of Health Tuberculosis Elimination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A4F"/>
    <w:multiLevelType w:val="hybridMultilevel"/>
    <w:tmpl w:val="30E87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94227"/>
    <w:multiLevelType w:val="hybridMultilevel"/>
    <w:tmpl w:val="C0E6A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04AD8"/>
    <w:multiLevelType w:val="hybridMultilevel"/>
    <w:tmpl w:val="CD7A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33A06"/>
    <w:multiLevelType w:val="hybridMultilevel"/>
    <w:tmpl w:val="88B2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35F38"/>
    <w:multiLevelType w:val="hybridMultilevel"/>
    <w:tmpl w:val="49D87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06B89"/>
    <w:multiLevelType w:val="hybridMultilevel"/>
    <w:tmpl w:val="F9D0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A6551"/>
    <w:multiLevelType w:val="hybridMultilevel"/>
    <w:tmpl w:val="480EC5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26B8A"/>
    <w:multiLevelType w:val="hybridMultilevel"/>
    <w:tmpl w:val="25DA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53F60"/>
    <w:multiLevelType w:val="hybridMultilevel"/>
    <w:tmpl w:val="478E81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244911"/>
    <w:multiLevelType w:val="hybridMultilevel"/>
    <w:tmpl w:val="EF623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A6348"/>
    <w:multiLevelType w:val="hybridMultilevel"/>
    <w:tmpl w:val="A3FA6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7321C"/>
    <w:multiLevelType w:val="hybridMultilevel"/>
    <w:tmpl w:val="2B6C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C11D12"/>
    <w:multiLevelType w:val="hybridMultilevel"/>
    <w:tmpl w:val="BE80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A752F"/>
    <w:multiLevelType w:val="hybridMultilevel"/>
    <w:tmpl w:val="2066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E215F"/>
    <w:multiLevelType w:val="hybridMultilevel"/>
    <w:tmpl w:val="E662F02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15:restartNumberingAfterBreak="0">
    <w:nsid w:val="70375069"/>
    <w:multiLevelType w:val="hybridMultilevel"/>
    <w:tmpl w:val="7ECCD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747207"/>
    <w:multiLevelType w:val="hybridMultilevel"/>
    <w:tmpl w:val="1348F8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AD1C92"/>
    <w:multiLevelType w:val="hybridMultilevel"/>
    <w:tmpl w:val="BA8C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67B3F"/>
    <w:multiLevelType w:val="hybridMultilevel"/>
    <w:tmpl w:val="08F4C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235E0C"/>
    <w:multiLevelType w:val="hybridMultilevel"/>
    <w:tmpl w:val="1E7A8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78161E"/>
    <w:multiLevelType w:val="hybridMultilevel"/>
    <w:tmpl w:val="8730E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C33836"/>
    <w:multiLevelType w:val="hybridMultilevel"/>
    <w:tmpl w:val="4E766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19"/>
  </w:num>
  <w:num w:numId="5">
    <w:abstractNumId w:val="21"/>
  </w:num>
  <w:num w:numId="6">
    <w:abstractNumId w:val="20"/>
  </w:num>
  <w:num w:numId="7">
    <w:abstractNumId w:val="18"/>
  </w:num>
  <w:num w:numId="8">
    <w:abstractNumId w:val="0"/>
  </w:num>
  <w:num w:numId="9">
    <w:abstractNumId w:val="4"/>
  </w:num>
  <w:num w:numId="10">
    <w:abstractNumId w:val="1"/>
  </w:num>
  <w:num w:numId="11">
    <w:abstractNumId w:val="9"/>
  </w:num>
  <w:num w:numId="12">
    <w:abstractNumId w:val="16"/>
  </w:num>
  <w:num w:numId="13">
    <w:abstractNumId w:val="15"/>
  </w:num>
  <w:num w:numId="14">
    <w:abstractNumId w:val="17"/>
  </w:num>
  <w:num w:numId="15">
    <w:abstractNumId w:val="13"/>
  </w:num>
  <w:num w:numId="16">
    <w:abstractNumId w:val="5"/>
  </w:num>
  <w:num w:numId="17">
    <w:abstractNumId w:val="12"/>
  </w:num>
  <w:num w:numId="18">
    <w:abstractNumId w:val="11"/>
  </w:num>
  <w:num w:numId="19">
    <w:abstractNumId w:val="3"/>
  </w:num>
  <w:num w:numId="20">
    <w:abstractNumId w:val="2"/>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043"/>
    <w:rsid w:val="00000FFF"/>
    <w:rsid w:val="00002D42"/>
    <w:rsid w:val="00007456"/>
    <w:rsid w:val="0002090F"/>
    <w:rsid w:val="0002605A"/>
    <w:rsid w:val="000347C9"/>
    <w:rsid w:val="00066030"/>
    <w:rsid w:val="0008347E"/>
    <w:rsid w:val="0009270E"/>
    <w:rsid w:val="000A0369"/>
    <w:rsid w:val="000A4814"/>
    <w:rsid w:val="000B5B99"/>
    <w:rsid w:val="000C1CFC"/>
    <w:rsid w:val="000C2615"/>
    <w:rsid w:val="000C4AE7"/>
    <w:rsid w:val="000F46A7"/>
    <w:rsid w:val="00112EC1"/>
    <w:rsid w:val="00116347"/>
    <w:rsid w:val="00130269"/>
    <w:rsid w:val="0014030B"/>
    <w:rsid w:val="00146AA3"/>
    <w:rsid w:val="00153803"/>
    <w:rsid w:val="00156343"/>
    <w:rsid w:val="00160190"/>
    <w:rsid w:val="00162449"/>
    <w:rsid w:val="0016339C"/>
    <w:rsid w:val="00163B00"/>
    <w:rsid w:val="00164FA0"/>
    <w:rsid w:val="00170377"/>
    <w:rsid w:val="00172B62"/>
    <w:rsid w:val="00177E76"/>
    <w:rsid w:val="00187B39"/>
    <w:rsid w:val="001944A5"/>
    <w:rsid w:val="00195FD9"/>
    <w:rsid w:val="0019750A"/>
    <w:rsid w:val="001A5972"/>
    <w:rsid w:val="001D13A7"/>
    <w:rsid w:val="001D1D5C"/>
    <w:rsid w:val="001E1E94"/>
    <w:rsid w:val="001F05BE"/>
    <w:rsid w:val="001F3299"/>
    <w:rsid w:val="001F5464"/>
    <w:rsid w:val="0020139D"/>
    <w:rsid w:val="002063D8"/>
    <w:rsid w:val="002065C9"/>
    <w:rsid w:val="002102CA"/>
    <w:rsid w:val="00230509"/>
    <w:rsid w:val="00231C32"/>
    <w:rsid w:val="0024345D"/>
    <w:rsid w:val="0025229C"/>
    <w:rsid w:val="00257A2B"/>
    <w:rsid w:val="00262502"/>
    <w:rsid w:val="00274757"/>
    <w:rsid w:val="00281FAB"/>
    <w:rsid w:val="00296763"/>
    <w:rsid w:val="002A257B"/>
    <w:rsid w:val="002A36CE"/>
    <w:rsid w:val="002B1C77"/>
    <w:rsid w:val="002C6147"/>
    <w:rsid w:val="002D0295"/>
    <w:rsid w:val="002E39E3"/>
    <w:rsid w:val="002F14B2"/>
    <w:rsid w:val="002F226A"/>
    <w:rsid w:val="002F5A31"/>
    <w:rsid w:val="002F65C4"/>
    <w:rsid w:val="00300577"/>
    <w:rsid w:val="00302AE8"/>
    <w:rsid w:val="00337046"/>
    <w:rsid w:val="0035006C"/>
    <w:rsid w:val="00350405"/>
    <w:rsid w:val="00354A06"/>
    <w:rsid w:val="003615CD"/>
    <w:rsid w:val="00363877"/>
    <w:rsid w:val="00364E00"/>
    <w:rsid w:val="00380B6E"/>
    <w:rsid w:val="00385AC6"/>
    <w:rsid w:val="00387186"/>
    <w:rsid w:val="0038770F"/>
    <w:rsid w:val="003900E3"/>
    <w:rsid w:val="00391CE2"/>
    <w:rsid w:val="00393249"/>
    <w:rsid w:val="003A49F6"/>
    <w:rsid w:val="003A5021"/>
    <w:rsid w:val="003B052B"/>
    <w:rsid w:val="003B72A1"/>
    <w:rsid w:val="003C2983"/>
    <w:rsid w:val="003E2877"/>
    <w:rsid w:val="003E6087"/>
    <w:rsid w:val="003F233E"/>
    <w:rsid w:val="003F6A09"/>
    <w:rsid w:val="003F77E1"/>
    <w:rsid w:val="00405936"/>
    <w:rsid w:val="0040595F"/>
    <w:rsid w:val="00412F72"/>
    <w:rsid w:val="0041398C"/>
    <w:rsid w:val="00415A5C"/>
    <w:rsid w:val="00416420"/>
    <w:rsid w:val="004217A3"/>
    <w:rsid w:val="004238A5"/>
    <w:rsid w:val="004256A8"/>
    <w:rsid w:val="0042582D"/>
    <w:rsid w:val="00443FED"/>
    <w:rsid w:val="00444349"/>
    <w:rsid w:val="00445B00"/>
    <w:rsid w:val="004503D4"/>
    <w:rsid w:val="00460F21"/>
    <w:rsid w:val="00463FA9"/>
    <w:rsid w:val="0046568B"/>
    <w:rsid w:val="00466B96"/>
    <w:rsid w:val="00467D17"/>
    <w:rsid w:val="00480F1C"/>
    <w:rsid w:val="004848EE"/>
    <w:rsid w:val="004863BF"/>
    <w:rsid w:val="00496EF9"/>
    <w:rsid w:val="004A2335"/>
    <w:rsid w:val="004B7617"/>
    <w:rsid w:val="004C02DB"/>
    <w:rsid w:val="004C3782"/>
    <w:rsid w:val="004C3E00"/>
    <w:rsid w:val="004C4D8C"/>
    <w:rsid w:val="004F31D0"/>
    <w:rsid w:val="004F7B34"/>
    <w:rsid w:val="00502C2C"/>
    <w:rsid w:val="00531619"/>
    <w:rsid w:val="00534DA4"/>
    <w:rsid w:val="00540F73"/>
    <w:rsid w:val="00544326"/>
    <w:rsid w:val="005551E3"/>
    <w:rsid w:val="005728E0"/>
    <w:rsid w:val="0057652A"/>
    <w:rsid w:val="00580EA5"/>
    <w:rsid w:val="00583425"/>
    <w:rsid w:val="005A05F9"/>
    <w:rsid w:val="005B543B"/>
    <w:rsid w:val="005D0D9D"/>
    <w:rsid w:val="005D133D"/>
    <w:rsid w:val="005D3366"/>
    <w:rsid w:val="005D464D"/>
    <w:rsid w:val="005E4161"/>
    <w:rsid w:val="005E780C"/>
    <w:rsid w:val="005F22E3"/>
    <w:rsid w:val="005F63F1"/>
    <w:rsid w:val="006138BB"/>
    <w:rsid w:val="006148EF"/>
    <w:rsid w:val="00617B78"/>
    <w:rsid w:val="00617BDA"/>
    <w:rsid w:val="00620779"/>
    <w:rsid w:val="00642C61"/>
    <w:rsid w:val="00653058"/>
    <w:rsid w:val="006577F6"/>
    <w:rsid w:val="00657AE8"/>
    <w:rsid w:val="00662601"/>
    <w:rsid w:val="00666489"/>
    <w:rsid w:val="00667E97"/>
    <w:rsid w:val="006766EC"/>
    <w:rsid w:val="006808DA"/>
    <w:rsid w:val="006827A3"/>
    <w:rsid w:val="006836CA"/>
    <w:rsid w:val="0068497E"/>
    <w:rsid w:val="00685783"/>
    <w:rsid w:val="006862A6"/>
    <w:rsid w:val="00690A66"/>
    <w:rsid w:val="006A6419"/>
    <w:rsid w:val="006A7EFB"/>
    <w:rsid w:val="006D39D5"/>
    <w:rsid w:val="006E3D5E"/>
    <w:rsid w:val="006F20F3"/>
    <w:rsid w:val="00702B67"/>
    <w:rsid w:val="007034FC"/>
    <w:rsid w:val="00723165"/>
    <w:rsid w:val="00730CCF"/>
    <w:rsid w:val="00746362"/>
    <w:rsid w:val="00756E1D"/>
    <w:rsid w:val="007C2CD9"/>
    <w:rsid w:val="007E450E"/>
    <w:rsid w:val="007E771C"/>
    <w:rsid w:val="007F382C"/>
    <w:rsid w:val="007F42B1"/>
    <w:rsid w:val="007F6D72"/>
    <w:rsid w:val="00800176"/>
    <w:rsid w:val="00823E05"/>
    <w:rsid w:val="0082779D"/>
    <w:rsid w:val="008374F3"/>
    <w:rsid w:val="0085556C"/>
    <w:rsid w:val="00861081"/>
    <w:rsid w:val="00863CC6"/>
    <w:rsid w:val="00865CC7"/>
    <w:rsid w:val="00883440"/>
    <w:rsid w:val="008B3CF8"/>
    <w:rsid w:val="008B710B"/>
    <w:rsid w:val="008D1B20"/>
    <w:rsid w:val="008E3134"/>
    <w:rsid w:val="008E367C"/>
    <w:rsid w:val="008E5055"/>
    <w:rsid w:val="008E6EE5"/>
    <w:rsid w:val="008F0FC0"/>
    <w:rsid w:val="008F7968"/>
    <w:rsid w:val="009019F3"/>
    <w:rsid w:val="0090498D"/>
    <w:rsid w:val="009100E2"/>
    <w:rsid w:val="00911E69"/>
    <w:rsid w:val="00917000"/>
    <w:rsid w:val="0093546F"/>
    <w:rsid w:val="00935479"/>
    <w:rsid w:val="00944439"/>
    <w:rsid w:val="00961883"/>
    <w:rsid w:val="00964821"/>
    <w:rsid w:val="00987488"/>
    <w:rsid w:val="009A2C1C"/>
    <w:rsid w:val="009C2A4C"/>
    <w:rsid w:val="009C5C10"/>
    <w:rsid w:val="009E3DAA"/>
    <w:rsid w:val="009E6CC8"/>
    <w:rsid w:val="009F41BE"/>
    <w:rsid w:val="00A0014F"/>
    <w:rsid w:val="00A12A5E"/>
    <w:rsid w:val="00A153F0"/>
    <w:rsid w:val="00A26FDF"/>
    <w:rsid w:val="00A36895"/>
    <w:rsid w:val="00A45EB7"/>
    <w:rsid w:val="00A63AFB"/>
    <w:rsid w:val="00A97721"/>
    <w:rsid w:val="00AA0B4C"/>
    <w:rsid w:val="00AA2AA9"/>
    <w:rsid w:val="00AA304B"/>
    <w:rsid w:val="00AA40FB"/>
    <w:rsid w:val="00AA6485"/>
    <w:rsid w:val="00AB13BD"/>
    <w:rsid w:val="00AB23A2"/>
    <w:rsid w:val="00AC628F"/>
    <w:rsid w:val="00AD5C8B"/>
    <w:rsid w:val="00AE1E9F"/>
    <w:rsid w:val="00AE2ED9"/>
    <w:rsid w:val="00AE4E99"/>
    <w:rsid w:val="00AF6756"/>
    <w:rsid w:val="00B0303E"/>
    <w:rsid w:val="00B07043"/>
    <w:rsid w:val="00B143DA"/>
    <w:rsid w:val="00B1564B"/>
    <w:rsid w:val="00B161E0"/>
    <w:rsid w:val="00B247F7"/>
    <w:rsid w:val="00B303C7"/>
    <w:rsid w:val="00B356EE"/>
    <w:rsid w:val="00B47508"/>
    <w:rsid w:val="00B76770"/>
    <w:rsid w:val="00B868A6"/>
    <w:rsid w:val="00B90289"/>
    <w:rsid w:val="00B9406F"/>
    <w:rsid w:val="00BA0603"/>
    <w:rsid w:val="00BA12D0"/>
    <w:rsid w:val="00BA5387"/>
    <w:rsid w:val="00BA6055"/>
    <w:rsid w:val="00BB0BBC"/>
    <w:rsid w:val="00BC0B1B"/>
    <w:rsid w:val="00BC5391"/>
    <w:rsid w:val="00BC76DE"/>
    <w:rsid w:val="00BC79FD"/>
    <w:rsid w:val="00BE1980"/>
    <w:rsid w:val="00BE277B"/>
    <w:rsid w:val="00BF2C3F"/>
    <w:rsid w:val="00BF410E"/>
    <w:rsid w:val="00C04DE8"/>
    <w:rsid w:val="00C12F0D"/>
    <w:rsid w:val="00C1363E"/>
    <w:rsid w:val="00C26689"/>
    <w:rsid w:val="00C275BC"/>
    <w:rsid w:val="00C305A5"/>
    <w:rsid w:val="00C309D0"/>
    <w:rsid w:val="00C32492"/>
    <w:rsid w:val="00C349B9"/>
    <w:rsid w:val="00C41F46"/>
    <w:rsid w:val="00C671A6"/>
    <w:rsid w:val="00C76FF8"/>
    <w:rsid w:val="00C823E3"/>
    <w:rsid w:val="00C9158E"/>
    <w:rsid w:val="00CA7532"/>
    <w:rsid w:val="00CC6912"/>
    <w:rsid w:val="00CD5480"/>
    <w:rsid w:val="00CD6B3D"/>
    <w:rsid w:val="00CE4BED"/>
    <w:rsid w:val="00CE67EF"/>
    <w:rsid w:val="00CF6B6B"/>
    <w:rsid w:val="00D0071D"/>
    <w:rsid w:val="00D04E3E"/>
    <w:rsid w:val="00D1170C"/>
    <w:rsid w:val="00D11D53"/>
    <w:rsid w:val="00D145FB"/>
    <w:rsid w:val="00D14A09"/>
    <w:rsid w:val="00D15E30"/>
    <w:rsid w:val="00D30B37"/>
    <w:rsid w:val="00D3197A"/>
    <w:rsid w:val="00D43B15"/>
    <w:rsid w:val="00D549D3"/>
    <w:rsid w:val="00D60217"/>
    <w:rsid w:val="00D6303A"/>
    <w:rsid w:val="00D6412B"/>
    <w:rsid w:val="00D70495"/>
    <w:rsid w:val="00D843D2"/>
    <w:rsid w:val="00DA6D01"/>
    <w:rsid w:val="00DB5C0E"/>
    <w:rsid w:val="00DB5C4B"/>
    <w:rsid w:val="00DC184F"/>
    <w:rsid w:val="00DD53D4"/>
    <w:rsid w:val="00DE266A"/>
    <w:rsid w:val="00DE2B72"/>
    <w:rsid w:val="00DE55F9"/>
    <w:rsid w:val="00DF4836"/>
    <w:rsid w:val="00E0596D"/>
    <w:rsid w:val="00E1273E"/>
    <w:rsid w:val="00E26194"/>
    <w:rsid w:val="00E328EF"/>
    <w:rsid w:val="00E3690E"/>
    <w:rsid w:val="00E37B6F"/>
    <w:rsid w:val="00E61470"/>
    <w:rsid w:val="00E63A84"/>
    <w:rsid w:val="00E77D82"/>
    <w:rsid w:val="00E944C5"/>
    <w:rsid w:val="00E96E9C"/>
    <w:rsid w:val="00EA478A"/>
    <w:rsid w:val="00EC5315"/>
    <w:rsid w:val="00EC5EB6"/>
    <w:rsid w:val="00EC7EEC"/>
    <w:rsid w:val="00ED4356"/>
    <w:rsid w:val="00EE3B12"/>
    <w:rsid w:val="00EE7352"/>
    <w:rsid w:val="00F006A0"/>
    <w:rsid w:val="00F01343"/>
    <w:rsid w:val="00F14174"/>
    <w:rsid w:val="00F17CFB"/>
    <w:rsid w:val="00F37230"/>
    <w:rsid w:val="00F40C27"/>
    <w:rsid w:val="00F413BF"/>
    <w:rsid w:val="00F5291F"/>
    <w:rsid w:val="00F53034"/>
    <w:rsid w:val="00F532E6"/>
    <w:rsid w:val="00F538FF"/>
    <w:rsid w:val="00F623B1"/>
    <w:rsid w:val="00F67A03"/>
    <w:rsid w:val="00F81776"/>
    <w:rsid w:val="00F85DA3"/>
    <w:rsid w:val="00F869E6"/>
    <w:rsid w:val="00F9427C"/>
    <w:rsid w:val="00F95CE8"/>
    <w:rsid w:val="00FA03E4"/>
    <w:rsid w:val="00FA3F6D"/>
    <w:rsid w:val="00FA50BD"/>
    <w:rsid w:val="00FB7B9F"/>
    <w:rsid w:val="00FC521B"/>
    <w:rsid w:val="00FC6F61"/>
    <w:rsid w:val="00FD336F"/>
    <w:rsid w:val="00FD33A1"/>
    <w:rsid w:val="00FD492F"/>
    <w:rsid w:val="00FE5FCD"/>
    <w:rsid w:val="00FE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A13323BF-42C1-4F1D-AE24-94992F66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043"/>
  </w:style>
  <w:style w:type="paragraph" w:styleId="Footer">
    <w:name w:val="footer"/>
    <w:basedOn w:val="Normal"/>
    <w:link w:val="FooterChar"/>
    <w:uiPriority w:val="99"/>
    <w:unhideWhenUsed/>
    <w:rsid w:val="00B07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043"/>
  </w:style>
  <w:style w:type="paragraph" w:styleId="ListParagraph">
    <w:name w:val="List Paragraph"/>
    <w:basedOn w:val="Normal"/>
    <w:uiPriority w:val="34"/>
    <w:qFormat/>
    <w:rsid w:val="00B07043"/>
    <w:pPr>
      <w:ind w:left="720"/>
      <w:contextualSpacing/>
    </w:pPr>
  </w:style>
  <w:style w:type="table" w:styleId="TableGrid">
    <w:name w:val="Table Grid"/>
    <w:basedOn w:val="TableNormal"/>
    <w:uiPriority w:val="59"/>
    <w:rsid w:val="00B07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1128-588E-45A2-85FE-A60C3AAE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7399</Words>
  <Characters>42178</Characters>
  <Application>Microsoft Office Word</Application>
  <DocSecurity>4</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State of Tennessee Dept. of Health</Company>
  <LinksUpToDate>false</LinksUpToDate>
  <CharactersWithSpaces>49479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Cummins</dc:creator>
  <cp:lastModifiedBy>Jennifer</cp:lastModifiedBy>
  <cp:revision>2</cp:revision>
  <cp:lastPrinted>2020-01-02T16:20:00Z</cp:lastPrinted>
  <dcterms:created xsi:type="dcterms:W3CDTF">2020-01-13T17:22:00Z</dcterms:created>
  <dcterms:modified xsi:type="dcterms:W3CDTF">2020-01-13T17:22:00Z</dcterms:modified>
</cp:coreProperties>
</file>