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43" w:rsidRDefault="00B07043" w:rsidP="00B07043">
      <w:pPr>
        <w:spacing w:after="0" w:line="240" w:lineRule="auto"/>
        <w:rPr>
          <w:b/>
          <w:sz w:val="24"/>
          <w:szCs w:val="24"/>
          <w:u w:val="single"/>
        </w:rPr>
      </w:pPr>
      <w:bookmarkStart w:id="0" w:name="_GoBack"/>
      <w:bookmarkEnd w:id="0"/>
    </w:p>
    <w:p w:rsidR="00195FD9" w:rsidRPr="002063D8" w:rsidRDefault="00195FD9" w:rsidP="00B07043">
      <w:pPr>
        <w:spacing w:after="0" w:line="240" w:lineRule="auto"/>
        <w:rPr>
          <w:b/>
          <w:sz w:val="24"/>
          <w:szCs w:val="24"/>
          <w:u w:val="single"/>
        </w:rPr>
      </w:pPr>
      <w:r w:rsidRPr="002063D8">
        <w:rPr>
          <w:b/>
          <w:sz w:val="24"/>
          <w:szCs w:val="24"/>
          <w:u w:val="single"/>
        </w:rPr>
        <w:t>National TB Indicators Project (NT</w:t>
      </w:r>
      <w:r w:rsidR="00BA5387">
        <w:rPr>
          <w:b/>
          <w:sz w:val="24"/>
          <w:szCs w:val="24"/>
          <w:u w:val="single"/>
        </w:rPr>
        <w:t xml:space="preserve">IP)—Tennessee Performance, 2015 – 2019 </w:t>
      </w:r>
    </w:p>
    <w:p w:rsidR="00195FD9" w:rsidRDefault="00195FD9" w:rsidP="00B07043">
      <w:pPr>
        <w:spacing w:after="0" w:line="240" w:lineRule="auto"/>
        <w:rPr>
          <w:b/>
          <w:sz w:val="24"/>
          <w:szCs w:val="24"/>
        </w:rPr>
      </w:pPr>
    </w:p>
    <w:p w:rsidR="00BA5387" w:rsidRPr="00BA5387" w:rsidRDefault="00BA5387" w:rsidP="00B07043">
      <w:pPr>
        <w:spacing w:after="0" w:line="240" w:lineRule="auto"/>
        <w:rPr>
          <w:b/>
          <w:sz w:val="24"/>
          <w:szCs w:val="24"/>
        </w:rPr>
      </w:pPr>
      <w:r>
        <w:rPr>
          <w:b/>
          <w:sz w:val="24"/>
          <w:szCs w:val="24"/>
        </w:rPr>
        <w:t xml:space="preserve">Table 1.  National TB Indicators Project (NTIP)—Tennessee Performance, 2015 – 2019 </w:t>
      </w:r>
    </w:p>
    <w:tbl>
      <w:tblPr>
        <w:tblStyle w:val="TableGrid"/>
        <w:tblW w:w="0" w:type="auto"/>
        <w:tblLook w:val="04A0" w:firstRow="1" w:lastRow="0" w:firstColumn="1" w:lastColumn="0" w:noHBand="0" w:noVBand="1"/>
      </w:tblPr>
      <w:tblGrid>
        <w:gridCol w:w="3519"/>
        <w:gridCol w:w="996"/>
        <w:gridCol w:w="996"/>
        <w:gridCol w:w="954"/>
        <w:gridCol w:w="954"/>
        <w:gridCol w:w="977"/>
        <w:gridCol w:w="1180"/>
      </w:tblGrid>
      <w:tr w:rsidR="00195FD9" w:rsidRPr="009A12E0" w:rsidTr="00702B67">
        <w:tc>
          <w:tcPr>
            <w:tcW w:w="3551"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National TB Program Objective</w:t>
            </w:r>
          </w:p>
        </w:tc>
        <w:tc>
          <w:tcPr>
            <w:tcW w:w="1000"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2015</w:t>
            </w:r>
          </w:p>
        </w:tc>
        <w:tc>
          <w:tcPr>
            <w:tcW w:w="1000"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2016</w:t>
            </w:r>
          </w:p>
        </w:tc>
        <w:tc>
          <w:tcPr>
            <w:tcW w:w="957"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2017</w:t>
            </w:r>
          </w:p>
        </w:tc>
        <w:tc>
          <w:tcPr>
            <w:tcW w:w="925"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2018</w:t>
            </w:r>
          </w:p>
        </w:tc>
        <w:tc>
          <w:tcPr>
            <w:tcW w:w="957"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vertAlign w:val="superscript"/>
              </w:rPr>
            </w:pPr>
            <w:r w:rsidRPr="009A12E0">
              <w:rPr>
                <w:b/>
                <w:sz w:val="24"/>
                <w:szCs w:val="24"/>
              </w:rPr>
              <w:t>2019</w:t>
            </w:r>
            <w:r>
              <w:rPr>
                <w:b/>
                <w:sz w:val="24"/>
                <w:szCs w:val="24"/>
                <w:vertAlign w:val="superscript"/>
              </w:rPr>
              <w:t>*</w:t>
            </w:r>
          </w:p>
        </w:tc>
        <w:tc>
          <w:tcPr>
            <w:tcW w:w="1186"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2020 Target</w:t>
            </w:r>
          </w:p>
        </w:tc>
      </w:tr>
      <w:tr w:rsidR="00195FD9" w:rsidRPr="009A12E0" w:rsidTr="00702B67">
        <w:tc>
          <w:tcPr>
            <w:tcW w:w="13176" w:type="dxa"/>
            <w:gridSpan w:val="7"/>
            <w:shd w:val="clear" w:color="auto" w:fill="D9D9D9" w:themeFill="background1" w:themeFillShade="D9"/>
          </w:tcPr>
          <w:p w:rsidR="00195FD9" w:rsidRPr="009A12E0" w:rsidRDefault="00195FD9" w:rsidP="00CE4BED">
            <w:pPr>
              <w:jc w:val="center"/>
              <w:rPr>
                <w:sz w:val="24"/>
                <w:szCs w:val="24"/>
              </w:rPr>
            </w:pPr>
            <w:r w:rsidRPr="009A12E0">
              <w:rPr>
                <w:b/>
                <w:sz w:val="24"/>
                <w:szCs w:val="24"/>
              </w:rPr>
              <w:t>TB Incident Rates (cases/100,000 population)</w:t>
            </w:r>
          </w:p>
        </w:tc>
      </w:tr>
      <w:tr w:rsidR="00195FD9" w:rsidRPr="009A12E0" w:rsidTr="00702B67">
        <w:tc>
          <w:tcPr>
            <w:tcW w:w="5598" w:type="dxa"/>
          </w:tcPr>
          <w:p w:rsidR="00195FD9" w:rsidRPr="009A12E0" w:rsidRDefault="00195FD9" w:rsidP="00702B67">
            <w:pPr>
              <w:rPr>
                <w:sz w:val="24"/>
                <w:szCs w:val="24"/>
              </w:rPr>
            </w:pPr>
            <w:r>
              <w:rPr>
                <w:sz w:val="24"/>
                <w:szCs w:val="24"/>
              </w:rPr>
              <w:t>TB incidence rate</w:t>
            </w:r>
          </w:p>
        </w:tc>
        <w:tc>
          <w:tcPr>
            <w:tcW w:w="1260" w:type="dxa"/>
          </w:tcPr>
          <w:p w:rsidR="00195FD9" w:rsidRPr="009A12E0" w:rsidRDefault="00195FD9" w:rsidP="00702B67">
            <w:pPr>
              <w:jc w:val="center"/>
              <w:rPr>
                <w:sz w:val="24"/>
                <w:szCs w:val="24"/>
              </w:rPr>
            </w:pPr>
            <w:r>
              <w:rPr>
                <w:sz w:val="24"/>
                <w:szCs w:val="24"/>
              </w:rPr>
              <w:t>2.0</w:t>
            </w:r>
          </w:p>
        </w:tc>
        <w:tc>
          <w:tcPr>
            <w:tcW w:w="1260" w:type="dxa"/>
          </w:tcPr>
          <w:p w:rsidR="00195FD9" w:rsidRPr="009A12E0" w:rsidRDefault="00195FD9" w:rsidP="00702B67">
            <w:pPr>
              <w:jc w:val="center"/>
              <w:rPr>
                <w:sz w:val="24"/>
                <w:szCs w:val="24"/>
              </w:rPr>
            </w:pPr>
            <w:r>
              <w:rPr>
                <w:sz w:val="24"/>
                <w:szCs w:val="24"/>
              </w:rPr>
              <w:t>1.5</w:t>
            </w:r>
          </w:p>
        </w:tc>
        <w:tc>
          <w:tcPr>
            <w:tcW w:w="1170" w:type="dxa"/>
          </w:tcPr>
          <w:p w:rsidR="00195FD9" w:rsidRPr="009A12E0" w:rsidRDefault="00195FD9" w:rsidP="00702B67">
            <w:pPr>
              <w:jc w:val="center"/>
              <w:rPr>
                <w:sz w:val="24"/>
                <w:szCs w:val="24"/>
              </w:rPr>
            </w:pPr>
            <w:r>
              <w:rPr>
                <w:sz w:val="24"/>
                <w:szCs w:val="24"/>
              </w:rPr>
              <w:t>1.8</w:t>
            </w:r>
          </w:p>
        </w:tc>
        <w:tc>
          <w:tcPr>
            <w:tcW w:w="1170" w:type="dxa"/>
          </w:tcPr>
          <w:p w:rsidR="00195FD9" w:rsidRPr="009A12E0" w:rsidRDefault="00195FD9" w:rsidP="00702B67">
            <w:pPr>
              <w:jc w:val="center"/>
              <w:rPr>
                <w:sz w:val="24"/>
                <w:szCs w:val="24"/>
              </w:rPr>
            </w:pPr>
            <w:r>
              <w:rPr>
                <w:sz w:val="24"/>
                <w:szCs w:val="24"/>
              </w:rPr>
              <w:t>2.1</w:t>
            </w:r>
          </w:p>
        </w:tc>
        <w:tc>
          <w:tcPr>
            <w:tcW w:w="1170" w:type="dxa"/>
          </w:tcPr>
          <w:p w:rsidR="00195FD9" w:rsidRDefault="00195FD9" w:rsidP="00702B67">
            <w:pPr>
              <w:jc w:val="center"/>
              <w:rPr>
                <w:sz w:val="24"/>
                <w:szCs w:val="24"/>
              </w:rPr>
            </w:pPr>
            <w:r>
              <w:rPr>
                <w:sz w:val="24"/>
                <w:szCs w:val="24"/>
              </w:rPr>
              <w:t>NA</w:t>
            </w:r>
          </w:p>
        </w:tc>
        <w:tc>
          <w:tcPr>
            <w:tcW w:w="1548" w:type="dxa"/>
          </w:tcPr>
          <w:p w:rsidR="00195FD9" w:rsidRPr="009A12E0" w:rsidRDefault="00195FD9" w:rsidP="00702B67">
            <w:pPr>
              <w:jc w:val="center"/>
              <w:rPr>
                <w:b/>
                <w:sz w:val="24"/>
                <w:szCs w:val="24"/>
              </w:rPr>
            </w:pPr>
            <w:r>
              <w:rPr>
                <w:b/>
                <w:sz w:val="24"/>
                <w:szCs w:val="24"/>
              </w:rPr>
              <w:t>1.4</w:t>
            </w:r>
          </w:p>
        </w:tc>
      </w:tr>
      <w:tr w:rsidR="00195FD9" w:rsidRPr="009A12E0" w:rsidTr="00702B67">
        <w:tc>
          <w:tcPr>
            <w:tcW w:w="5598" w:type="dxa"/>
          </w:tcPr>
          <w:p w:rsidR="00195FD9" w:rsidRPr="009A12E0" w:rsidRDefault="00195FD9" w:rsidP="00702B67">
            <w:pPr>
              <w:rPr>
                <w:sz w:val="24"/>
                <w:szCs w:val="24"/>
              </w:rPr>
            </w:pPr>
            <w:r w:rsidRPr="009A12E0">
              <w:rPr>
                <w:sz w:val="24"/>
                <w:szCs w:val="24"/>
              </w:rPr>
              <w:t>U.S.-born persons</w:t>
            </w:r>
          </w:p>
        </w:tc>
        <w:tc>
          <w:tcPr>
            <w:tcW w:w="1260" w:type="dxa"/>
          </w:tcPr>
          <w:p w:rsidR="00195FD9" w:rsidRPr="009A12E0" w:rsidRDefault="00195FD9" w:rsidP="00702B67">
            <w:pPr>
              <w:jc w:val="center"/>
              <w:rPr>
                <w:sz w:val="24"/>
                <w:szCs w:val="24"/>
              </w:rPr>
            </w:pPr>
            <w:r w:rsidRPr="009A12E0">
              <w:rPr>
                <w:sz w:val="24"/>
                <w:szCs w:val="24"/>
              </w:rPr>
              <w:t>1.1</w:t>
            </w:r>
          </w:p>
        </w:tc>
        <w:tc>
          <w:tcPr>
            <w:tcW w:w="1260" w:type="dxa"/>
          </w:tcPr>
          <w:p w:rsidR="00195FD9" w:rsidRPr="009A12E0" w:rsidRDefault="00195FD9" w:rsidP="00702B67">
            <w:pPr>
              <w:jc w:val="center"/>
              <w:rPr>
                <w:sz w:val="24"/>
                <w:szCs w:val="24"/>
              </w:rPr>
            </w:pPr>
            <w:r w:rsidRPr="009A12E0">
              <w:rPr>
                <w:sz w:val="24"/>
                <w:szCs w:val="24"/>
              </w:rPr>
              <w:t>1.0</w:t>
            </w:r>
          </w:p>
        </w:tc>
        <w:tc>
          <w:tcPr>
            <w:tcW w:w="1170" w:type="dxa"/>
          </w:tcPr>
          <w:p w:rsidR="00195FD9" w:rsidRPr="009A12E0" w:rsidRDefault="00195FD9" w:rsidP="00702B67">
            <w:pPr>
              <w:jc w:val="center"/>
              <w:rPr>
                <w:sz w:val="24"/>
                <w:szCs w:val="24"/>
              </w:rPr>
            </w:pPr>
            <w:r w:rsidRPr="009A12E0">
              <w:rPr>
                <w:sz w:val="24"/>
                <w:szCs w:val="24"/>
              </w:rPr>
              <w:t>1.0</w:t>
            </w:r>
          </w:p>
        </w:tc>
        <w:tc>
          <w:tcPr>
            <w:tcW w:w="1170" w:type="dxa"/>
          </w:tcPr>
          <w:p w:rsidR="00195FD9" w:rsidRPr="009A12E0" w:rsidRDefault="00195FD9" w:rsidP="00702B67">
            <w:pPr>
              <w:jc w:val="center"/>
              <w:rPr>
                <w:sz w:val="24"/>
                <w:szCs w:val="24"/>
              </w:rPr>
            </w:pPr>
            <w:r w:rsidRPr="009A12E0">
              <w:rPr>
                <w:sz w:val="24"/>
                <w:szCs w:val="24"/>
              </w:rPr>
              <w:t>1.2</w:t>
            </w:r>
          </w:p>
        </w:tc>
        <w:tc>
          <w:tcPr>
            <w:tcW w:w="1170" w:type="dxa"/>
          </w:tcPr>
          <w:p w:rsidR="00195FD9" w:rsidRPr="009A12E0" w:rsidRDefault="00195FD9" w:rsidP="00702B67">
            <w:pPr>
              <w:jc w:val="center"/>
              <w:rPr>
                <w:sz w:val="24"/>
                <w:szCs w:val="24"/>
              </w:rPr>
            </w:pPr>
            <w:r>
              <w:rPr>
                <w:sz w:val="24"/>
                <w:szCs w:val="24"/>
              </w:rPr>
              <w:t>NA</w:t>
            </w:r>
          </w:p>
        </w:tc>
        <w:tc>
          <w:tcPr>
            <w:tcW w:w="1548" w:type="dxa"/>
          </w:tcPr>
          <w:p w:rsidR="00195FD9" w:rsidRPr="009A12E0" w:rsidRDefault="00195FD9" w:rsidP="00702B67">
            <w:pPr>
              <w:jc w:val="center"/>
              <w:rPr>
                <w:b/>
                <w:sz w:val="24"/>
                <w:szCs w:val="24"/>
              </w:rPr>
            </w:pPr>
            <w:r w:rsidRPr="009A12E0">
              <w:rPr>
                <w:b/>
                <w:sz w:val="24"/>
                <w:szCs w:val="24"/>
              </w:rPr>
              <w:t>0.4</w:t>
            </w:r>
          </w:p>
        </w:tc>
      </w:tr>
      <w:tr w:rsidR="00195FD9" w:rsidRPr="009A12E0" w:rsidTr="00702B67">
        <w:tc>
          <w:tcPr>
            <w:tcW w:w="5598" w:type="dxa"/>
          </w:tcPr>
          <w:p w:rsidR="00195FD9" w:rsidRPr="009A12E0" w:rsidRDefault="00195FD9" w:rsidP="00702B67">
            <w:pPr>
              <w:rPr>
                <w:sz w:val="24"/>
                <w:szCs w:val="24"/>
              </w:rPr>
            </w:pPr>
            <w:r w:rsidRPr="009A12E0">
              <w:rPr>
                <w:sz w:val="24"/>
                <w:szCs w:val="24"/>
              </w:rPr>
              <w:t>Non-U.S.-born persons</w:t>
            </w:r>
          </w:p>
        </w:tc>
        <w:tc>
          <w:tcPr>
            <w:tcW w:w="1260" w:type="dxa"/>
          </w:tcPr>
          <w:p w:rsidR="00195FD9" w:rsidRPr="009A12E0" w:rsidRDefault="00195FD9" w:rsidP="00702B67">
            <w:pPr>
              <w:jc w:val="center"/>
              <w:rPr>
                <w:sz w:val="24"/>
                <w:szCs w:val="24"/>
              </w:rPr>
            </w:pPr>
            <w:r w:rsidRPr="009A12E0">
              <w:rPr>
                <w:sz w:val="24"/>
                <w:szCs w:val="24"/>
              </w:rPr>
              <w:t>18.3</w:t>
            </w:r>
          </w:p>
        </w:tc>
        <w:tc>
          <w:tcPr>
            <w:tcW w:w="1260" w:type="dxa"/>
          </w:tcPr>
          <w:p w:rsidR="00195FD9" w:rsidRPr="009A12E0" w:rsidRDefault="00195FD9" w:rsidP="00702B67">
            <w:pPr>
              <w:jc w:val="center"/>
              <w:rPr>
                <w:sz w:val="24"/>
                <w:szCs w:val="24"/>
              </w:rPr>
            </w:pPr>
            <w:r w:rsidRPr="009A12E0">
              <w:rPr>
                <w:sz w:val="24"/>
                <w:szCs w:val="24"/>
              </w:rPr>
              <w:t>12.1</w:t>
            </w:r>
          </w:p>
        </w:tc>
        <w:tc>
          <w:tcPr>
            <w:tcW w:w="1170" w:type="dxa"/>
          </w:tcPr>
          <w:p w:rsidR="00195FD9" w:rsidRPr="009A12E0" w:rsidRDefault="00195FD9" w:rsidP="00702B67">
            <w:pPr>
              <w:jc w:val="center"/>
              <w:rPr>
                <w:sz w:val="24"/>
                <w:szCs w:val="24"/>
              </w:rPr>
            </w:pPr>
            <w:r w:rsidRPr="009A12E0">
              <w:rPr>
                <w:sz w:val="24"/>
                <w:szCs w:val="24"/>
              </w:rPr>
              <w:t>17.3</w:t>
            </w:r>
          </w:p>
        </w:tc>
        <w:tc>
          <w:tcPr>
            <w:tcW w:w="1170" w:type="dxa"/>
          </w:tcPr>
          <w:p w:rsidR="00195FD9" w:rsidRPr="009A12E0" w:rsidRDefault="00195FD9" w:rsidP="00702B67">
            <w:pPr>
              <w:jc w:val="center"/>
              <w:rPr>
                <w:sz w:val="24"/>
                <w:szCs w:val="24"/>
              </w:rPr>
            </w:pPr>
            <w:r w:rsidRPr="009A12E0">
              <w:rPr>
                <w:sz w:val="24"/>
                <w:szCs w:val="24"/>
              </w:rPr>
              <w:t>18.8</w:t>
            </w:r>
          </w:p>
        </w:tc>
        <w:tc>
          <w:tcPr>
            <w:tcW w:w="1170" w:type="dxa"/>
          </w:tcPr>
          <w:p w:rsidR="00195FD9" w:rsidRPr="009A12E0" w:rsidRDefault="00195FD9" w:rsidP="00702B67">
            <w:pPr>
              <w:jc w:val="center"/>
              <w:rPr>
                <w:sz w:val="24"/>
                <w:szCs w:val="24"/>
              </w:rPr>
            </w:pPr>
            <w:r>
              <w:rPr>
                <w:sz w:val="24"/>
                <w:szCs w:val="24"/>
              </w:rPr>
              <w:t>NA</w:t>
            </w:r>
          </w:p>
        </w:tc>
        <w:tc>
          <w:tcPr>
            <w:tcW w:w="1548" w:type="dxa"/>
          </w:tcPr>
          <w:p w:rsidR="00195FD9" w:rsidRPr="009A12E0" w:rsidRDefault="00195FD9" w:rsidP="00702B67">
            <w:pPr>
              <w:jc w:val="center"/>
              <w:rPr>
                <w:b/>
                <w:sz w:val="24"/>
                <w:szCs w:val="24"/>
              </w:rPr>
            </w:pPr>
            <w:r w:rsidRPr="009A12E0">
              <w:rPr>
                <w:b/>
                <w:sz w:val="24"/>
                <w:szCs w:val="24"/>
              </w:rPr>
              <w:t>11.1</w:t>
            </w:r>
          </w:p>
        </w:tc>
      </w:tr>
      <w:tr w:rsidR="00195FD9" w:rsidRPr="009A12E0" w:rsidTr="00702B67">
        <w:tc>
          <w:tcPr>
            <w:tcW w:w="5598" w:type="dxa"/>
          </w:tcPr>
          <w:p w:rsidR="00195FD9" w:rsidRPr="009A12E0" w:rsidRDefault="00195FD9" w:rsidP="00702B67">
            <w:pPr>
              <w:rPr>
                <w:sz w:val="24"/>
                <w:szCs w:val="24"/>
              </w:rPr>
            </w:pPr>
            <w:r w:rsidRPr="009A12E0">
              <w:rPr>
                <w:sz w:val="24"/>
                <w:szCs w:val="24"/>
              </w:rPr>
              <w:t>U.S.-born, non-Hispanic blacks</w:t>
            </w:r>
          </w:p>
        </w:tc>
        <w:tc>
          <w:tcPr>
            <w:tcW w:w="1260" w:type="dxa"/>
          </w:tcPr>
          <w:p w:rsidR="00195FD9" w:rsidRPr="009A12E0" w:rsidRDefault="00195FD9" w:rsidP="00702B67">
            <w:pPr>
              <w:jc w:val="center"/>
              <w:rPr>
                <w:sz w:val="24"/>
                <w:szCs w:val="24"/>
              </w:rPr>
            </w:pPr>
            <w:r w:rsidRPr="009A12E0">
              <w:rPr>
                <w:sz w:val="24"/>
                <w:szCs w:val="24"/>
              </w:rPr>
              <w:t>3.1</w:t>
            </w:r>
          </w:p>
        </w:tc>
        <w:tc>
          <w:tcPr>
            <w:tcW w:w="1260" w:type="dxa"/>
          </w:tcPr>
          <w:p w:rsidR="00195FD9" w:rsidRPr="009A12E0" w:rsidRDefault="00195FD9" w:rsidP="00702B67">
            <w:pPr>
              <w:jc w:val="center"/>
              <w:rPr>
                <w:sz w:val="24"/>
                <w:szCs w:val="24"/>
              </w:rPr>
            </w:pPr>
            <w:r w:rsidRPr="009A12E0">
              <w:rPr>
                <w:sz w:val="24"/>
                <w:szCs w:val="24"/>
              </w:rPr>
              <w:t>3.4</w:t>
            </w:r>
          </w:p>
        </w:tc>
        <w:tc>
          <w:tcPr>
            <w:tcW w:w="1170" w:type="dxa"/>
          </w:tcPr>
          <w:p w:rsidR="00195FD9" w:rsidRPr="009A12E0" w:rsidRDefault="00195FD9" w:rsidP="00702B67">
            <w:pPr>
              <w:jc w:val="center"/>
              <w:rPr>
                <w:sz w:val="24"/>
                <w:szCs w:val="24"/>
              </w:rPr>
            </w:pPr>
            <w:r w:rsidRPr="009A12E0">
              <w:rPr>
                <w:sz w:val="24"/>
                <w:szCs w:val="24"/>
              </w:rPr>
              <w:t>3.0</w:t>
            </w:r>
          </w:p>
        </w:tc>
        <w:tc>
          <w:tcPr>
            <w:tcW w:w="1170" w:type="dxa"/>
          </w:tcPr>
          <w:p w:rsidR="00195FD9" w:rsidRPr="009A12E0" w:rsidRDefault="00195FD9" w:rsidP="00702B67">
            <w:pPr>
              <w:jc w:val="center"/>
              <w:rPr>
                <w:sz w:val="24"/>
                <w:szCs w:val="24"/>
              </w:rPr>
            </w:pPr>
            <w:r w:rsidRPr="009A12E0">
              <w:rPr>
                <w:sz w:val="24"/>
                <w:szCs w:val="24"/>
              </w:rPr>
              <w:t>3.7</w:t>
            </w:r>
          </w:p>
        </w:tc>
        <w:tc>
          <w:tcPr>
            <w:tcW w:w="1170" w:type="dxa"/>
          </w:tcPr>
          <w:p w:rsidR="00195FD9" w:rsidRPr="009A12E0" w:rsidRDefault="00195FD9" w:rsidP="00702B67">
            <w:pPr>
              <w:jc w:val="center"/>
              <w:rPr>
                <w:sz w:val="24"/>
                <w:szCs w:val="24"/>
              </w:rPr>
            </w:pPr>
            <w:r>
              <w:rPr>
                <w:sz w:val="24"/>
                <w:szCs w:val="24"/>
              </w:rPr>
              <w:t>NA</w:t>
            </w:r>
          </w:p>
        </w:tc>
        <w:tc>
          <w:tcPr>
            <w:tcW w:w="1548" w:type="dxa"/>
          </w:tcPr>
          <w:p w:rsidR="00195FD9" w:rsidRPr="009A12E0" w:rsidRDefault="00195FD9" w:rsidP="00702B67">
            <w:pPr>
              <w:jc w:val="center"/>
              <w:rPr>
                <w:b/>
                <w:sz w:val="24"/>
                <w:szCs w:val="24"/>
              </w:rPr>
            </w:pPr>
            <w:r w:rsidRPr="009A12E0">
              <w:rPr>
                <w:b/>
                <w:sz w:val="24"/>
                <w:szCs w:val="24"/>
              </w:rPr>
              <w:t>1.5</w:t>
            </w:r>
          </w:p>
        </w:tc>
      </w:tr>
      <w:tr w:rsidR="00195FD9" w:rsidRPr="009A12E0" w:rsidTr="00702B67">
        <w:tc>
          <w:tcPr>
            <w:tcW w:w="5598" w:type="dxa"/>
            <w:tcBorders>
              <w:bottom w:val="single" w:sz="4" w:space="0" w:color="auto"/>
            </w:tcBorders>
          </w:tcPr>
          <w:p w:rsidR="00195FD9" w:rsidRPr="009A12E0" w:rsidRDefault="00195FD9" w:rsidP="00702B67">
            <w:pPr>
              <w:rPr>
                <w:sz w:val="24"/>
                <w:szCs w:val="24"/>
              </w:rPr>
            </w:pPr>
            <w:r w:rsidRPr="009A12E0">
              <w:rPr>
                <w:sz w:val="24"/>
                <w:szCs w:val="24"/>
              </w:rPr>
              <w:t>Children younger than 5 years of age</w:t>
            </w:r>
          </w:p>
        </w:tc>
        <w:tc>
          <w:tcPr>
            <w:tcW w:w="1260" w:type="dxa"/>
            <w:tcBorders>
              <w:bottom w:val="single" w:sz="4" w:space="0" w:color="auto"/>
            </w:tcBorders>
            <w:vAlign w:val="center"/>
          </w:tcPr>
          <w:p w:rsidR="00195FD9" w:rsidRPr="009A12E0" w:rsidRDefault="00195FD9" w:rsidP="00702B67">
            <w:pPr>
              <w:jc w:val="center"/>
              <w:rPr>
                <w:sz w:val="24"/>
                <w:szCs w:val="24"/>
              </w:rPr>
            </w:pPr>
            <w:r w:rsidRPr="009A12E0">
              <w:rPr>
                <w:sz w:val="24"/>
                <w:szCs w:val="24"/>
              </w:rPr>
              <w:t>1.5</w:t>
            </w:r>
          </w:p>
        </w:tc>
        <w:tc>
          <w:tcPr>
            <w:tcW w:w="1260" w:type="dxa"/>
            <w:tcBorders>
              <w:bottom w:val="single" w:sz="4" w:space="0" w:color="auto"/>
            </w:tcBorders>
            <w:vAlign w:val="center"/>
          </w:tcPr>
          <w:p w:rsidR="00195FD9" w:rsidRPr="009A12E0" w:rsidRDefault="00195FD9" w:rsidP="00702B67">
            <w:pPr>
              <w:jc w:val="center"/>
              <w:rPr>
                <w:sz w:val="24"/>
                <w:szCs w:val="24"/>
              </w:rPr>
            </w:pPr>
            <w:r w:rsidRPr="009A12E0">
              <w:rPr>
                <w:sz w:val="24"/>
                <w:szCs w:val="24"/>
              </w:rPr>
              <w:t>1.0</w:t>
            </w:r>
          </w:p>
        </w:tc>
        <w:tc>
          <w:tcPr>
            <w:tcW w:w="1170" w:type="dxa"/>
            <w:tcBorders>
              <w:bottom w:val="single" w:sz="4" w:space="0" w:color="auto"/>
            </w:tcBorders>
            <w:vAlign w:val="center"/>
          </w:tcPr>
          <w:p w:rsidR="00195FD9" w:rsidRPr="009A12E0" w:rsidRDefault="00195FD9" w:rsidP="00702B67">
            <w:pPr>
              <w:jc w:val="center"/>
              <w:rPr>
                <w:sz w:val="24"/>
                <w:szCs w:val="24"/>
              </w:rPr>
            </w:pPr>
            <w:r w:rsidRPr="009A12E0">
              <w:rPr>
                <w:sz w:val="24"/>
                <w:szCs w:val="24"/>
              </w:rPr>
              <w:t>1.2</w:t>
            </w:r>
          </w:p>
        </w:tc>
        <w:tc>
          <w:tcPr>
            <w:tcW w:w="1170" w:type="dxa"/>
            <w:tcBorders>
              <w:bottom w:val="single" w:sz="4" w:space="0" w:color="auto"/>
            </w:tcBorders>
            <w:vAlign w:val="center"/>
          </w:tcPr>
          <w:p w:rsidR="00195FD9" w:rsidRPr="009A12E0" w:rsidRDefault="00195FD9" w:rsidP="00702B67">
            <w:pPr>
              <w:jc w:val="center"/>
              <w:rPr>
                <w:sz w:val="24"/>
                <w:szCs w:val="24"/>
              </w:rPr>
            </w:pPr>
            <w:r w:rsidRPr="009A12E0">
              <w:rPr>
                <w:sz w:val="24"/>
                <w:szCs w:val="24"/>
              </w:rPr>
              <w:t>1.0</w:t>
            </w:r>
          </w:p>
        </w:tc>
        <w:tc>
          <w:tcPr>
            <w:tcW w:w="1170" w:type="dxa"/>
            <w:tcBorders>
              <w:bottom w:val="single" w:sz="4" w:space="0" w:color="auto"/>
            </w:tcBorders>
            <w:vAlign w:val="center"/>
          </w:tcPr>
          <w:p w:rsidR="00195FD9" w:rsidRPr="009A12E0" w:rsidRDefault="00195FD9" w:rsidP="00702B67">
            <w:pPr>
              <w:jc w:val="center"/>
              <w:rPr>
                <w:sz w:val="24"/>
                <w:szCs w:val="24"/>
              </w:rPr>
            </w:pPr>
            <w:r>
              <w:rPr>
                <w:sz w:val="24"/>
                <w:szCs w:val="24"/>
              </w:rPr>
              <w:t>NA</w:t>
            </w:r>
          </w:p>
        </w:tc>
        <w:tc>
          <w:tcPr>
            <w:tcW w:w="1548" w:type="dxa"/>
            <w:tcBorders>
              <w:bottom w:val="single" w:sz="4" w:space="0" w:color="auto"/>
            </w:tcBorders>
            <w:vAlign w:val="center"/>
          </w:tcPr>
          <w:p w:rsidR="00195FD9" w:rsidRPr="009A12E0" w:rsidRDefault="00195FD9" w:rsidP="00702B67">
            <w:pPr>
              <w:jc w:val="center"/>
              <w:rPr>
                <w:b/>
                <w:sz w:val="24"/>
                <w:szCs w:val="24"/>
              </w:rPr>
            </w:pPr>
            <w:r w:rsidRPr="009A12E0">
              <w:rPr>
                <w:b/>
                <w:sz w:val="24"/>
                <w:szCs w:val="24"/>
              </w:rPr>
              <w:t>0.3</w:t>
            </w:r>
          </w:p>
        </w:tc>
      </w:tr>
      <w:tr w:rsidR="00195FD9" w:rsidRPr="009A12E0" w:rsidTr="00702B67">
        <w:tc>
          <w:tcPr>
            <w:tcW w:w="13176" w:type="dxa"/>
            <w:gridSpan w:val="7"/>
            <w:shd w:val="clear" w:color="auto" w:fill="D9D9D9" w:themeFill="background1" w:themeFillShade="D9"/>
          </w:tcPr>
          <w:p w:rsidR="00195FD9" w:rsidRPr="009A12E0" w:rsidRDefault="00195FD9" w:rsidP="00CE4BED">
            <w:pPr>
              <w:jc w:val="center"/>
              <w:rPr>
                <w:b/>
                <w:sz w:val="24"/>
                <w:szCs w:val="24"/>
              </w:rPr>
            </w:pPr>
            <w:r w:rsidRPr="009A12E0">
              <w:rPr>
                <w:b/>
                <w:sz w:val="24"/>
                <w:szCs w:val="24"/>
              </w:rPr>
              <w:t>Indicators for Case Management (%)</w:t>
            </w:r>
          </w:p>
        </w:tc>
      </w:tr>
      <w:tr w:rsidR="00195FD9" w:rsidRPr="009A12E0" w:rsidTr="00702B67">
        <w:tc>
          <w:tcPr>
            <w:tcW w:w="5598" w:type="dxa"/>
          </w:tcPr>
          <w:p w:rsidR="00195FD9" w:rsidRPr="009A12E0" w:rsidRDefault="00195FD9" w:rsidP="00702B67">
            <w:pPr>
              <w:rPr>
                <w:sz w:val="24"/>
                <w:szCs w:val="24"/>
              </w:rPr>
            </w:pPr>
            <w:r w:rsidRPr="009A12E0">
              <w:rPr>
                <w:sz w:val="24"/>
                <w:szCs w:val="24"/>
              </w:rPr>
              <w:t>Known HIV status</w:t>
            </w:r>
          </w:p>
        </w:tc>
        <w:tc>
          <w:tcPr>
            <w:tcW w:w="1260" w:type="dxa"/>
          </w:tcPr>
          <w:p w:rsidR="00195FD9" w:rsidRPr="009A12E0" w:rsidRDefault="00195FD9" w:rsidP="00702B67">
            <w:pPr>
              <w:jc w:val="center"/>
              <w:rPr>
                <w:sz w:val="24"/>
                <w:szCs w:val="24"/>
              </w:rPr>
            </w:pPr>
            <w:r w:rsidRPr="009A12E0">
              <w:rPr>
                <w:sz w:val="24"/>
                <w:szCs w:val="24"/>
              </w:rPr>
              <w:t>98.4</w:t>
            </w:r>
          </w:p>
        </w:tc>
        <w:tc>
          <w:tcPr>
            <w:tcW w:w="1260" w:type="dxa"/>
          </w:tcPr>
          <w:p w:rsidR="00195FD9" w:rsidRPr="009A12E0" w:rsidRDefault="00195FD9" w:rsidP="00702B67">
            <w:pPr>
              <w:jc w:val="center"/>
              <w:rPr>
                <w:sz w:val="24"/>
                <w:szCs w:val="24"/>
              </w:rPr>
            </w:pPr>
            <w:r w:rsidRPr="009A12E0">
              <w:rPr>
                <w:sz w:val="24"/>
                <w:szCs w:val="24"/>
              </w:rPr>
              <w:t>97.0</w:t>
            </w:r>
          </w:p>
        </w:tc>
        <w:tc>
          <w:tcPr>
            <w:tcW w:w="1170" w:type="dxa"/>
          </w:tcPr>
          <w:p w:rsidR="00195FD9" w:rsidRPr="009A12E0" w:rsidRDefault="00195FD9" w:rsidP="00702B67">
            <w:pPr>
              <w:jc w:val="center"/>
              <w:rPr>
                <w:sz w:val="24"/>
                <w:szCs w:val="24"/>
              </w:rPr>
            </w:pPr>
            <w:r w:rsidRPr="009A12E0">
              <w:rPr>
                <w:sz w:val="24"/>
                <w:szCs w:val="24"/>
              </w:rPr>
              <w:t>97.5</w:t>
            </w:r>
          </w:p>
        </w:tc>
        <w:tc>
          <w:tcPr>
            <w:tcW w:w="1170" w:type="dxa"/>
          </w:tcPr>
          <w:p w:rsidR="00195FD9" w:rsidRPr="009A12E0" w:rsidRDefault="00195FD9" w:rsidP="00702B67">
            <w:pPr>
              <w:jc w:val="center"/>
              <w:rPr>
                <w:sz w:val="24"/>
                <w:szCs w:val="24"/>
              </w:rPr>
            </w:pPr>
            <w:r w:rsidRPr="009A12E0">
              <w:rPr>
                <w:sz w:val="24"/>
                <w:szCs w:val="24"/>
              </w:rPr>
              <w:t>97.0</w:t>
            </w:r>
          </w:p>
        </w:tc>
        <w:tc>
          <w:tcPr>
            <w:tcW w:w="1170" w:type="dxa"/>
          </w:tcPr>
          <w:p w:rsidR="00195FD9" w:rsidRPr="009A12E0" w:rsidRDefault="0016339C" w:rsidP="00702B67">
            <w:pPr>
              <w:jc w:val="center"/>
              <w:rPr>
                <w:sz w:val="24"/>
                <w:szCs w:val="24"/>
              </w:rPr>
            </w:pPr>
            <w:r>
              <w:rPr>
                <w:sz w:val="24"/>
                <w:szCs w:val="24"/>
              </w:rPr>
              <w:t>96.4</w:t>
            </w:r>
          </w:p>
        </w:tc>
        <w:tc>
          <w:tcPr>
            <w:tcW w:w="1548" w:type="dxa"/>
          </w:tcPr>
          <w:p w:rsidR="00195FD9" w:rsidRPr="009A12E0" w:rsidRDefault="00195FD9" w:rsidP="00702B67">
            <w:pPr>
              <w:jc w:val="center"/>
              <w:rPr>
                <w:b/>
                <w:sz w:val="24"/>
                <w:szCs w:val="24"/>
              </w:rPr>
            </w:pPr>
            <w:r w:rsidRPr="009A12E0">
              <w:rPr>
                <w:b/>
                <w:sz w:val="24"/>
                <w:szCs w:val="24"/>
              </w:rPr>
              <w:t>98.0</w:t>
            </w:r>
          </w:p>
        </w:tc>
      </w:tr>
      <w:tr w:rsidR="00195FD9" w:rsidRPr="009A12E0" w:rsidTr="00702B67">
        <w:tc>
          <w:tcPr>
            <w:tcW w:w="5598" w:type="dxa"/>
          </w:tcPr>
          <w:p w:rsidR="00195FD9" w:rsidRPr="009A12E0" w:rsidRDefault="00195FD9" w:rsidP="00B76770">
            <w:pPr>
              <w:tabs>
                <w:tab w:val="left" w:pos="2379"/>
              </w:tabs>
              <w:rPr>
                <w:sz w:val="24"/>
                <w:szCs w:val="24"/>
              </w:rPr>
            </w:pPr>
            <w:r w:rsidRPr="009A12E0">
              <w:rPr>
                <w:sz w:val="24"/>
                <w:szCs w:val="24"/>
              </w:rPr>
              <w:t>Treatment initiation</w:t>
            </w:r>
            <w:r w:rsidR="00B76770">
              <w:rPr>
                <w:sz w:val="24"/>
                <w:szCs w:val="24"/>
              </w:rPr>
              <w:tab/>
            </w:r>
          </w:p>
        </w:tc>
        <w:tc>
          <w:tcPr>
            <w:tcW w:w="1260" w:type="dxa"/>
          </w:tcPr>
          <w:p w:rsidR="00195FD9" w:rsidRPr="009A12E0" w:rsidRDefault="00195FD9" w:rsidP="00702B67">
            <w:pPr>
              <w:jc w:val="center"/>
              <w:rPr>
                <w:sz w:val="24"/>
                <w:szCs w:val="24"/>
              </w:rPr>
            </w:pPr>
            <w:r w:rsidRPr="009A12E0">
              <w:rPr>
                <w:sz w:val="24"/>
                <w:szCs w:val="24"/>
              </w:rPr>
              <w:t>84.2</w:t>
            </w:r>
          </w:p>
        </w:tc>
        <w:tc>
          <w:tcPr>
            <w:tcW w:w="1260" w:type="dxa"/>
          </w:tcPr>
          <w:p w:rsidR="00195FD9" w:rsidRPr="009A12E0" w:rsidRDefault="00195FD9" w:rsidP="00702B67">
            <w:pPr>
              <w:jc w:val="center"/>
              <w:rPr>
                <w:sz w:val="24"/>
                <w:szCs w:val="24"/>
              </w:rPr>
            </w:pPr>
            <w:r w:rsidRPr="009A12E0">
              <w:rPr>
                <w:sz w:val="24"/>
                <w:szCs w:val="24"/>
              </w:rPr>
              <w:t>90.5</w:t>
            </w:r>
          </w:p>
        </w:tc>
        <w:tc>
          <w:tcPr>
            <w:tcW w:w="1170" w:type="dxa"/>
          </w:tcPr>
          <w:p w:rsidR="00195FD9" w:rsidRPr="009A12E0" w:rsidRDefault="00195FD9" w:rsidP="00702B67">
            <w:pPr>
              <w:jc w:val="center"/>
              <w:rPr>
                <w:sz w:val="24"/>
                <w:szCs w:val="24"/>
              </w:rPr>
            </w:pPr>
            <w:r w:rsidRPr="009A12E0">
              <w:rPr>
                <w:sz w:val="24"/>
                <w:szCs w:val="24"/>
              </w:rPr>
              <w:t>94.1</w:t>
            </w:r>
          </w:p>
        </w:tc>
        <w:tc>
          <w:tcPr>
            <w:tcW w:w="1170" w:type="dxa"/>
          </w:tcPr>
          <w:p w:rsidR="00195FD9" w:rsidRPr="009A12E0" w:rsidRDefault="0090498D" w:rsidP="00702B67">
            <w:pPr>
              <w:jc w:val="center"/>
              <w:rPr>
                <w:sz w:val="24"/>
                <w:szCs w:val="24"/>
              </w:rPr>
            </w:pPr>
            <w:r>
              <w:rPr>
                <w:sz w:val="24"/>
                <w:szCs w:val="24"/>
              </w:rPr>
              <w:t>93.0</w:t>
            </w:r>
          </w:p>
        </w:tc>
        <w:tc>
          <w:tcPr>
            <w:tcW w:w="1170" w:type="dxa"/>
          </w:tcPr>
          <w:p w:rsidR="00195FD9" w:rsidRPr="009A12E0" w:rsidRDefault="00195FD9" w:rsidP="00702B67">
            <w:pPr>
              <w:jc w:val="center"/>
              <w:rPr>
                <w:sz w:val="24"/>
                <w:szCs w:val="24"/>
              </w:rPr>
            </w:pPr>
            <w:r w:rsidRPr="009A12E0">
              <w:rPr>
                <w:sz w:val="24"/>
                <w:szCs w:val="24"/>
              </w:rPr>
              <w:t>100.0</w:t>
            </w:r>
          </w:p>
        </w:tc>
        <w:tc>
          <w:tcPr>
            <w:tcW w:w="1548" w:type="dxa"/>
          </w:tcPr>
          <w:p w:rsidR="00195FD9" w:rsidRPr="009A12E0" w:rsidRDefault="00195FD9" w:rsidP="00702B67">
            <w:pPr>
              <w:jc w:val="center"/>
              <w:rPr>
                <w:b/>
                <w:sz w:val="24"/>
                <w:szCs w:val="24"/>
              </w:rPr>
            </w:pPr>
            <w:r w:rsidRPr="009A12E0">
              <w:rPr>
                <w:b/>
                <w:sz w:val="24"/>
                <w:szCs w:val="24"/>
              </w:rPr>
              <w:t>97.0</w:t>
            </w:r>
          </w:p>
        </w:tc>
      </w:tr>
      <w:tr w:rsidR="00195FD9" w:rsidRPr="009A12E0" w:rsidTr="00702B67">
        <w:tc>
          <w:tcPr>
            <w:tcW w:w="5598" w:type="dxa"/>
          </w:tcPr>
          <w:p w:rsidR="00195FD9" w:rsidRPr="009A12E0" w:rsidRDefault="00195FD9" w:rsidP="00702B67">
            <w:pPr>
              <w:rPr>
                <w:sz w:val="24"/>
                <w:szCs w:val="24"/>
              </w:rPr>
            </w:pPr>
            <w:r w:rsidRPr="009A12E0">
              <w:rPr>
                <w:sz w:val="24"/>
                <w:szCs w:val="24"/>
              </w:rPr>
              <w:t>Recommended initial therapy</w:t>
            </w:r>
          </w:p>
        </w:tc>
        <w:tc>
          <w:tcPr>
            <w:tcW w:w="1260" w:type="dxa"/>
          </w:tcPr>
          <w:p w:rsidR="00195FD9" w:rsidRPr="009A12E0" w:rsidRDefault="00195FD9" w:rsidP="00702B67">
            <w:pPr>
              <w:jc w:val="center"/>
              <w:rPr>
                <w:sz w:val="24"/>
                <w:szCs w:val="24"/>
              </w:rPr>
            </w:pPr>
            <w:r w:rsidRPr="009A12E0">
              <w:rPr>
                <w:sz w:val="24"/>
                <w:szCs w:val="24"/>
              </w:rPr>
              <w:t>95.3</w:t>
            </w:r>
          </w:p>
        </w:tc>
        <w:tc>
          <w:tcPr>
            <w:tcW w:w="1260" w:type="dxa"/>
          </w:tcPr>
          <w:p w:rsidR="00195FD9" w:rsidRPr="009A12E0" w:rsidRDefault="00195FD9" w:rsidP="00702B67">
            <w:pPr>
              <w:jc w:val="center"/>
              <w:rPr>
                <w:sz w:val="24"/>
                <w:szCs w:val="24"/>
              </w:rPr>
            </w:pPr>
            <w:r w:rsidRPr="009A12E0">
              <w:rPr>
                <w:sz w:val="24"/>
                <w:szCs w:val="24"/>
              </w:rPr>
              <w:t>90.0</w:t>
            </w:r>
          </w:p>
        </w:tc>
        <w:tc>
          <w:tcPr>
            <w:tcW w:w="1170" w:type="dxa"/>
          </w:tcPr>
          <w:p w:rsidR="00195FD9" w:rsidRPr="009A12E0" w:rsidRDefault="00195FD9" w:rsidP="00702B67">
            <w:pPr>
              <w:jc w:val="center"/>
              <w:rPr>
                <w:sz w:val="24"/>
                <w:szCs w:val="24"/>
              </w:rPr>
            </w:pPr>
            <w:r w:rsidRPr="009A12E0">
              <w:rPr>
                <w:sz w:val="24"/>
                <w:szCs w:val="24"/>
              </w:rPr>
              <w:t>95.9</w:t>
            </w:r>
          </w:p>
        </w:tc>
        <w:tc>
          <w:tcPr>
            <w:tcW w:w="1170" w:type="dxa"/>
          </w:tcPr>
          <w:p w:rsidR="00195FD9" w:rsidRPr="009A12E0" w:rsidRDefault="00195FD9" w:rsidP="00702B67">
            <w:pPr>
              <w:jc w:val="center"/>
              <w:rPr>
                <w:sz w:val="24"/>
                <w:szCs w:val="24"/>
              </w:rPr>
            </w:pPr>
            <w:r w:rsidRPr="009A12E0">
              <w:rPr>
                <w:sz w:val="24"/>
                <w:szCs w:val="24"/>
              </w:rPr>
              <w:t>96.2</w:t>
            </w:r>
          </w:p>
        </w:tc>
        <w:tc>
          <w:tcPr>
            <w:tcW w:w="1170" w:type="dxa"/>
          </w:tcPr>
          <w:p w:rsidR="00195FD9" w:rsidRPr="009A12E0" w:rsidRDefault="0016339C" w:rsidP="00702B67">
            <w:pPr>
              <w:jc w:val="center"/>
              <w:rPr>
                <w:sz w:val="24"/>
                <w:szCs w:val="24"/>
              </w:rPr>
            </w:pPr>
            <w:r>
              <w:rPr>
                <w:sz w:val="24"/>
                <w:szCs w:val="24"/>
              </w:rPr>
              <w:t>91.0</w:t>
            </w:r>
          </w:p>
        </w:tc>
        <w:tc>
          <w:tcPr>
            <w:tcW w:w="1548" w:type="dxa"/>
          </w:tcPr>
          <w:p w:rsidR="00195FD9" w:rsidRPr="009A12E0" w:rsidRDefault="00195FD9" w:rsidP="00702B67">
            <w:pPr>
              <w:jc w:val="center"/>
              <w:rPr>
                <w:b/>
                <w:sz w:val="24"/>
                <w:szCs w:val="24"/>
              </w:rPr>
            </w:pPr>
            <w:r w:rsidRPr="009A12E0">
              <w:rPr>
                <w:b/>
                <w:sz w:val="24"/>
                <w:szCs w:val="24"/>
              </w:rPr>
              <w:t>97.0</w:t>
            </w:r>
          </w:p>
        </w:tc>
      </w:tr>
      <w:tr w:rsidR="00195FD9" w:rsidRPr="009A12E0" w:rsidTr="00702B67">
        <w:tc>
          <w:tcPr>
            <w:tcW w:w="5598" w:type="dxa"/>
          </w:tcPr>
          <w:p w:rsidR="00195FD9" w:rsidRPr="009A12E0" w:rsidRDefault="00195FD9" w:rsidP="00702B67">
            <w:pPr>
              <w:rPr>
                <w:sz w:val="24"/>
                <w:szCs w:val="24"/>
              </w:rPr>
            </w:pPr>
            <w:r w:rsidRPr="009A12E0">
              <w:rPr>
                <w:sz w:val="24"/>
                <w:szCs w:val="24"/>
              </w:rPr>
              <w:t>Sputum culture result reported</w:t>
            </w:r>
          </w:p>
        </w:tc>
        <w:tc>
          <w:tcPr>
            <w:tcW w:w="1260" w:type="dxa"/>
          </w:tcPr>
          <w:p w:rsidR="00195FD9" w:rsidRPr="009A12E0" w:rsidRDefault="000347C9" w:rsidP="00702B67">
            <w:pPr>
              <w:jc w:val="center"/>
              <w:rPr>
                <w:sz w:val="24"/>
                <w:szCs w:val="24"/>
              </w:rPr>
            </w:pPr>
            <w:r>
              <w:rPr>
                <w:sz w:val="24"/>
                <w:szCs w:val="24"/>
              </w:rPr>
              <w:t>96.9</w:t>
            </w:r>
          </w:p>
        </w:tc>
        <w:tc>
          <w:tcPr>
            <w:tcW w:w="1260" w:type="dxa"/>
          </w:tcPr>
          <w:p w:rsidR="00195FD9" w:rsidRPr="009A12E0" w:rsidRDefault="00195FD9" w:rsidP="00702B67">
            <w:pPr>
              <w:jc w:val="center"/>
              <w:rPr>
                <w:sz w:val="24"/>
                <w:szCs w:val="24"/>
              </w:rPr>
            </w:pPr>
            <w:r>
              <w:rPr>
                <w:sz w:val="24"/>
                <w:szCs w:val="24"/>
              </w:rPr>
              <w:t>97.6</w:t>
            </w:r>
          </w:p>
        </w:tc>
        <w:tc>
          <w:tcPr>
            <w:tcW w:w="1170" w:type="dxa"/>
          </w:tcPr>
          <w:p w:rsidR="00195FD9" w:rsidRPr="009A12E0" w:rsidRDefault="00195FD9" w:rsidP="00702B67">
            <w:pPr>
              <w:jc w:val="center"/>
              <w:rPr>
                <w:sz w:val="24"/>
                <w:szCs w:val="24"/>
              </w:rPr>
            </w:pPr>
            <w:r>
              <w:rPr>
                <w:sz w:val="24"/>
                <w:szCs w:val="24"/>
              </w:rPr>
              <w:t>97.0</w:t>
            </w:r>
          </w:p>
        </w:tc>
        <w:tc>
          <w:tcPr>
            <w:tcW w:w="1170" w:type="dxa"/>
          </w:tcPr>
          <w:p w:rsidR="00195FD9" w:rsidRPr="009A12E0" w:rsidRDefault="00195FD9" w:rsidP="00702B67">
            <w:pPr>
              <w:jc w:val="center"/>
              <w:rPr>
                <w:sz w:val="24"/>
                <w:szCs w:val="24"/>
              </w:rPr>
            </w:pPr>
            <w:r>
              <w:rPr>
                <w:sz w:val="24"/>
                <w:szCs w:val="24"/>
              </w:rPr>
              <w:t>96.4</w:t>
            </w:r>
          </w:p>
        </w:tc>
        <w:tc>
          <w:tcPr>
            <w:tcW w:w="1170" w:type="dxa"/>
          </w:tcPr>
          <w:p w:rsidR="00195FD9" w:rsidRPr="009A12E0" w:rsidRDefault="0016339C" w:rsidP="00702B67">
            <w:pPr>
              <w:jc w:val="center"/>
              <w:rPr>
                <w:sz w:val="24"/>
                <w:szCs w:val="24"/>
              </w:rPr>
            </w:pPr>
            <w:r>
              <w:rPr>
                <w:sz w:val="24"/>
                <w:szCs w:val="24"/>
              </w:rPr>
              <w:t>91.4</w:t>
            </w:r>
          </w:p>
        </w:tc>
        <w:tc>
          <w:tcPr>
            <w:tcW w:w="1548" w:type="dxa"/>
          </w:tcPr>
          <w:p w:rsidR="00195FD9" w:rsidRPr="009A12E0" w:rsidRDefault="00195FD9" w:rsidP="00702B67">
            <w:pPr>
              <w:jc w:val="center"/>
              <w:rPr>
                <w:b/>
                <w:sz w:val="24"/>
                <w:szCs w:val="24"/>
              </w:rPr>
            </w:pPr>
            <w:r w:rsidRPr="009A12E0">
              <w:rPr>
                <w:b/>
                <w:sz w:val="24"/>
                <w:szCs w:val="24"/>
              </w:rPr>
              <w:t>98.0</w:t>
            </w:r>
          </w:p>
        </w:tc>
      </w:tr>
      <w:tr w:rsidR="00195FD9" w:rsidRPr="009A12E0" w:rsidTr="00702B67">
        <w:tc>
          <w:tcPr>
            <w:tcW w:w="5598" w:type="dxa"/>
          </w:tcPr>
          <w:p w:rsidR="00195FD9" w:rsidRPr="009A12E0" w:rsidRDefault="00195FD9" w:rsidP="00702B67">
            <w:pPr>
              <w:rPr>
                <w:sz w:val="24"/>
                <w:szCs w:val="24"/>
              </w:rPr>
            </w:pPr>
            <w:r w:rsidRPr="009A12E0">
              <w:rPr>
                <w:sz w:val="24"/>
                <w:szCs w:val="24"/>
              </w:rPr>
              <w:t>Sputum culture conversion</w:t>
            </w:r>
          </w:p>
        </w:tc>
        <w:tc>
          <w:tcPr>
            <w:tcW w:w="1260" w:type="dxa"/>
          </w:tcPr>
          <w:p w:rsidR="00195FD9" w:rsidRPr="009A12E0" w:rsidRDefault="00195FD9" w:rsidP="00702B67">
            <w:pPr>
              <w:jc w:val="center"/>
              <w:rPr>
                <w:sz w:val="24"/>
                <w:szCs w:val="24"/>
              </w:rPr>
            </w:pPr>
            <w:r>
              <w:rPr>
                <w:sz w:val="24"/>
                <w:szCs w:val="24"/>
              </w:rPr>
              <w:t>87.1</w:t>
            </w:r>
          </w:p>
        </w:tc>
        <w:tc>
          <w:tcPr>
            <w:tcW w:w="1260" w:type="dxa"/>
          </w:tcPr>
          <w:p w:rsidR="00195FD9" w:rsidRPr="009A12E0" w:rsidRDefault="00195FD9" w:rsidP="00702B67">
            <w:pPr>
              <w:jc w:val="center"/>
              <w:rPr>
                <w:sz w:val="24"/>
                <w:szCs w:val="24"/>
              </w:rPr>
            </w:pPr>
            <w:r>
              <w:rPr>
                <w:sz w:val="24"/>
                <w:szCs w:val="24"/>
              </w:rPr>
              <w:t>90.0</w:t>
            </w:r>
          </w:p>
        </w:tc>
        <w:tc>
          <w:tcPr>
            <w:tcW w:w="1170" w:type="dxa"/>
          </w:tcPr>
          <w:p w:rsidR="00195FD9" w:rsidRPr="009A12E0" w:rsidRDefault="00195FD9" w:rsidP="00702B67">
            <w:pPr>
              <w:jc w:val="center"/>
              <w:rPr>
                <w:sz w:val="24"/>
                <w:szCs w:val="24"/>
              </w:rPr>
            </w:pPr>
            <w:r>
              <w:rPr>
                <w:sz w:val="24"/>
                <w:szCs w:val="24"/>
              </w:rPr>
              <w:t>82.4</w:t>
            </w:r>
          </w:p>
        </w:tc>
        <w:tc>
          <w:tcPr>
            <w:tcW w:w="1170" w:type="dxa"/>
          </w:tcPr>
          <w:p w:rsidR="00195FD9" w:rsidRPr="009A12E0" w:rsidRDefault="0090498D" w:rsidP="00702B67">
            <w:pPr>
              <w:jc w:val="center"/>
              <w:rPr>
                <w:sz w:val="24"/>
                <w:szCs w:val="24"/>
              </w:rPr>
            </w:pPr>
            <w:r>
              <w:rPr>
                <w:sz w:val="24"/>
                <w:szCs w:val="24"/>
              </w:rPr>
              <w:t>85.0</w:t>
            </w:r>
          </w:p>
        </w:tc>
        <w:tc>
          <w:tcPr>
            <w:tcW w:w="1170" w:type="dxa"/>
          </w:tcPr>
          <w:p w:rsidR="00195FD9" w:rsidRPr="009A12E0" w:rsidRDefault="0016339C" w:rsidP="00702B67">
            <w:pPr>
              <w:jc w:val="center"/>
              <w:rPr>
                <w:sz w:val="24"/>
                <w:szCs w:val="24"/>
              </w:rPr>
            </w:pPr>
            <w:r>
              <w:rPr>
                <w:sz w:val="24"/>
                <w:szCs w:val="24"/>
              </w:rPr>
              <w:t>61.2</w:t>
            </w:r>
          </w:p>
        </w:tc>
        <w:tc>
          <w:tcPr>
            <w:tcW w:w="1548" w:type="dxa"/>
          </w:tcPr>
          <w:p w:rsidR="00195FD9" w:rsidRPr="009A12E0" w:rsidRDefault="00195FD9" w:rsidP="00702B67">
            <w:pPr>
              <w:jc w:val="center"/>
              <w:rPr>
                <w:b/>
                <w:sz w:val="24"/>
                <w:szCs w:val="24"/>
              </w:rPr>
            </w:pPr>
            <w:r>
              <w:rPr>
                <w:b/>
                <w:sz w:val="24"/>
                <w:szCs w:val="24"/>
              </w:rPr>
              <w:t>73.0</w:t>
            </w:r>
          </w:p>
        </w:tc>
      </w:tr>
      <w:tr w:rsidR="00195FD9" w:rsidRPr="009A12E0" w:rsidTr="00702B67">
        <w:tc>
          <w:tcPr>
            <w:tcW w:w="5598" w:type="dxa"/>
            <w:tcBorders>
              <w:bottom w:val="single" w:sz="4" w:space="0" w:color="auto"/>
            </w:tcBorders>
          </w:tcPr>
          <w:p w:rsidR="00195FD9" w:rsidRPr="009A12E0" w:rsidRDefault="00195FD9" w:rsidP="0090498D">
            <w:pPr>
              <w:rPr>
                <w:sz w:val="24"/>
                <w:szCs w:val="24"/>
              </w:rPr>
            </w:pPr>
            <w:r>
              <w:rPr>
                <w:sz w:val="24"/>
                <w:szCs w:val="24"/>
              </w:rPr>
              <w:t xml:space="preserve">Completion of </w:t>
            </w:r>
            <w:r w:rsidR="0090498D">
              <w:rPr>
                <w:sz w:val="24"/>
                <w:szCs w:val="24"/>
              </w:rPr>
              <w:t>therapy</w:t>
            </w:r>
          </w:p>
        </w:tc>
        <w:tc>
          <w:tcPr>
            <w:tcW w:w="1260" w:type="dxa"/>
            <w:tcBorders>
              <w:bottom w:val="single" w:sz="4" w:space="0" w:color="auto"/>
            </w:tcBorders>
          </w:tcPr>
          <w:p w:rsidR="00195FD9" w:rsidRDefault="00195FD9" w:rsidP="00702B67">
            <w:pPr>
              <w:jc w:val="center"/>
              <w:rPr>
                <w:sz w:val="24"/>
                <w:szCs w:val="24"/>
              </w:rPr>
            </w:pPr>
            <w:r>
              <w:rPr>
                <w:sz w:val="24"/>
                <w:szCs w:val="24"/>
              </w:rPr>
              <w:t>95.3</w:t>
            </w:r>
          </w:p>
        </w:tc>
        <w:tc>
          <w:tcPr>
            <w:tcW w:w="1260" w:type="dxa"/>
            <w:tcBorders>
              <w:bottom w:val="single" w:sz="4" w:space="0" w:color="auto"/>
            </w:tcBorders>
          </w:tcPr>
          <w:p w:rsidR="00195FD9" w:rsidRDefault="00195FD9" w:rsidP="00702B67">
            <w:pPr>
              <w:jc w:val="center"/>
              <w:rPr>
                <w:sz w:val="24"/>
                <w:szCs w:val="24"/>
              </w:rPr>
            </w:pPr>
            <w:r>
              <w:rPr>
                <w:sz w:val="24"/>
                <w:szCs w:val="24"/>
              </w:rPr>
              <w:t>95.3</w:t>
            </w:r>
          </w:p>
        </w:tc>
        <w:tc>
          <w:tcPr>
            <w:tcW w:w="1170" w:type="dxa"/>
            <w:tcBorders>
              <w:bottom w:val="single" w:sz="4" w:space="0" w:color="auto"/>
            </w:tcBorders>
          </w:tcPr>
          <w:p w:rsidR="00195FD9" w:rsidRDefault="00195FD9" w:rsidP="00702B67">
            <w:pPr>
              <w:jc w:val="center"/>
              <w:rPr>
                <w:sz w:val="24"/>
                <w:szCs w:val="24"/>
              </w:rPr>
            </w:pPr>
            <w:r>
              <w:rPr>
                <w:sz w:val="24"/>
                <w:szCs w:val="24"/>
              </w:rPr>
              <w:t>95.2</w:t>
            </w:r>
          </w:p>
        </w:tc>
        <w:tc>
          <w:tcPr>
            <w:tcW w:w="1170" w:type="dxa"/>
            <w:tcBorders>
              <w:bottom w:val="single" w:sz="4" w:space="0" w:color="auto"/>
            </w:tcBorders>
          </w:tcPr>
          <w:p w:rsidR="00195FD9" w:rsidRDefault="000347C9" w:rsidP="00702B67">
            <w:pPr>
              <w:jc w:val="center"/>
              <w:rPr>
                <w:sz w:val="24"/>
                <w:szCs w:val="24"/>
              </w:rPr>
            </w:pPr>
            <w:r>
              <w:rPr>
                <w:sz w:val="24"/>
                <w:szCs w:val="24"/>
              </w:rPr>
              <w:t>92.6</w:t>
            </w:r>
          </w:p>
        </w:tc>
        <w:tc>
          <w:tcPr>
            <w:tcW w:w="1170" w:type="dxa"/>
            <w:tcBorders>
              <w:bottom w:val="single" w:sz="4" w:space="0" w:color="auto"/>
            </w:tcBorders>
          </w:tcPr>
          <w:p w:rsidR="00195FD9" w:rsidRDefault="0016339C" w:rsidP="00702B67">
            <w:pPr>
              <w:jc w:val="center"/>
              <w:rPr>
                <w:sz w:val="24"/>
                <w:szCs w:val="24"/>
              </w:rPr>
            </w:pPr>
            <w:r>
              <w:rPr>
                <w:sz w:val="24"/>
                <w:szCs w:val="24"/>
              </w:rPr>
              <w:t>27.3</w:t>
            </w:r>
          </w:p>
        </w:tc>
        <w:tc>
          <w:tcPr>
            <w:tcW w:w="1548" w:type="dxa"/>
            <w:tcBorders>
              <w:bottom w:val="single" w:sz="4" w:space="0" w:color="auto"/>
            </w:tcBorders>
          </w:tcPr>
          <w:p w:rsidR="00195FD9" w:rsidRDefault="00195FD9" w:rsidP="00702B67">
            <w:pPr>
              <w:jc w:val="center"/>
              <w:rPr>
                <w:b/>
                <w:sz w:val="24"/>
                <w:szCs w:val="24"/>
              </w:rPr>
            </w:pPr>
            <w:r>
              <w:rPr>
                <w:b/>
                <w:sz w:val="24"/>
                <w:szCs w:val="24"/>
              </w:rPr>
              <w:t>95.0</w:t>
            </w:r>
          </w:p>
        </w:tc>
      </w:tr>
      <w:tr w:rsidR="00195FD9" w:rsidRPr="009A12E0" w:rsidTr="00702B67">
        <w:tc>
          <w:tcPr>
            <w:tcW w:w="13176" w:type="dxa"/>
            <w:gridSpan w:val="7"/>
            <w:shd w:val="clear" w:color="auto" w:fill="D9D9D9" w:themeFill="background1" w:themeFillShade="D9"/>
          </w:tcPr>
          <w:p w:rsidR="00195FD9" w:rsidRDefault="00195FD9" w:rsidP="00CE4BED">
            <w:pPr>
              <w:jc w:val="center"/>
              <w:rPr>
                <w:b/>
                <w:sz w:val="24"/>
                <w:szCs w:val="24"/>
              </w:rPr>
            </w:pPr>
            <w:r>
              <w:rPr>
                <w:b/>
                <w:sz w:val="24"/>
                <w:szCs w:val="24"/>
              </w:rPr>
              <w:t>Indicators for Laboratory Reporting (%)</w:t>
            </w:r>
          </w:p>
        </w:tc>
      </w:tr>
      <w:tr w:rsidR="00195FD9" w:rsidRPr="009A12E0" w:rsidTr="00702B67">
        <w:tc>
          <w:tcPr>
            <w:tcW w:w="5598" w:type="dxa"/>
          </w:tcPr>
          <w:p w:rsidR="00195FD9" w:rsidRDefault="00195FD9" w:rsidP="00702B67">
            <w:pPr>
              <w:rPr>
                <w:sz w:val="24"/>
                <w:szCs w:val="24"/>
              </w:rPr>
            </w:pPr>
            <w:r>
              <w:rPr>
                <w:sz w:val="24"/>
                <w:szCs w:val="24"/>
              </w:rPr>
              <w:t>Turnaround time—culture</w:t>
            </w:r>
          </w:p>
        </w:tc>
        <w:tc>
          <w:tcPr>
            <w:tcW w:w="1260" w:type="dxa"/>
          </w:tcPr>
          <w:p w:rsidR="00195FD9" w:rsidRDefault="00195FD9" w:rsidP="00702B67">
            <w:pPr>
              <w:jc w:val="center"/>
              <w:rPr>
                <w:sz w:val="24"/>
                <w:szCs w:val="24"/>
              </w:rPr>
            </w:pPr>
            <w:r>
              <w:rPr>
                <w:sz w:val="24"/>
                <w:szCs w:val="24"/>
              </w:rPr>
              <w:t>32.0</w:t>
            </w:r>
          </w:p>
        </w:tc>
        <w:tc>
          <w:tcPr>
            <w:tcW w:w="1260" w:type="dxa"/>
          </w:tcPr>
          <w:p w:rsidR="00195FD9" w:rsidRDefault="00195FD9" w:rsidP="00702B67">
            <w:pPr>
              <w:jc w:val="center"/>
              <w:rPr>
                <w:sz w:val="24"/>
                <w:szCs w:val="24"/>
              </w:rPr>
            </w:pPr>
            <w:r>
              <w:rPr>
                <w:sz w:val="24"/>
                <w:szCs w:val="24"/>
              </w:rPr>
              <w:t>52.5</w:t>
            </w:r>
          </w:p>
        </w:tc>
        <w:tc>
          <w:tcPr>
            <w:tcW w:w="1170" w:type="dxa"/>
          </w:tcPr>
          <w:p w:rsidR="00195FD9" w:rsidRDefault="00195FD9" w:rsidP="00702B67">
            <w:pPr>
              <w:jc w:val="center"/>
              <w:rPr>
                <w:sz w:val="24"/>
                <w:szCs w:val="24"/>
              </w:rPr>
            </w:pPr>
            <w:r>
              <w:rPr>
                <w:sz w:val="24"/>
                <w:szCs w:val="24"/>
              </w:rPr>
              <w:t>53.9</w:t>
            </w:r>
          </w:p>
        </w:tc>
        <w:tc>
          <w:tcPr>
            <w:tcW w:w="1170" w:type="dxa"/>
          </w:tcPr>
          <w:p w:rsidR="00195FD9" w:rsidRDefault="0016339C" w:rsidP="00702B67">
            <w:pPr>
              <w:jc w:val="center"/>
              <w:rPr>
                <w:sz w:val="24"/>
                <w:szCs w:val="24"/>
              </w:rPr>
            </w:pPr>
            <w:r>
              <w:rPr>
                <w:sz w:val="24"/>
                <w:szCs w:val="24"/>
              </w:rPr>
              <w:t>59.7</w:t>
            </w:r>
          </w:p>
        </w:tc>
        <w:tc>
          <w:tcPr>
            <w:tcW w:w="1170" w:type="dxa"/>
          </w:tcPr>
          <w:p w:rsidR="00195FD9" w:rsidRDefault="0016339C" w:rsidP="00702B67">
            <w:pPr>
              <w:jc w:val="center"/>
              <w:rPr>
                <w:sz w:val="24"/>
                <w:szCs w:val="24"/>
              </w:rPr>
            </w:pPr>
            <w:r>
              <w:rPr>
                <w:sz w:val="24"/>
                <w:szCs w:val="24"/>
              </w:rPr>
              <w:t>61.8</w:t>
            </w:r>
          </w:p>
        </w:tc>
        <w:tc>
          <w:tcPr>
            <w:tcW w:w="1548" w:type="dxa"/>
          </w:tcPr>
          <w:p w:rsidR="00195FD9" w:rsidRDefault="00195FD9" w:rsidP="00702B67">
            <w:pPr>
              <w:jc w:val="center"/>
              <w:rPr>
                <w:b/>
                <w:sz w:val="24"/>
                <w:szCs w:val="24"/>
              </w:rPr>
            </w:pPr>
            <w:r>
              <w:rPr>
                <w:b/>
                <w:sz w:val="24"/>
                <w:szCs w:val="24"/>
              </w:rPr>
              <w:t>78.0</w:t>
            </w:r>
          </w:p>
        </w:tc>
      </w:tr>
      <w:tr w:rsidR="00195FD9" w:rsidRPr="009A12E0" w:rsidTr="00702B67">
        <w:tc>
          <w:tcPr>
            <w:tcW w:w="5598" w:type="dxa"/>
          </w:tcPr>
          <w:p w:rsidR="00195FD9" w:rsidRDefault="00195FD9" w:rsidP="00702B67">
            <w:pPr>
              <w:rPr>
                <w:sz w:val="24"/>
                <w:szCs w:val="24"/>
              </w:rPr>
            </w:pPr>
            <w:r>
              <w:rPr>
                <w:sz w:val="24"/>
                <w:szCs w:val="24"/>
              </w:rPr>
              <w:t>Turnaround time—NAA</w:t>
            </w:r>
          </w:p>
        </w:tc>
        <w:tc>
          <w:tcPr>
            <w:tcW w:w="1260" w:type="dxa"/>
          </w:tcPr>
          <w:p w:rsidR="00195FD9" w:rsidRDefault="00195FD9" w:rsidP="00702B67">
            <w:pPr>
              <w:jc w:val="center"/>
              <w:rPr>
                <w:sz w:val="24"/>
                <w:szCs w:val="24"/>
              </w:rPr>
            </w:pPr>
            <w:r>
              <w:rPr>
                <w:sz w:val="24"/>
                <w:szCs w:val="24"/>
              </w:rPr>
              <w:t>61.9</w:t>
            </w:r>
          </w:p>
        </w:tc>
        <w:tc>
          <w:tcPr>
            <w:tcW w:w="1260" w:type="dxa"/>
          </w:tcPr>
          <w:p w:rsidR="00195FD9" w:rsidRDefault="00195FD9" w:rsidP="00702B67">
            <w:pPr>
              <w:jc w:val="center"/>
              <w:rPr>
                <w:sz w:val="24"/>
                <w:szCs w:val="24"/>
              </w:rPr>
            </w:pPr>
            <w:r>
              <w:rPr>
                <w:sz w:val="24"/>
                <w:szCs w:val="24"/>
              </w:rPr>
              <w:t>82.9</w:t>
            </w:r>
          </w:p>
        </w:tc>
        <w:tc>
          <w:tcPr>
            <w:tcW w:w="1170" w:type="dxa"/>
          </w:tcPr>
          <w:p w:rsidR="00195FD9" w:rsidRDefault="00195FD9" w:rsidP="00702B67">
            <w:pPr>
              <w:jc w:val="center"/>
              <w:rPr>
                <w:sz w:val="24"/>
                <w:szCs w:val="24"/>
              </w:rPr>
            </w:pPr>
            <w:r>
              <w:rPr>
                <w:sz w:val="24"/>
                <w:szCs w:val="24"/>
              </w:rPr>
              <w:t>87.5</w:t>
            </w:r>
          </w:p>
        </w:tc>
        <w:tc>
          <w:tcPr>
            <w:tcW w:w="1170" w:type="dxa"/>
          </w:tcPr>
          <w:p w:rsidR="00195FD9" w:rsidRDefault="0090498D" w:rsidP="00702B67">
            <w:pPr>
              <w:jc w:val="center"/>
              <w:rPr>
                <w:sz w:val="24"/>
                <w:szCs w:val="24"/>
              </w:rPr>
            </w:pPr>
            <w:r>
              <w:rPr>
                <w:sz w:val="24"/>
                <w:szCs w:val="24"/>
              </w:rPr>
              <w:t>93.6</w:t>
            </w:r>
          </w:p>
        </w:tc>
        <w:tc>
          <w:tcPr>
            <w:tcW w:w="1170" w:type="dxa"/>
          </w:tcPr>
          <w:p w:rsidR="00195FD9" w:rsidRDefault="0016339C" w:rsidP="0016339C">
            <w:pPr>
              <w:tabs>
                <w:tab w:val="center" w:pos="379"/>
              </w:tabs>
              <w:rPr>
                <w:sz w:val="24"/>
                <w:szCs w:val="24"/>
              </w:rPr>
            </w:pPr>
            <w:r>
              <w:rPr>
                <w:sz w:val="24"/>
                <w:szCs w:val="24"/>
              </w:rPr>
              <w:tab/>
              <w:t>95.1</w:t>
            </w:r>
          </w:p>
        </w:tc>
        <w:tc>
          <w:tcPr>
            <w:tcW w:w="1548" w:type="dxa"/>
          </w:tcPr>
          <w:p w:rsidR="00195FD9" w:rsidRDefault="00195FD9" w:rsidP="00702B67">
            <w:pPr>
              <w:jc w:val="center"/>
              <w:rPr>
                <w:b/>
                <w:sz w:val="24"/>
                <w:szCs w:val="24"/>
              </w:rPr>
            </w:pPr>
            <w:r>
              <w:rPr>
                <w:b/>
                <w:sz w:val="24"/>
                <w:szCs w:val="24"/>
              </w:rPr>
              <w:t>92.0</w:t>
            </w:r>
          </w:p>
        </w:tc>
      </w:tr>
      <w:tr w:rsidR="00195FD9" w:rsidRPr="009A12E0" w:rsidTr="00702B67">
        <w:tc>
          <w:tcPr>
            <w:tcW w:w="5598" w:type="dxa"/>
          </w:tcPr>
          <w:p w:rsidR="00195FD9" w:rsidRDefault="00195FD9" w:rsidP="00702B67">
            <w:pPr>
              <w:rPr>
                <w:sz w:val="24"/>
                <w:szCs w:val="24"/>
              </w:rPr>
            </w:pPr>
            <w:r>
              <w:rPr>
                <w:sz w:val="24"/>
                <w:szCs w:val="24"/>
              </w:rPr>
              <w:t>Drug-susceptibility results</w:t>
            </w:r>
          </w:p>
        </w:tc>
        <w:tc>
          <w:tcPr>
            <w:tcW w:w="1260" w:type="dxa"/>
          </w:tcPr>
          <w:p w:rsidR="00195FD9" w:rsidRDefault="00195FD9" w:rsidP="00702B67">
            <w:pPr>
              <w:jc w:val="center"/>
              <w:rPr>
                <w:sz w:val="24"/>
                <w:szCs w:val="24"/>
              </w:rPr>
            </w:pPr>
            <w:r>
              <w:rPr>
                <w:sz w:val="24"/>
                <w:szCs w:val="24"/>
              </w:rPr>
              <w:t>94.4</w:t>
            </w:r>
          </w:p>
        </w:tc>
        <w:tc>
          <w:tcPr>
            <w:tcW w:w="1260" w:type="dxa"/>
          </w:tcPr>
          <w:p w:rsidR="00195FD9" w:rsidRDefault="00195FD9" w:rsidP="00702B67">
            <w:pPr>
              <w:jc w:val="center"/>
              <w:rPr>
                <w:sz w:val="24"/>
                <w:szCs w:val="24"/>
              </w:rPr>
            </w:pPr>
            <w:r>
              <w:rPr>
                <w:sz w:val="24"/>
                <w:szCs w:val="24"/>
              </w:rPr>
              <w:t>96.2</w:t>
            </w:r>
          </w:p>
        </w:tc>
        <w:tc>
          <w:tcPr>
            <w:tcW w:w="1170" w:type="dxa"/>
          </w:tcPr>
          <w:p w:rsidR="00195FD9" w:rsidRDefault="00195FD9" w:rsidP="00702B67">
            <w:pPr>
              <w:jc w:val="center"/>
              <w:rPr>
                <w:sz w:val="24"/>
                <w:szCs w:val="24"/>
              </w:rPr>
            </w:pPr>
            <w:r>
              <w:rPr>
                <w:sz w:val="24"/>
                <w:szCs w:val="24"/>
              </w:rPr>
              <w:t>100.0</w:t>
            </w:r>
          </w:p>
        </w:tc>
        <w:tc>
          <w:tcPr>
            <w:tcW w:w="1170" w:type="dxa"/>
          </w:tcPr>
          <w:p w:rsidR="00195FD9" w:rsidRDefault="0090498D" w:rsidP="00702B67">
            <w:pPr>
              <w:jc w:val="center"/>
              <w:rPr>
                <w:sz w:val="24"/>
                <w:szCs w:val="24"/>
              </w:rPr>
            </w:pPr>
            <w:r>
              <w:rPr>
                <w:sz w:val="24"/>
                <w:szCs w:val="24"/>
              </w:rPr>
              <w:t>98.9</w:t>
            </w:r>
          </w:p>
        </w:tc>
        <w:tc>
          <w:tcPr>
            <w:tcW w:w="1170" w:type="dxa"/>
          </w:tcPr>
          <w:p w:rsidR="00195FD9" w:rsidRDefault="0016339C" w:rsidP="00702B67">
            <w:pPr>
              <w:jc w:val="center"/>
              <w:rPr>
                <w:sz w:val="24"/>
                <w:szCs w:val="24"/>
              </w:rPr>
            </w:pPr>
            <w:r>
              <w:rPr>
                <w:sz w:val="24"/>
                <w:szCs w:val="24"/>
              </w:rPr>
              <w:t>79.5</w:t>
            </w:r>
          </w:p>
        </w:tc>
        <w:tc>
          <w:tcPr>
            <w:tcW w:w="1548" w:type="dxa"/>
          </w:tcPr>
          <w:p w:rsidR="00195FD9" w:rsidRDefault="00195FD9" w:rsidP="00702B67">
            <w:pPr>
              <w:jc w:val="center"/>
              <w:rPr>
                <w:b/>
                <w:sz w:val="24"/>
                <w:szCs w:val="24"/>
              </w:rPr>
            </w:pPr>
            <w:r>
              <w:rPr>
                <w:b/>
                <w:sz w:val="24"/>
                <w:szCs w:val="24"/>
              </w:rPr>
              <w:t>100.0</w:t>
            </w:r>
          </w:p>
        </w:tc>
      </w:tr>
      <w:tr w:rsidR="00195FD9" w:rsidRPr="009A12E0" w:rsidTr="00702B67">
        <w:tc>
          <w:tcPr>
            <w:tcW w:w="5598" w:type="dxa"/>
            <w:tcBorders>
              <w:bottom w:val="single" w:sz="4" w:space="0" w:color="auto"/>
            </w:tcBorders>
          </w:tcPr>
          <w:p w:rsidR="00195FD9" w:rsidRDefault="00195FD9" w:rsidP="00702B67">
            <w:pPr>
              <w:rPr>
                <w:sz w:val="24"/>
                <w:szCs w:val="24"/>
              </w:rPr>
            </w:pPr>
            <w:r>
              <w:rPr>
                <w:sz w:val="24"/>
                <w:szCs w:val="24"/>
              </w:rPr>
              <w:t>Universal genotyping</w:t>
            </w:r>
          </w:p>
        </w:tc>
        <w:tc>
          <w:tcPr>
            <w:tcW w:w="1260" w:type="dxa"/>
            <w:tcBorders>
              <w:bottom w:val="single" w:sz="4" w:space="0" w:color="auto"/>
            </w:tcBorders>
          </w:tcPr>
          <w:p w:rsidR="00195FD9" w:rsidRDefault="00195FD9" w:rsidP="00702B67">
            <w:pPr>
              <w:jc w:val="center"/>
              <w:rPr>
                <w:sz w:val="24"/>
                <w:szCs w:val="24"/>
              </w:rPr>
            </w:pPr>
            <w:r>
              <w:rPr>
                <w:sz w:val="24"/>
                <w:szCs w:val="24"/>
              </w:rPr>
              <w:t>94.4</w:t>
            </w:r>
          </w:p>
        </w:tc>
        <w:tc>
          <w:tcPr>
            <w:tcW w:w="1260" w:type="dxa"/>
            <w:tcBorders>
              <w:bottom w:val="single" w:sz="4" w:space="0" w:color="auto"/>
            </w:tcBorders>
          </w:tcPr>
          <w:p w:rsidR="00195FD9" w:rsidRDefault="00B76770" w:rsidP="00702B67">
            <w:pPr>
              <w:jc w:val="center"/>
              <w:rPr>
                <w:sz w:val="24"/>
                <w:szCs w:val="24"/>
              </w:rPr>
            </w:pPr>
            <w:r>
              <w:rPr>
                <w:sz w:val="24"/>
                <w:szCs w:val="24"/>
              </w:rPr>
              <w:t>93.8</w:t>
            </w:r>
          </w:p>
        </w:tc>
        <w:tc>
          <w:tcPr>
            <w:tcW w:w="1170" w:type="dxa"/>
            <w:tcBorders>
              <w:bottom w:val="single" w:sz="4" w:space="0" w:color="auto"/>
            </w:tcBorders>
          </w:tcPr>
          <w:p w:rsidR="00195FD9" w:rsidRDefault="00195FD9" w:rsidP="00702B67">
            <w:pPr>
              <w:jc w:val="center"/>
              <w:rPr>
                <w:sz w:val="24"/>
                <w:szCs w:val="24"/>
              </w:rPr>
            </w:pPr>
            <w:r>
              <w:rPr>
                <w:sz w:val="24"/>
                <w:szCs w:val="24"/>
              </w:rPr>
              <w:t>100.0</w:t>
            </w:r>
          </w:p>
        </w:tc>
        <w:tc>
          <w:tcPr>
            <w:tcW w:w="1170" w:type="dxa"/>
            <w:tcBorders>
              <w:bottom w:val="single" w:sz="4" w:space="0" w:color="auto"/>
            </w:tcBorders>
          </w:tcPr>
          <w:p w:rsidR="00195FD9" w:rsidRDefault="0090498D" w:rsidP="00702B67">
            <w:pPr>
              <w:jc w:val="center"/>
              <w:rPr>
                <w:sz w:val="24"/>
                <w:szCs w:val="24"/>
              </w:rPr>
            </w:pPr>
            <w:r>
              <w:rPr>
                <w:sz w:val="24"/>
                <w:szCs w:val="24"/>
              </w:rPr>
              <w:t>97.8</w:t>
            </w:r>
          </w:p>
        </w:tc>
        <w:tc>
          <w:tcPr>
            <w:tcW w:w="1170" w:type="dxa"/>
            <w:tcBorders>
              <w:bottom w:val="single" w:sz="4" w:space="0" w:color="auto"/>
            </w:tcBorders>
          </w:tcPr>
          <w:p w:rsidR="00195FD9" w:rsidRDefault="0090498D" w:rsidP="0090498D">
            <w:pPr>
              <w:tabs>
                <w:tab w:val="center" w:pos="374"/>
              </w:tabs>
              <w:rPr>
                <w:sz w:val="24"/>
                <w:szCs w:val="24"/>
              </w:rPr>
            </w:pPr>
            <w:r>
              <w:rPr>
                <w:sz w:val="24"/>
                <w:szCs w:val="24"/>
              </w:rPr>
              <w:tab/>
              <w:t>82.4</w:t>
            </w:r>
          </w:p>
        </w:tc>
        <w:tc>
          <w:tcPr>
            <w:tcW w:w="1548" w:type="dxa"/>
            <w:tcBorders>
              <w:bottom w:val="single" w:sz="4" w:space="0" w:color="auto"/>
            </w:tcBorders>
          </w:tcPr>
          <w:p w:rsidR="00195FD9" w:rsidRDefault="00195FD9" w:rsidP="00702B67">
            <w:pPr>
              <w:jc w:val="center"/>
              <w:rPr>
                <w:b/>
                <w:sz w:val="24"/>
                <w:szCs w:val="24"/>
              </w:rPr>
            </w:pPr>
            <w:r>
              <w:rPr>
                <w:b/>
                <w:sz w:val="24"/>
                <w:szCs w:val="24"/>
              </w:rPr>
              <w:t>100.0</w:t>
            </w:r>
          </w:p>
        </w:tc>
      </w:tr>
      <w:tr w:rsidR="00195FD9" w:rsidRPr="009A12E0" w:rsidTr="00702B67">
        <w:tc>
          <w:tcPr>
            <w:tcW w:w="13176" w:type="dxa"/>
            <w:gridSpan w:val="7"/>
            <w:shd w:val="clear" w:color="auto" w:fill="D9D9D9" w:themeFill="background1" w:themeFillShade="D9"/>
          </w:tcPr>
          <w:p w:rsidR="00195FD9" w:rsidRDefault="0042582D" w:rsidP="00CE4BED">
            <w:pPr>
              <w:jc w:val="center"/>
              <w:rPr>
                <w:b/>
                <w:sz w:val="24"/>
                <w:szCs w:val="24"/>
              </w:rPr>
            </w:pPr>
            <w:r w:rsidRPr="0042582D">
              <w:rPr>
                <w:b/>
                <w:sz w:val="24"/>
                <w:szCs w:val="24"/>
              </w:rPr>
              <w:t>Indicators for Examination of Immigrants and Refugees (%)</w:t>
            </w:r>
          </w:p>
        </w:tc>
      </w:tr>
      <w:tr w:rsidR="00195FD9" w:rsidRPr="009A12E0" w:rsidTr="00702B67">
        <w:tc>
          <w:tcPr>
            <w:tcW w:w="5598" w:type="dxa"/>
          </w:tcPr>
          <w:p w:rsidR="00195FD9" w:rsidRDefault="00195FD9" w:rsidP="00702B67">
            <w:pPr>
              <w:rPr>
                <w:sz w:val="24"/>
                <w:szCs w:val="24"/>
              </w:rPr>
            </w:pPr>
            <w:r>
              <w:rPr>
                <w:sz w:val="24"/>
                <w:szCs w:val="24"/>
              </w:rPr>
              <w:t>Examination initiation</w:t>
            </w:r>
          </w:p>
        </w:tc>
        <w:tc>
          <w:tcPr>
            <w:tcW w:w="1260" w:type="dxa"/>
          </w:tcPr>
          <w:p w:rsidR="00195FD9" w:rsidRDefault="00195FD9" w:rsidP="00702B67">
            <w:pPr>
              <w:jc w:val="center"/>
              <w:rPr>
                <w:sz w:val="24"/>
                <w:szCs w:val="24"/>
              </w:rPr>
            </w:pPr>
            <w:r>
              <w:rPr>
                <w:sz w:val="24"/>
                <w:szCs w:val="24"/>
              </w:rPr>
              <w:t>76.6</w:t>
            </w:r>
          </w:p>
        </w:tc>
        <w:tc>
          <w:tcPr>
            <w:tcW w:w="1260" w:type="dxa"/>
          </w:tcPr>
          <w:p w:rsidR="00195FD9" w:rsidRDefault="00195FD9" w:rsidP="00702B67">
            <w:pPr>
              <w:jc w:val="center"/>
              <w:rPr>
                <w:sz w:val="24"/>
                <w:szCs w:val="24"/>
              </w:rPr>
            </w:pPr>
            <w:r>
              <w:rPr>
                <w:sz w:val="24"/>
                <w:szCs w:val="24"/>
              </w:rPr>
              <w:t>75.4</w:t>
            </w:r>
          </w:p>
        </w:tc>
        <w:tc>
          <w:tcPr>
            <w:tcW w:w="1170" w:type="dxa"/>
          </w:tcPr>
          <w:p w:rsidR="00195FD9" w:rsidRDefault="00195FD9" w:rsidP="00702B67">
            <w:pPr>
              <w:jc w:val="center"/>
              <w:rPr>
                <w:sz w:val="24"/>
                <w:szCs w:val="24"/>
              </w:rPr>
            </w:pPr>
            <w:r>
              <w:rPr>
                <w:sz w:val="24"/>
                <w:szCs w:val="24"/>
              </w:rPr>
              <w:t>71.7</w:t>
            </w:r>
          </w:p>
        </w:tc>
        <w:tc>
          <w:tcPr>
            <w:tcW w:w="1170" w:type="dxa"/>
          </w:tcPr>
          <w:p w:rsidR="00195FD9" w:rsidRDefault="00B76770" w:rsidP="00702B67">
            <w:pPr>
              <w:jc w:val="center"/>
              <w:rPr>
                <w:sz w:val="24"/>
                <w:szCs w:val="24"/>
              </w:rPr>
            </w:pPr>
            <w:r>
              <w:rPr>
                <w:sz w:val="24"/>
                <w:szCs w:val="24"/>
              </w:rPr>
              <w:t>60.8</w:t>
            </w:r>
          </w:p>
        </w:tc>
        <w:tc>
          <w:tcPr>
            <w:tcW w:w="1170" w:type="dxa"/>
          </w:tcPr>
          <w:p w:rsidR="00195FD9" w:rsidRDefault="0016339C" w:rsidP="00702B67">
            <w:pPr>
              <w:jc w:val="center"/>
              <w:rPr>
                <w:sz w:val="24"/>
                <w:szCs w:val="24"/>
              </w:rPr>
            </w:pPr>
            <w:r>
              <w:rPr>
                <w:sz w:val="24"/>
                <w:szCs w:val="24"/>
              </w:rPr>
              <w:t>58.8</w:t>
            </w:r>
          </w:p>
        </w:tc>
        <w:tc>
          <w:tcPr>
            <w:tcW w:w="1548" w:type="dxa"/>
          </w:tcPr>
          <w:p w:rsidR="00195FD9" w:rsidRDefault="00195FD9" w:rsidP="00702B67">
            <w:pPr>
              <w:jc w:val="center"/>
              <w:rPr>
                <w:b/>
                <w:sz w:val="24"/>
                <w:szCs w:val="24"/>
              </w:rPr>
            </w:pPr>
            <w:r>
              <w:rPr>
                <w:b/>
                <w:sz w:val="24"/>
                <w:szCs w:val="24"/>
              </w:rPr>
              <w:t>84.0</w:t>
            </w:r>
          </w:p>
        </w:tc>
      </w:tr>
      <w:tr w:rsidR="00195FD9" w:rsidRPr="009A12E0" w:rsidTr="00702B67">
        <w:tc>
          <w:tcPr>
            <w:tcW w:w="5598" w:type="dxa"/>
          </w:tcPr>
          <w:p w:rsidR="00195FD9" w:rsidRDefault="00195FD9" w:rsidP="00702B67">
            <w:pPr>
              <w:rPr>
                <w:sz w:val="24"/>
                <w:szCs w:val="24"/>
              </w:rPr>
            </w:pPr>
            <w:r>
              <w:rPr>
                <w:sz w:val="24"/>
                <w:szCs w:val="24"/>
              </w:rPr>
              <w:t>Examination completion</w:t>
            </w:r>
          </w:p>
        </w:tc>
        <w:tc>
          <w:tcPr>
            <w:tcW w:w="1260" w:type="dxa"/>
          </w:tcPr>
          <w:p w:rsidR="00195FD9" w:rsidRDefault="00195FD9" w:rsidP="00702B67">
            <w:pPr>
              <w:jc w:val="center"/>
              <w:rPr>
                <w:sz w:val="24"/>
                <w:szCs w:val="24"/>
              </w:rPr>
            </w:pPr>
            <w:r>
              <w:rPr>
                <w:sz w:val="24"/>
                <w:szCs w:val="24"/>
              </w:rPr>
              <w:t>67.2</w:t>
            </w:r>
          </w:p>
        </w:tc>
        <w:tc>
          <w:tcPr>
            <w:tcW w:w="1260" w:type="dxa"/>
          </w:tcPr>
          <w:p w:rsidR="00195FD9" w:rsidRDefault="00195FD9" w:rsidP="00702B67">
            <w:pPr>
              <w:jc w:val="center"/>
              <w:rPr>
                <w:sz w:val="24"/>
                <w:szCs w:val="24"/>
              </w:rPr>
            </w:pPr>
            <w:r>
              <w:rPr>
                <w:sz w:val="24"/>
                <w:szCs w:val="24"/>
              </w:rPr>
              <w:t>64.5</w:t>
            </w:r>
          </w:p>
        </w:tc>
        <w:tc>
          <w:tcPr>
            <w:tcW w:w="1170" w:type="dxa"/>
          </w:tcPr>
          <w:p w:rsidR="00195FD9" w:rsidRDefault="00195FD9" w:rsidP="00702B67">
            <w:pPr>
              <w:jc w:val="center"/>
              <w:rPr>
                <w:sz w:val="24"/>
                <w:szCs w:val="24"/>
              </w:rPr>
            </w:pPr>
            <w:r>
              <w:rPr>
                <w:sz w:val="24"/>
                <w:szCs w:val="24"/>
              </w:rPr>
              <w:t>61.4</w:t>
            </w:r>
          </w:p>
        </w:tc>
        <w:tc>
          <w:tcPr>
            <w:tcW w:w="1170" w:type="dxa"/>
          </w:tcPr>
          <w:p w:rsidR="00195FD9" w:rsidRDefault="00B76770" w:rsidP="00702B67">
            <w:pPr>
              <w:jc w:val="center"/>
              <w:rPr>
                <w:sz w:val="24"/>
                <w:szCs w:val="24"/>
              </w:rPr>
            </w:pPr>
            <w:r>
              <w:rPr>
                <w:sz w:val="24"/>
                <w:szCs w:val="24"/>
              </w:rPr>
              <w:t>56.3</w:t>
            </w:r>
          </w:p>
        </w:tc>
        <w:tc>
          <w:tcPr>
            <w:tcW w:w="1170" w:type="dxa"/>
          </w:tcPr>
          <w:p w:rsidR="00195FD9" w:rsidRDefault="0016339C" w:rsidP="00702B67">
            <w:pPr>
              <w:jc w:val="center"/>
              <w:rPr>
                <w:sz w:val="24"/>
                <w:szCs w:val="24"/>
              </w:rPr>
            </w:pPr>
            <w:r>
              <w:rPr>
                <w:sz w:val="24"/>
                <w:szCs w:val="24"/>
              </w:rPr>
              <w:t>42.0</w:t>
            </w:r>
          </w:p>
        </w:tc>
        <w:tc>
          <w:tcPr>
            <w:tcW w:w="1548" w:type="dxa"/>
          </w:tcPr>
          <w:p w:rsidR="00195FD9" w:rsidRDefault="00195FD9" w:rsidP="00702B67">
            <w:pPr>
              <w:jc w:val="center"/>
              <w:rPr>
                <w:b/>
                <w:sz w:val="24"/>
                <w:szCs w:val="24"/>
              </w:rPr>
            </w:pPr>
            <w:r>
              <w:rPr>
                <w:b/>
                <w:sz w:val="24"/>
                <w:szCs w:val="24"/>
              </w:rPr>
              <w:t>76.0</w:t>
            </w:r>
          </w:p>
        </w:tc>
      </w:tr>
      <w:tr w:rsidR="00195FD9" w:rsidRPr="009A12E0" w:rsidTr="00702B67">
        <w:tc>
          <w:tcPr>
            <w:tcW w:w="5598" w:type="dxa"/>
          </w:tcPr>
          <w:p w:rsidR="00195FD9" w:rsidRDefault="00195FD9" w:rsidP="00702B67">
            <w:pPr>
              <w:rPr>
                <w:sz w:val="24"/>
                <w:szCs w:val="24"/>
              </w:rPr>
            </w:pPr>
            <w:r>
              <w:rPr>
                <w:sz w:val="24"/>
                <w:szCs w:val="24"/>
              </w:rPr>
              <w:t>LTBI treatment initiation</w:t>
            </w:r>
          </w:p>
        </w:tc>
        <w:tc>
          <w:tcPr>
            <w:tcW w:w="1260" w:type="dxa"/>
          </w:tcPr>
          <w:p w:rsidR="00195FD9" w:rsidRDefault="00195FD9" w:rsidP="00702B67">
            <w:pPr>
              <w:jc w:val="center"/>
              <w:rPr>
                <w:sz w:val="24"/>
                <w:szCs w:val="24"/>
              </w:rPr>
            </w:pPr>
            <w:r>
              <w:rPr>
                <w:sz w:val="24"/>
                <w:szCs w:val="24"/>
              </w:rPr>
              <w:t>52.5</w:t>
            </w:r>
          </w:p>
        </w:tc>
        <w:tc>
          <w:tcPr>
            <w:tcW w:w="1260" w:type="dxa"/>
          </w:tcPr>
          <w:p w:rsidR="00195FD9" w:rsidRDefault="00195FD9" w:rsidP="00702B67">
            <w:pPr>
              <w:jc w:val="center"/>
              <w:rPr>
                <w:sz w:val="24"/>
                <w:szCs w:val="24"/>
              </w:rPr>
            </w:pPr>
            <w:r>
              <w:rPr>
                <w:sz w:val="24"/>
                <w:szCs w:val="24"/>
              </w:rPr>
              <w:t>73.3</w:t>
            </w:r>
          </w:p>
        </w:tc>
        <w:tc>
          <w:tcPr>
            <w:tcW w:w="1170" w:type="dxa"/>
          </w:tcPr>
          <w:p w:rsidR="00195FD9" w:rsidRDefault="00195FD9" w:rsidP="00702B67">
            <w:pPr>
              <w:jc w:val="center"/>
              <w:rPr>
                <w:sz w:val="24"/>
                <w:szCs w:val="24"/>
              </w:rPr>
            </w:pPr>
            <w:r>
              <w:rPr>
                <w:sz w:val="24"/>
                <w:szCs w:val="24"/>
              </w:rPr>
              <w:t>60.0</w:t>
            </w:r>
          </w:p>
        </w:tc>
        <w:tc>
          <w:tcPr>
            <w:tcW w:w="1170" w:type="dxa"/>
          </w:tcPr>
          <w:p w:rsidR="00195FD9" w:rsidRDefault="00B76770" w:rsidP="00702B67">
            <w:pPr>
              <w:jc w:val="center"/>
              <w:rPr>
                <w:sz w:val="24"/>
                <w:szCs w:val="24"/>
              </w:rPr>
            </w:pPr>
            <w:r>
              <w:rPr>
                <w:sz w:val="24"/>
                <w:szCs w:val="24"/>
              </w:rPr>
              <w:t>66.7</w:t>
            </w:r>
          </w:p>
        </w:tc>
        <w:tc>
          <w:tcPr>
            <w:tcW w:w="1170" w:type="dxa"/>
          </w:tcPr>
          <w:p w:rsidR="00195FD9" w:rsidRDefault="00B76770" w:rsidP="00702B67">
            <w:pPr>
              <w:jc w:val="center"/>
              <w:rPr>
                <w:sz w:val="24"/>
                <w:szCs w:val="24"/>
              </w:rPr>
            </w:pPr>
            <w:r>
              <w:rPr>
                <w:sz w:val="24"/>
                <w:szCs w:val="24"/>
              </w:rPr>
              <w:t>68.4</w:t>
            </w:r>
          </w:p>
        </w:tc>
        <w:tc>
          <w:tcPr>
            <w:tcW w:w="1548" w:type="dxa"/>
          </w:tcPr>
          <w:p w:rsidR="00195FD9" w:rsidRDefault="00195FD9" w:rsidP="00702B67">
            <w:pPr>
              <w:jc w:val="center"/>
              <w:rPr>
                <w:b/>
                <w:sz w:val="24"/>
                <w:szCs w:val="24"/>
              </w:rPr>
            </w:pPr>
            <w:r>
              <w:rPr>
                <w:b/>
                <w:sz w:val="24"/>
                <w:szCs w:val="24"/>
              </w:rPr>
              <w:t>93.0</w:t>
            </w:r>
          </w:p>
        </w:tc>
      </w:tr>
      <w:tr w:rsidR="00195FD9" w:rsidRPr="009A12E0" w:rsidTr="00702B67">
        <w:tc>
          <w:tcPr>
            <w:tcW w:w="5598" w:type="dxa"/>
            <w:tcBorders>
              <w:bottom w:val="single" w:sz="4" w:space="0" w:color="auto"/>
            </w:tcBorders>
          </w:tcPr>
          <w:p w:rsidR="00195FD9" w:rsidRDefault="00195FD9" w:rsidP="00702B67">
            <w:pPr>
              <w:rPr>
                <w:sz w:val="24"/>
                <w:szCs w:val="24"/>
              </w:rPr>
            </w:pPr>
            <w:r>
              <w:rPr>
                <w:sz w:val="24"/>
                <w:szCs w:val="24"/>
              </w:rPr>
              <w:t>LTBI treatment completion</w:t>
            </w:r>
          </w:p>
        </w:tc>
        <w:tc>
          <w:tcPr>
            <w:tcW w:w="1260" w:type="dxa"/>
            <w:tcBorders>
              <w:bottom w:val="single" w:sz="4" w:space="0" w:color="auto"/>
            </w:tcBorders>
          </w:tcPr>
          <w:p w:rsidR="00195FD9" w:rsidRDefault="00195FD9" w:rsidP="00702B67">
            <w:pPr>
              <w:jc w:val="center"/>
              <w:rPr>
                <w:sz w:val="24"/>
                <w:szCs w:val="24"/>
              </w:rPr>
            </w:pPr>
            <w:r>
              <w:rPr>
                <w:sz w:val="24"/>
                <w:szCs w:val="24"/>
              </w:rPr>
              <w:t>90.5</w:t>
            </w:r>
          </w:p>
        </w:tc>
        <w:tc>
          <w:tcPr>
            <w:tcW w:w="1260" w:type="dxa"/>
            <w:tcBorders>
              <w:bottom w:val="single" w:sz="4" w:space="0" w:color="auto"/>
            </w:tcBorders>
          </w:tcPr>
          <w:p w:rsidR="00195FD9" w:rsidRDefault="00195FD9" w:rsidP="00702B67">
            <w:pPr>
              <w:jc w:val="center"/>
              <w:rPr>
                <w:sz w:val="24"/>
                <w:szCs w:val="24"/>
              </w:rPr>
            </w:pPr>
            <w:r>
              <w:rPr>
                <w:sz w:val="24"/>
                <w:szCs w:val="24"/>
              </w:rPr>
              <w:t>79.5</w:t>
            </w:r>
          </w:p>
        </w:tc>
        <w:tc>
          <w:tcPr>
            <w:tcW w:w="1170" w:type="dxa"/>
            <w:tcBorders>
              <w:bottom w:val="single" w:sz="4" w:space="0" w:color="auto"/>
            </w:tcBorders>
          </w:tcPr>
          <w:p w:rsidR="00195FD9" w:rsidRDefault="00195FD9" w:rsidP="00702B67">
            <w:pPr>
              <w:jc w:val="center"/>
              <w:rPr>
                <w:sz w:val="24"/>
                <w:szCs w:val="24"/>
              </w:rPr>
            </w:pPr>
            <w:r>
              <w:rPr>
                <w:sz w:val="24"/>
                <w:szCs w:val="24"/>
              </w:rPr>
              <w:t>85.7</w:t>
            </w:r>
          </w:p>
        </w:tc>
        <w:tc>
          <w:tcPr>
            <w:tcW w:w="1170" w:type="dxa"/>
            <w:tcBorders>
              <w:bottom w:val="single" w:sz="4" w:space="0" w:color="auto"/>
            </w:tcBorders>
          </w:tcPr>
          <w:p w:rsidR="00195FD9" w:rsidRDefault="00B76770" w:rsidP="00702B67">
            <w:pPr>
              <w:jc w:val="center"/>
              <w:rPr>
                <w:sz w:val="24"/>
                <w:szCs w:val="24"/>
              </w:rPr>
            </w:pPr>
            <w:r>
              <w:rPr>
                <w:sz w:val="24"/>
                <w:szCs w:val="24"/>
              </w:rPr>
              <w:t>60.0</w:t>
            </w:r>
          </w:p>
        </w:tc>
        <w:tc>
          <w:tcPr>
            <w:tcW w:w="1170" w:type="dxa"/>
            <w:tcBorders>
              <w:bottom w:val="single" w:sz="4" w:space="0" w:color="auto"/>
            </w:tcBorders>
          </w:tcPr>
          <w:p w:rsidR="00195FD9" w:rsidRDefault="00195FD9" w:rsidP="00702B67">
            <w:pPr>
              <w:jc w:val="center"/>
              <w:rPr>
                <w:sz w:val="24"/>
                <w:szCs w:val="24"/>
              </w:rPr>
            </w:pPr>
            <w:r>
              <w:rPr>
                <w:sz w:val="24"/>
                <w:szCs w:val="24"/>
              </w:rPr>
              <w:t>0.0</w:t>
            </w:r>
          </w:p>
        </w:tc>
        <w:tc>
          <w:tcPr>
            <w:tcW w:w="1548" w:type="dxa"/>
            <w:tcBorders>
              <w:bottom w:val="single" w:sz="4" w:space="0" w:color="auto"/>
            </w:tcBorders>
          </w:tcPr>
          <w:p w:rsidR="00195FD9" w:rsidRDefault="00195FD9" w:rsidP="00702B67">
            <w:pPr>
              <w:jc w:val="center"/>
              <w:rPr>
                <w:b/>
                <w:sz w:val="24"/>
                <w:szCs w:val="24"/>
              </w:rPr>
            </w:pPr>
            <w:r>
              <w:rPr>
                <w:b/>
                <w:sz w:val="24"/>
                <w:szCs w:val="24"/>
              </w:rPr>
              <w:t>98.0</w:t>
            </w:r>
          </w:p>
        </w:tc>
      </w:tr>
      <w:tr w:rsidR="00195FD9" w:rsidRPr="009A12E0" w:rsidTr="00702B67">
        <w:tc>
          <w:tcPr>
            <w:tcW w:w="13176" w:type="dxa"/>
            <w:gridSpan w:val="7"/>
            <w:shd w:val="clear" w:color="auto" w:fill="D9D9D9" w:themeFill="background1" w:themeFillShade="D9"/>
          </w:tcPr>
          <w:p w:rsidR="00195FD9" w:rsidRDefault="00195FD9" w:rsidP="00CE4BED">
            <w:pPr>
              <w:jc w:val="center"/>
              <w:rPr>
                <w:b/>
                <w:sz w:val="24"/>
                <w:szCs w:val="24"/>
              </w:rPr>
            </w:pPr>
            <w:r>
              <w:rPr>
                <w:b/>
                <w:sz w:val="24"/>
                <w:szCs w:val="24"/>
              </w:rPr>
              <w:t>Indicators for Data Reporting (%)</w:t>
            </w:r>
          </w:p>
        </w:tc>
      </w:tr>
      <w:tr w:rsidR="00195FD9" w:rsidRPr="009A12E0" w:rsidTr="00702B67">
        <w:tc>
          <w:tcPr>
            <w:tcW w:w="5598" w:type="dxa"/>
          </w:tcPr>
          <w:p w:rsidR="00195FD9" w:rsidRDefault="00195FD9" w:rsidP="00702B67">
            <w:pPr>
              <w:rPr>
                <w:sz w:val="24"/>
                <w:szCs w:val="24"/>
              </w:rPr>
            </w:pPr>
            <w:r>
              <w:rPr>
                <w:sz w:val="24"/>
                <w:szCs w:val="24"/>
              </w:rPr>
              <w:t>RVCT</w:t>
            </w:r>
          </w:p>
        </w:tc>
        <w:tc>
          <w:tcPr>
            <w:tcW w:w="1260" w:type="dxa"/>
          </w:tcPr>
          <w:p w:rsidR="00195FD9" w:rsidRDefault="00195FD9" w:rsidP="00702B67">
            <w:pPr>
              <w:jc w:val="center"/>
              <w:rPr>
                <w:sz w:val="24"/>
                <w:szCs w:val="24"/>
              </w:rPr>
            </w:pPr>
            <w:r>
              <w:rPr>
                <w:sz w:val="24"/>
                <w:szCs w:val="24"/>
              </w:rPr>
              <w:t>100.0</w:t>
            </w:r>
          </w:p>
        </w:tc>
        <w:tc>
          <w:tcPr>
            <w:tcW w:w="1260" w:type="dxa"/>
          </w:tcPr>
          <w:p w:rsidR="00195FD9" w:rsidRDefault="00195FD9" w:rsidP="00702B67">
            <w:pPr>
              <w:jc w:val="center"/>
              <w:rPr>
                <w:sz w:val="24"/>
                <w:szCs w:val="24"/>
              </w:rPr>
            </w:pPr>
            <w:r>
              <w:rPr>
                <w:sz w:val="24"/>
                <w:szCs w:val="24"/>
              </w:rPr>
              <w:t>100.0</w:t>
            </w:r>
          </w:p>
        </w:tc>
        <w:tc>
          <w:tcPr>
            <w:tcW w:w="1170" w:type="dxa"/>
          </w:tcPr>
          <w:p w:rsidR="00195FD9" w:rsidRDefault="00195FD9" w:rsidP="00702B67">
            <w:pPr>
              <w:jc w:val="center"/>
              <w:rPr>
                <w:sz w:val="24"/>
                <w:szCs w:val="24"/>
              </w:rPr>
            </w:pPr>
            <w:r>
              <w:rPr>
                <w:sz w:val="24"/>
                <w:szCs w:val="24"/>
              </w:rPr>
              <w:t>100.0</w:t>
            </w:r>
          </w:p>
        </w:tc>
        <w:tc>
          <w:tcPr>
            <w:tcW w:w="1170" w:type="dxa"/>
          </w:tcPr>
          <w:p w:rsidR="0090498D" w:rsidRDefault="0090498D" w:rsidP="0090498D">
            <w:pPr>
              <w:jc w:val="center"/>
              <w:rPr>
                <w:sz w:val="24"/>
                <w:szCs w:val="24"/>
              </w:rPr>
            </w:pPr>
            <w:r>
              <w:rPr>
                <w:sz w:val="24"/>
                <w:szCs w:val="24"/>
              </w:rPr>
              <w:t>99.8</w:t>
            </w:r>
          </w:p>
        </w:tc>
        <w:tc>
          <w:tcPr>
            <w:tcW w:w="1170" w:type="dxa"/>
          </w:tcPr>
          <w:p w:rsidR="00195FD9" w:rsidRDefault="0016339C" w:rsidP="00702B67">
            <w:pPr>
              <w:jc w:val="center"/>
              <w:rPr>
                <w:sz w:val="24"/>
                <w:szCs w:val="24"/>
              </w:rPr>
            </w:pPr>
            <w:r>
              <w:rPr>
                <w:sz w:val="24"/>
                <w:szCs w:val="24"/>
              </w:rPr>
              <w:t>87.8</w:t>
            </w:r>
          </w:p>
        </w:tc>
        <w:tc>
          <w:tcPr>
            <w:tcW w:w="1548" w:type="dxa"/>
          </w:tcPr>
          <w:p w:rsidR="00195FD9" w:rsidRDefault="00195FD9" w:rsidP="00702B67">
            <w:pPr>
              <w:jc w:val="center"/>
              <w:rPr>
                <w:b/>
                <w:sz w:val="24"/>
                <w:szCs w:val="24"/>
              </w:rPr>
            </w:pPr>
            <w:r>
              <w:rPr>
                <w:b/>
                <w:sz w:val="24"/>
                <w:szCs w:val="24"/>
              </w:rPr>
              <w:t>100.0</w:t>
            </w:r>
          </w:p>
        </w:tc>
      </w:tr>
      <w:tr w:rsidR="00195FD9" w:rsidRPr="009A12E0" w:rsidTr="00702B67">
        <w:tc>
          <w:tcPr>
            <w:tcW w:w="5598" w:type="dxa"/>
          </w:tcPr>
          <w:p w:rsidR="00195FD9" w:rsidRDefault="00195FD9" w:rsidP="00702B67">
            <w:pPr>
              <w:rPr>
                <w:sz w:val="24"/>
                <w:szCs w:val="24"/>
              </w:rPr>
            </w:pPr>
            <w:r>
              <w:rPr>
                <w:sz w:val="24"/>
                <w:szCs w:val="24"/>
              </w:rPr>
              <w:t>ARPEs</w:t>
            </w:r>
          </w:p>
        </w:tc>
        <w:tc>
          <w:tcPr>
            <w:tcW w:w="1260" w:type="dxa"/>
          </w:tcPr>
          <w:p w:rsidR="00195FD9" w:rsidRDefault="00195FD9" w:rsidP="00702B67">
            <w:pPr>
              <w:jc w:val="center"/>
              <w:rPr>
                <w:sz w:val="24"/>
                <w:szCs w:val="24"/>
              </w:rPr>
            </w:pPr>
            <w:r>
              <w:rPr>
                <w:sz w:val="24"/>
                <w:szCs w:val="24"/>
              </w:rPr>
              <w:t>100.0</w:t>
            </w:r>
          </w:p>
        </w:tc>
        <w:tc>
          <w:tcPr>
            <w:tcW w:w="1260" w:type="dxa"/>
          </w:tcPr>
          <w:p w:rsidR="00195FD9" w:rsidRDefault="00195FD9" w:rsidP="00702B67">
            <w:pPr>
              <w:jc w:val="center"/>
              <w:rPr>
                <w:sz w:val="24"/>
                <w:szCs w:val="24"/>
              </w:rPr>
            </w:pPr>
            <w:r>
              <w:rPr>
                <w:sz w:val="24"/>
                <w:szCs w:val="24"/>
              </w:rPr>
              <w:t>100.0</w:t>
            </w:r>
          </w:p>
        </w:tc>
        <w:tc>
          <w:tcPr>
            <w:tcW w:w="1170" w:type="dxa"/>
          </w:tcPr>
          <w:p w:rsidR="00195FD9" w:rsidRDefault="000347C9" w:rsidP="00702B67">
            <w:pPr>
              <w:jc w:val="center"/>
              <w:rPr>
                <w:sz w:val="24"/>
                <w:szCs w:val="24"/>
              </w:rPr>
            </w:pPr>
            <w:r>
              <w:rPr>
                <w:sz w:val="24"/>
                <w:szCs w:val="24"/>
              </w:rPr>
              <w:t>100.0</w:t>
            </w:r>
          </w:p>
        </w:tc>
        <w:tc>
          <w:tcPr>
            <w:tcW w:w="1170" w:type="dxa"/>
          </w:tcPr>
          <w:p w:rsidR="00195FD9" w:rsidRDefault="00195FD9" w:rsidP="00702B67">
            <w:pPr>
              <w:jc w:val="center"/>
              <w:rPr>
                <w:sz w:val="24"/>
                <w:szCs w:val="24"/>
              </w:rPr>
            </w:pPr>
            <w:r>
              <w:rPr>
                <w:sz w:val="24"/>
                <w:szCs w:val="24"/>
              </w:rPr>
              <w:t>88.9</w:t>
            </w:r>
          </w:p>
        </w:tc>
        <w:tc>
          <w:tcPr>
            <w:tcW w:w="1170" w:type="dxa"/>
          </w:tcPr>
          <w:p w:rsidR="00195FD9" w:rsidRDefault="00195FD9" w:rsidP="00702B67">
            <w:pPr>
              <w:jc w:val="center"/>
              <w:rPr>
                <w:sz w:val="24"/>
                <w:szCs w:val="24"/>
              </w:rPr>
            </w:pPr>
            <w:r>
              <w:rPr>
                <w:sz w:val="24"/>
                <w:szCs w:val="24"/>
              </w:rPr>
              <w:t>NA</w:t>
            </w:r>
          </w:p>
        </w:tc>
        <w:tc>
          <w:tcPr>
            <w:tcW w:w="1548" w:type="dxa"/>
          </w:tcPr>
          <w:p w:rsidR="00195FD9" w:rsidRDefault="00195FD9" w:rsidP="00702B67">
            <w:pPr>
              <w:jc w:val="center"/>
              <w:rPr>
                <w:b/>
                <w:sz w:val="24"/>
                <w:szCs w:val="24"/>
              </w:rPr>
            </w:pPr>
            <w:r>
              <w:rPr>
                <w:b/>
                <w:sz w:val="24"/>
                <w:szCs w:val="24"/>
              </w:rPr>
              <w:t>100.0</w:t>
            </w:r>
          </w:p>
        </w:tc>
      </w:tr>
      <w:tr w:rsidR="00195FD9" w:rsidRPr="009A12E0" w:rsidTr="00702B67">
        <w:tc>
          <w:tcPr>
            <w:tcW w:w="5598" w:type="dxa"/>
            <w:tcBorders>
              <w:bottom w:val="single" w:sz="4" w:space="0" w:color="auto"/>
            </w:tcBorders>
          </w:tcPr>
          <w:p w:rsidR="00195FD9" w:rsidRDefault="00195FD9" w:rsidP="00702B67">
            <w:pPr>
              <w:rPr>
                <w:sz w:val="24"/>
                <w:szCs w:val="24"/>
              </w:rPr>
            </w:pPr>
            <w:r>
              <w:rPr>
                <w:sz w:val="24"/>
                <w:szCs w:val="24"/>
              </w:rPr>
              <w:t>EDN</w:t>
            </w:r>
          </w:p>
        </w:tc>
        <w:tc>
          <w:tcPr>
            <w:tcW w:w="1260" w:type="dxa"/>
            <w:tcBorders>
              <w:bottom w:val="single" w:sz="4" w:space="0" w:color="auto"/>
            </w:tcBorders>
          </w:tcPr>
          <w:p w:rsidR="00195FD9" w:rsidRDefault="00195FD9" w:rsidP="00702B67">
            <w:pPr>
              <w:jc w:val="center"/>
              <w:rPr>
                <w:sz w:val="24"/>
                <w:szCs w:val="24"/>
              </w:rPr>
            </w:pPr>
            <w:r>
              <w:rPr>
                <w:sz w:val="24"/>
                <w:szCs w:val="24"/>
              </w:rPr>
              <w:t>94.3</w:t>
            </w:r>
          </w:p>
        </w:tc>
        <w:tc>
          <w:tcPr>
            <w:tcW w:w="1260" w:type="dxa"/>
            <w:tcBorders>
              <w:bottom w:val="single" w:sz="4" w:space="0" w:color="auto"/>
            </w:tcBorders>
          </w:tcPr>
          <w:p w:rsidR="00195FD9" w:rsidRDefault="00195FD9" w:rsidP="00702B67">
            <w:pPr>
              <w:jc w:val="center"/>
              <w:rPr>
                <w:sz w:val="24"/>
                <w:szCs w:val="24"/>
              </w:rPr>
            </w:pPr>
            <w:r>
              <w:rPr>
                <w:sz w:val="24"/>
                <w:szCs w:val="24"/>
              </w:rPr>
              <w:t>93.7</w:t>
            </w:r>
          </w:p>
        </w:tc>
        <w:tc>
          <w:tcPr>
            <w:tcW w:w="1170" w:type="dxa"/>
            <w:tcBorders>
              <w:bottom w:val="single" w:sz="4" w:space="0" w:color="auto"/>
            </w:tcBorders>
          </w:tcPr>
          <w:p w:rsidR="00195FD9" w:rsidRDefault="00195FD9" w:rsidP="00702B67">
            <w:pPr>
              <w:jc w:val="center"/>
              <w:rPr>
                <w:sz w:val="24"/>
                <w:szCs w:val="24"/>
              </w:rPr>
            </w:pPr>
            <w:r>
              <w:rPr>
                <w:sz w:val="24"/>
                <w:szCs w:val="24"/>
              </w:rPr>
              <w:t>91.3</w:t>
            </w:r>
          </w:p>
        </w:tc>
        <w:tc>
          <w:tcPr>
            <w:tcW w:w="1170" w:type="dxa"/>
            <w:tcBorders>
              <w:bottom w:val="single" w:sz="4" w:space="0" w:color="auto"/>
            </w:tcBorders>
          </w:tcPr>
          <w:p w:rsidR="00195FD9" w:rsidRDefault="0090498D" w:rsidP="00702B67">
            <w:pPr>
              <w:jc w:val="center"/>
              <w:rPr>
                <w:sz w:val="24"/>
                <w:szCs w:val="24"/>
              </w:rPr>
            </w:pPr>
            <w:r>
              <w:rPr>
                <w:sz w:val="24"/>
                <w:szCs w:val="24"/>
              </w:rPr>
              <w:t>87.0</w:t>
            </w:r>
          </w:p>
        </w:tc>
        <w:tc>
          <w:tcPr>
            <w:tcW w:w="1170" w:type="dxa"/>
            <w:tcBorders>
              <w:bottom w:val="single" w:sz="4" w:space="0" w:color="auto"/>
            </w:tcBorders>
          </w:tcPr>
          <w:p w:rsidR="00195FD9" w:rsidRDefault="0090498D" w:rsidP="00702B67">
            <w:pPr>
              <w:jc w:val="center"/>
              <w:rPr>
                <w:sz w:val="24"/>
                <w:szCs w:val="24"/>
              </w:rPr>
            </w:pPr>
            <w:r>
              <w:rPr>
                <w:sz w:val="24"/>
                <w:szCs w:val="24"/>
              </w:rPr>
              <w:t>61.5</w:t>
            </w:r>
          </w:p>
        </w:tc>
        <w:tc>
          <w:tcPr>
            <w:tcW w:w="1548" w:type="dxa"/>
            <w:tcBorders>
              <w:bottom w:val="single" w:sz="4" w:space="0" w:color="auto"/>
            </w:tcBorders>
          </w:tcPr>
          <w:p w:rsidR="00195FD9" w:rsidRDefault="00195FD9" w:rsidP="00702B67">
            <w:pPr>
              <w:jc w:val="center"/>
              <w:rPr>
                <w:b/>
                <w:sz w:val="24"/>
                <w:szCs w:val="24"/>
              </w:rPr>
            </w:pPr>
            <w:r>
              <w:rPr>
                <w:b/>
                <w:sz w:val="24"/>
                <w:szCs w:val="24"/>
              </w:rPr>
              <w:t>93.0</w:t>
            </w:r>
          </w:p>
        </w:tc>
      </w:tr>
      <w:tr w:rsidR="00195FD9" w:rsidRPr="009A12E0" w:rsidTr="00702B67">
        <w:tc>
          <w:tcPr>
            <w:tcW w:w="9576" w:type="dxa"/>
            <w:gridSpan w:val="7"/>
            <w:shd w:val="clear" w:color="auto" w:fill="D9D9D9" w:themeFill="background1" w:themeFillShade="D9"/>
          </w:tcPr>
          <w:p w:rsidR="00195FD9" w:rsidRDefault="00195FD9" w:rsidP="00CE4BED">
            <w:pPr>
              <w:jc w:val="center"/>
              <w:rPr>
                <w:b/>
                <w:sz w:val="24"/>
                <w:szCs w:val="24"/>
              </w:rPr>
            </w:pPr>
            <w:r>
              <w:rPr>
                <w:b/>
                <w:sz w:val="24"/>
                <w:szCs w:val="24"/>
              </w:rPr>
              <w:t>Indicators for Contact Investigation (%)</w:t>
            </w:r>
          </w:p>
        </w:tc>
      </w:tr>
      <w:tr w:rsidR="00195FD9" w:rsidRPr="009A12E0" w:rsidTr="00702B67">
        <w:tc>
          <w:tcPr>
            <w:tcW w:w="3551" w:type="dxa"/>
          </w:tcPr>
          <w:p w:rsidR="00195FD9" w:rsidRDefault="00195FD9" w:rsidP="00702B67">
            <w:pPr>
              <w:rPr>
                <w:sz w:val="24"/>
                <w:szCs w:val="24"/>
              </w:rPr>
            </w:pPr>
            <w:r>
              <w:rPr>
                <w:sz w:val="24"/>
                <w:szCs w:val="24"/>
              </w:rPr>
              <w:t>Contact elicitation</w:t>
            </w:r>
          </w:p>
        </w:tc>
        <w:tc>
          <w:tcPr>
            <w:tcW w:w="1000" w:type="dxa"/>
          </w:tcPr>
          <w:p w:rsidR="00195FD9" w:rsidRDefault="00195FD9" w:rsidP="00702B67">
            <w:pPr>
              <w:jc w:val="center"/>
              <w:rPr>
                <w:sz w:val="24"/>
                <w:szCs w:val="24"/>
              </w:rPr>
            </w:pPr>
            <w:r>
              <w:rPr>
                <w:sz w:val="24"/>
                <w:szCs w:val="24"/>
              </w:rPr>
              <w:t>97.3</w:t>
            </w:r>
          </w:p>
        </w:tc>
        <w:tc>
          <w:tcPr>
            <w:tcW w:w="1000" w:type="dxa"/>
          </w:tcPr>
          <w:p w:rsidR="00195FD9" w:rsidRDefault="00195FD9" w:rsidP="00702B67">
            <w:pPr>
              <w:jc w:val="center"/>
              <w:rPr>
                <w:sz w:val="24"/>
                <w:szCs w:val="24"/>
              </w:rPr>
            </w:pPr>
            <w:r>
              <w:rPr>
                <w:sz w:val="24"/>
                <w:szCs w:val="24"/>
              </w:rPr>
              <w:t>100.0</w:t>
            </w:r>
          </w:p>
        </w:tc>
        <w:tc>
          <w:tcPr>
            <w:tcW w:w="957" w:type="dxa"/>
          </w:tcPr>
          <w:p w:rsidR="00195FD9" w:rsidRDefault="00195FD9" w:rsidP="00702B67">
            <w:pPr>
              <w:jc w:val="center"/>
              <w:rPr>
                <w:sz w:val="24"/>
                <w:szCs w:val="24"/>
              </w:rPr>
            </w:pPr>
            <w:r>
              <w:rPr>
                <w:sz w:val="24"/>
                <w:szCs w:val="24"/>
              </w:rPr>
              <w:t>100.0</w:t>
            </w:r>
          </w:p>
        </w:tc>
        <w:tc>
          <w:tcPr>
            <w:tcW w:w="925" w:type="dxa"/>
          </w:tcPr>
          <w:p w:rsidR="00195FD9" w:rsidRDefault="00195FD9" w:rsidP="00702B67">
            <w:pPr>
              <w:jc w:val="center"/>
              <w:rPr>
                <w:sz w:val="24"/>
                <w:szCs w:val="24"/>
              </w:rPr>
            </w:pPr>
            <w:r>
              <w:rPr>
                <w:sz w:val="24"/>
                <w:szCs w:val="24"/>
              </w:rPr>
              <w:t>100.0</w:t>
            </w:r>
          </w:p>
        </w:tc>
        <w:tc>
          <w:tcPr>
            <w:tcW w:w="957" w:type="dxa"/>
          </w:tcPr>
          <w:p w:rsidR="00195FD9" w:rsidRDefault="00195FD9" w:rsidP="00702B67">
            <w:pPr>
              <w:jc w:val="center"/>
              <w:rPr>
                <w:sz w:val="24"/>
                <w:szCs w:val="24"/>
              </w:rPr>
            </w:pPr>
            <w:r>
              <w:rPr>
                <w:sz w:val="24"/>
                <w:szCs w:val="24"/>
              </w:rPr>
              <w:t>NA</w:t>
            </w:r>
          </w:p>
        </w:tc>
        <w:tc>
          <w:tcPr>
            <w:tcW w:w="1186" w:type="dxa"/>
          </w:tcPr>
          <w:p w:rsidR="00195FD9" w:rsidRDefault="00195FD9" w:rsidP="00702B67">
            <w:pPr>
              <w:jc w:val="center"/>
              <w:rPr>
                <w:b/>
                <w:sz w:val="24"/>
                <w:szCs w:val="24"/>
              </w:rPr>
            </w:pPr>
            <w:r>
              <w:rPr>
                <w:b/>
                <w:sz w:val="24"/>
                <w:szCs w:val="24"/>
              </w:rPr>
              <w:t>100.0</w:t>
            </w:r>
          </w:p>
        </w:tc>
      </w:tr>
      <w:tr w:rsidR="00195FD9" w:rsidRPr="009A12E0" w:rsidTr="00702B67">
        <w:tc>
          <w:tcPr>
            <w:tcW w:w="3551" w:type="dxa"/>
          </w:tcPr>
          <w:p w:rsidR="00195FD9" w:rsidRDefault="00195FD9" w:rsidP="00702B67">
            <w:pPr>
              <w:rPr>
                <w:sz w:val="24"/>
                <w:szCs w:val="24"/>
              </w:rPr>
            </w:pPr>
            <w:r>
              <w:rPr>
                <w:sz w:val="24"/>
                <w:szCs w:val="24"/>
              </w:rPr>
              <w:t>Contact examination</w:t>
            </w:r>
          </w:p>
        </w:tc>
        <w:tc>
          <w:tcPr>
            <w:tcW w:w="1000" w:type="dxa"/>
          </w:tcPr>
          <w:p w:rsidR="00195FD9" w:rsidRDefault="00195FD9" w:rsidP="00702B67">
            <w:pPr>
              <w:jc w:val="center"/>
              <w:rPr>
                <w:sz w:val="24"/>
                <w:szCs w:val="24"/>
              </w:rPr>
            </w:pPr>
            <w:r>
              <w:rPr>
                <w:sz w:val="24"/>
                <w:szCs w:val="24"/>
              </w:rPr>
              <w:t>87.5</w:t>
            </w:r>
          </w:p>
        </w:tc>
        <w:tc>
          <w:tcPr>
            <w:tcW w:w="1000" w:type="dxa"/>
          </w:tcPr>
          <w:p w:rsidR="00195FD9" w:rsidRDefault="00195FD9" w:rsidP="00702B67">
            <w:pPr>
              <w:jc w:val="center"/>
              <w:rPr>
                <w:sz w:val="24"/>
                <w:szCs w:val="24"/>
              </w:rPr>
            </w:pPr>
            <w:r>
              <w:rPr>
                <w:sz w:val="24"/>
                <w:szCs w:val="24"/>
              </w:rPr>
              <w:t>80.5</w:t>
            </w:r>
          </w:p>
        </w:tc>
        <w:tc>
          <w:tcPr>
            <w:tcW w:w="957" w:type="dxa"/>
          </w:tcPr>
          <w:p w:rsidR="00195FD9" w:rsidRDefault="000347C9" w:rsidP="00702B67">
            <w:pPr>
              <w:jc w:val="center"/>
              <w:rPr>
                <w:sz w:val="24"/>
                <w:szCs w:val="24"/>
              </w:rPr>
            </w:pPr>
            <w:r>
              <w:rPr>
                <w:sz w:val="24"/>
                <w:szCs w:val="24"/>
              </w:rPr>
              <w:t>82.3</w:t>
            </w:r>
          </w:p>
        </w:tc>
        <w:tc>
          <w:tcPr>
            <w:tcW w:w="925" w:type="dxa"/>
          </w:tcPr>
          <w:p w:rsidR="00195FD9" w:rsidRDefault="00195FD9" w:rsidP="00702B67">
            <w:pPr>
              <w:jc w:val="center"/>
              <w:rPr>
                <w:sz w:val="24"/>
                <w:szCs w:val="24"/>
              </w:rPr>
            </w:pPr>
            <w:r>
              <w:rPr>
                <w:sz w:val="24"/>
                <w:szCs w:val="24"/>
              </w:rPr>
              <w:t>89.8</w:t>
            </w:r>
          </w:p>
        </w:tc>
        <w:tc>
          <w:tcPr>
            <w:tcW w:w="957" w:type="dxa"/>
          </w:tcPr>
          <w:p w:rsidR="00195FD9" w:rsidRDefault="00195FD9" w:rsidP="00702B67">
            <w:pPr>
              <w:jc w:val="center"/>
              <w:rPr>
                <w:sz w:val="24"/>
                <w:szCs w:val="24"/>
              </w:rPr>
            </w:pPr>
            <w:r>
              <w:rPr>
                <w:sz w:val="24"/>
                <w:szCs w:val="24"/>
              </w:rPr>
              <w:t>NA</w:t>
            </w:r>
          </w:p>
        </w:tc>
        <w:tc>
          <w:tcPr>
            <w:tcW w:w="1186" w:type="dxa"/>
          </w:tcPr>
          <w:p w:rsidR="00195FD9" w:rsidRDefault="00195FD9" w:rsidP="00702B67">
            <w:pPr>
              <w:jc w:val="center"/>
              <w:rPr>
                <w:b/>
                <w:sz w:val="24"/>
                <w:szCs w:val="24"/>
              </w:rPr>
            </w:pPr>
            <w:r>
              <w:rPr>
                <w:b/>
                <w:sz w:val="24"/>
                <w:szCs w:val="24"/>
              </w:rPr>
              <w:t>93.0</w:t>
            </w:r>
          </w:p>
        </w:tc>
      </w:tr>
      <w:tr w:rsidR="00195FD9" w:rsidRPr="009A12E0" w:rsidTr="00702B67">
        <w:tc>
          <w:tcPr>
            <w:tcW w:w="3551" w:type="dxa"/>
          </w:tcPr>
          <w:p w:rsidR="00195FD9" w:rsidRDefault="00195FD9" w:rsidP="00702B67">
            <w:pPr>
              <w:rPr>
                <w:sz w:val="24"/>
                <w:szCs w:val="24"/>
              </w:rPr>
            </w:pPr>
            <w:r>
              <w:rPr>
                <w:sz w:val="24"/>
                <w:szCs w:val="24"/>
              </w:rPr>
              <w:t>LTBI treatment initiation</w:t>
            </w:r>
          </w:p>
        </w:tc>
        <w:tc>
          <w:tcPr>
            <w:tcW w:w="1000" w:type="dxa"/>
          </w:tcPr>
          <w:p w:rsidR="00195FD9" w:rsidRDefault="00195FD9" w:rsidP="00702B67">
            <w:pPr>
              <w:jc w:val="center"/>
              <w:rPr>
                <w:sz w:val="24"/>
                <w:szCs w:val="24"/>
              </w:rPr>
            </w:pPr>
            <w:r>
              <w:rPr>
                <w:sz w:val="24"/>
                <w:szCs w:val="24"/>
              </w:rPr>
              <w:t>87.2</w:t>
            </w:r>
          </w:p>
        </w:tc>
        <w:tc>
          <w:tcPr>
            <w:tcW w:w="1000" w:type="dxa"/>
          </w:tcPr>
          <w:p w:rsidR="00195FD9" w:rsidRDefault="00195FD9" w:rsidP="00702B67">
            <w:pPr>
              <w:jc w:val="center"/>
              <w:rPr>
                <w:sz w:val="24"/>
                <w:szCs w:val="24"/>
              </w:rPr>
            </w:pPr>
            <w:r>
              <w:rPr>
                <w:sz w:val="24"/>
                <w:szCs w:val="24"/>
              </w:rPr>
              <w:t>75.5</w:t>
            </w:r>
          </w:p>
        </w:tc>
        <w:tc>
          <w:tcPr>
            <w:tcW w:w="957" w:type="dxa"/>
          </w:tcPr>
          <w:p w:rsidR="00195FD9" w:rsidRDefault="000347C9" w:rsidP="00702B67">
            <w:pPr>
              <w:jc w:val="center"/>
              <w:rPr>
                <w:sz w:val="24"/>
                <w:szCs w:val="24"/>
              </w:rPr>
            </w:pPr>
            <w:r>
              <w:rPr>
                <w:sz w:val="24"/>
                <w:szCs w:val="24"/>
              </w:rPr>
              <w:t>84.5</w:t>
            </w:r>
          </w:p>
        </w:tc>
        <w:tc>
          <w:tcPr>
            <w:tcW w:w="925" w:type="dxa"/>
          </w:tcPr>
          <w:p w:rsidR="00195FD9" w:rsidRDefault="00195FD9" w:rsidP="00702B67">
            <w:pPr>
              <w:jc w:val="center"/>
              <w:rPr>
                <w:sz w:val="24"/>
                <w:szCs w:val="24"/>
              </w:rPr>
            </w:pPr>
            <w:r>
              <w:rPr>
                <w:sz w:val="24"/>
                <w:szCs w:val="24"/>
              </w:rPr>
              <w:t>79.5</w:t>
            </w:r>
          </w:p>
        </w:tc>
        <w:tc>
          <w:tcPr>
            <w:tcW w:w="957" w:type="dxa"/>
          </w:tcPr>
          <w:p w:rsidR="00195FD9" w:rsidRDefault="00195FD9" w:rsidP="00702B67">
            <w:pPr>
              <w:jc w:val="center"/>
              <w:rPr>
                <w:sz w:val="24"/>
                <w:szCs w:val="24"/>
              </w:rPr>
            </w:pPr>
            <w:r>
              <w:rPr>
                <w:sz w:val="24"/>
                <w:szCs w:val="24"/>
              </w:rPr>
              <w:t>NA</w:t>
            </w:r>
          </w:p>
        </w:tc>
        <w:tc>
          <w:tcPr>
            <w:tcW w:w="1186" w:type="dxa"/>
          </w:tcPr>
          <w:p w:rsidR="00195FD9" w:rsidRDefault="00195FD9" w:rsidP="00702B67">
            <w:pPr>
              <w:jc w:val="center"/>
              <w:rPr>
                <w:b/>
                <w:sz w:val="24"/>
                <w:szCs w:val="24"/>
              </w:rPr>
            </w:pPr>
            <w:r>
              <w:rPr>
                <w:b/>
                <w:sz w:val="24"/>
                <w:szCs w:val="24"/>
              </w:rPr>
              <w:t>91.0</w:t>
            </w:r>
          </w:p>
        </w:tc>
      </w:tr>
      <w:tr w:rsidR="00195FD9" w:rsidRPr="009A12E0" w:rsidTr="00702B67">
        <w:tc>
          <w:tcPr>
            <w:tcW w:w="3551" w:type="dxa"/>
          </w:tcPr>
          <w:p w:rsidR="00195FD9" w:rsidRDefault="00195FD9" w:rsidP="00702B67">
            <w:pPr>
              <w:rPr>
                <w:sz w:val="24"/>
                <w:szCs w:val="24"/>
              </w:rPr>
            </w:pPr>
            <w:r>
              <w:rPr>
                <w:sz w:val="24"/>
                <w:szCs w:val="24"/>
              </w:rPr>
              <w:t>LTBI treatment completion</w:t>
            </w:r>
          </w:p>
        </w:tc>
        <w:tc>
          <w:tcPr>
            <w:tcW w:w="1000" w:type="dxa"/>
          </w:tcPr>
          <w:p w:rsidR="00195FD9" w:rsidRDefault="00195FD9" w:rsidP="00702B67">
            <w:pPr>
              <w:jc w:val="center"/>
              <w:rPr>
                <w:sz w:val="24"/>
                <w:szCs w:val="24"/>
              </w:rPr>
            </w:pPr>
            <w:r>
              <w:rPr>
                <w:sz w:val="24"/>
                <w:szCs w:val="24"/>
              </w:rPr>
              <w:t>68.3</w:t>
            </w:r>
          </w:p>
        </w:tc>
        <w:tc>
          <w:tcPr>
            <w:tcW w:w="1000" w:type="dxa"/>
          </w:tcPr>
          <w:p w:rsidR="00195FD9" w:rsidRDefault="00195FD9" w:rsidP="00702B67">
            <w:pPr>
              <w:jc w:val="center"/>
              <w:rPr>
                <w:sz w:val="24"/>
                <w:szCs w:val="24"/>
              </w:rPr>
            </w:pPr>
            <w:r>
              <w:rPr>
                <w:sz w:val="24"/>
                <w:szCs w:val="24"/>
              </w:rPr>
              <w:t>90.0</w:t>
            </w:r>
          </w:p>
        </w:tc>
        <w:tc>
          <w:tcPr>
            <w:tcW w:w="957" w:type="dxa"/>
          </w:tcPr>
          <w:p w:rsidR="00195FD9" w:rsidRDefault="000347C9" w:rsidP="00702B67">
            <w:pPr>
              <w:jc w:val="center"/>
              <w:rPr>
                <w:sz w:val="24"/>
                <w:szCs w:val="24"/>
              </w:rPr>
            </w:pPr>
            <w:r>
              <w:rPr>
                <w:sz w:val="24"/>
                <w:szCs w:val="24"/>
              </w:rPr>
              <w:t>91.4</w:t>
            </w:r>
          </w:p>
        </w:tc>
        <w:tc>
          <w:tcPr>
            <w:tcW w:w="925" w:type="dxa"/>
          </w:tcPr>
          <w:p w:rsidR="00195FD9" w:rsidRDefault="00195FD9" w:rsidP="00702B67">
            <w:pPr>
              <w:jc w:val="center"/>
              <w:rPr>
                <w:sz w:val="24"/>
                <w:szCs w:val="24"/>
              </w:rPr>
            </w:pPr>
            <w:r>
              <w:rPr>
                <w:sz w:val="24"/>
                <w:szCs w:val="24"/>
              </w:rPr>
              <w:t>71.4</w:t>
            </w:r>
          </w:p>
        </w:tc>
        <w:tc>
          <w:tcPr>
            <w:tcW w:w="957" w:type="dxa"/>
          </w:tcPr>
          <w:p w:rsidR="00195FD9" w:rsidRDefault="00195FD9" w:rsidP="00702B67">
            <w:pPr>
              <w:jc w:val="center"/>
              <w:rPr>
                <w:sz w:val="24"/>
                <w:szCs w:val="24"/>
              </w:rPr>
            </w:pPr>
            <w:r>
              <w:rPr>
                <w:sz w:val="24"/>
                <w:szCs w:val="24"/>
              </w:rPr>
              <w:t>NA</w:t>
            </w:r>
          </w:p>
        </w:tc>
        <w:tc>
          <w:tcPr>
            <w:tcW w:w="1186" w:type="dxa"/>
          </w:tcPr>
          <w:p w:rsidR="00195FD9" w:rsidRDefault="00195FD9" w:rsidP="00702B67">
            <w:pPr>
              <w:jc w:val="center"/>
              <w:rPr>
                <w:b/>
                <w:sz w:val="24"/>
                <w:szCs w:val="24"/>
              </w:rPr>
            </w:pPr>
            <w:r>
              <w:rPr>
                <w:b/>
                <w:sz w:val="24"/>
                <w:szCs w:val="24"/>
              </w:rPr>
              <w:t>81.0</w:t>
            </w:r>
          </w:p>
        </w:tc>
      </w:tr>
    </w:tbl>
    <w:p w:rsidR="00195FD9" w:rsidRPr="00CD22AA" w:rsidRDefault="00195FD9" w:rsidP="00195FD9">
      <w:pPr>
        <w:spacing w:after="0" w:line="240" w:lineRule="auto"/>
        <w:rPr>
          <w:i/>
          <w:sz w:val="24"/>
          <w:szCs w:val="24"/>
        </w:rPr>
      </w:pPr>
      <w:r w:rsidRPr="00466B96">
        <w:rPr>
          <w:i/>
          <w:sz w:val="24"/>
          <w:szCs w:val="24"/>
          <w:u w:val="single"/>
        </w:rPr>
        <w:t>Source</w:t>
      </w:r>
      <w:r w:rsidRPr="00CD22AA">
        <w:rPr>
          <w:i/>
          <w:sz w:val="24"/>
          <w:szCs w:val="24"/>
        </w:rPr>
        <w:t>: National TB Indicators Project (NTIP): Indicator Summary 2015 to 2019</w:t>
      </w:r>
    </w:p>
    <w:p w:rsidR="00195FD9" w:rsidRPr="00CD22AA" w:rsidRDefault="00195FD9" w:rsidP="00195FD9">
      <w:pPr>
        <w:spacing w:after="0" w:line="240" w:lineRule="auto"/>
        <w:rPr>
          <w:sz w:val="24"/>
          <w:szCs w:val="24"/>
        </w:rPr>
      </w:pPr>
      <w:r w:rsidRPr="00CD22AA">
        <w:rPr>
          <w:sz w:val="24"/>
          <w:szCs w:val="24"/>
          <w:vertAlign w:val="superscript"/>
        </w:rPr>
        <w:t>*</w:t>
      </w:r>
      <w:r w:rsidRPr="00CD22AA">
        <w:rPr>
          <w:sz w:val="24"/>
          <w:szCs w:val="24"/>
        </w:rPr>
        <w:t xml:space="preserve">Data updated </w:t>
      </w:r>
      <w:r w:rsidR="0016339C">
        <w:rPr>
          <w:sz w:val="24"/>
          <w:szCs w:val="24"/>
        </w:rPr>
        <w:t>12</w:t>
      </w:r>
      <w:r w:rsidR="00C04DE8">
        <w:rPr>
          <w:sz w:val="24"/>
          <w:szCs w:val="24"/>
        </w:rPr>
        <w:t>/10</w:t>
      </w:r>
      <w:r w:rsidR="0016339C">
        <w:rPr>
          <w:sz w:val="24"/>
          <w:szCs w:val="24"/>
        </w:rPr>
        <w:t>/19</w:t>
      </w:r>
    </w:p>
    <w:p w:rsidR="006A6419" w:rsidRDefault="006A6419" w:rsidP="00B07043">
      <w:pPr>
        <w:spacing w:after="0" w:line="240" w:lineRule="auto"/>
        <w:rPr>
          <w:b/>
          <w:sz w:val="24"/>
          <w:szCs w:val="24"/>
          <w:u w:val="single"/>
        </w:rPr>
        <w:sectPr w:rsidR="006A6419">
          <w:headerReference w:type="default" r:id="rId8"/>
          <w:footerReference w:type="default" r:id="rId9"/>
          <w:pgSz w:w="12240" w:h="15840"/>
          <w:pgMar w:top="1440" w:right="1440" w:bottom="1440" w:left="1440" w:header="720" w:footer="720" w:gutter="0"/>
          <w:cols w:space="720"/>
          <w:docGrid w:linePitch="360"/>
        </w:sectPr>
      </w:pPr>
    </w:p>
    <w:p w:rsidR="00195FD9" w:rsidRDefault="00195FD9" w:rsidP="00B07043">
      <w:pPr>
        <w:spacing w:after="0" w:line="240" w:lineRule="auto"/>
        <w:rPr>
          <w:b/>
          <w:sz w:val="24"/>
          <w:szCs w:val="24"/>
          <w:u w:val="single"/>
        </w:rPr>
      </w:pPr>
    </w:p>
    <w:p w:rsidR="006A6419" w:rsidRPr="006A6419" w:rsidRDefault="006A6419" w:rsidP="00B07043">
      <w:pPr>
        <w:spacing w:after="0" w:line="240" w:lineRule="auto"/>
        <w:rPr>
          <w:b/>
          <w:sz w:val="24"/>
          <w:szCs w:val="24"/>
        </w:rPr>
      </w:pPr>
      <w:r>
        <w:rPr>
          <w:b/>
          <w:sz w:val="24"/>
          <w:szCs w:val="24"/>
        </w:rPr>
        <w:t>Table 2.  Status of NTIP Objectives, 2018 – 2019 and Barriers to Meeting 2020 NTIP Targets</w:t>
      </w:r>
    </w:p>
    <w:tbl>
      <w:tblPr>
        <w:tblStyle w:val="TableGrid"/>
        <w:tblW w:w="0" w:type="auto"/>
        <w:tblLook w:val="04A0" w:firstRow="1" w:lastRow="0" w:firstColumn="1" w:lastColumn="0" w:noHBand="0" w:noVBand="1"/>
      </w:tblPr>
      <w:tblGrid>
        <w:gridCol w:w="2635"/>
        <w:gridCol w:w="1613"/>
        <w:gridCol w:w="1890"/>
        <w:gridCol w:w="1890"/>
        <w:gridCol w:w="5148"/>
      </w:tblGrid>
      <w:tr w:rsidR="006A6419" w:rsidTr="006A6419">
        <w:tc>
          <w:tcPr>
            <w:tcW w:w="2635" w:type="dxa"/>
            <w:shd w:val="clear" w:color="auto" w:fill="D9D9D9" w:themeFill="background1" w:themeFillShade="D9"/>
          </w:tcPr>
          <w:p w:rsidR="006A6419" w:rsidRPr="006A6419" w:rsidRDefault="006A6419" w:rsidP="006A6419">
            <w:pPr>
              <w:jc w:val="center"/>
              <w:rPr>
                <w:b/>
                <w:sz w:val="24"/>
                <w:szCs w:val="24"/>
              </w:rPr>
            </w:pPr>
            <w:r>
              <w:rPr>
                <w:b/>
                <w:sz w:val="24"/>
                <w:szCs w:val="24"/>
              </w:rPr>
              <w:t>NTIP Objective</w:t>
            </w:r>
          </w:p>
        </w:tc>
        <w:tc>
          <w:tcPr>
            <w:tcW w:w="1613" w:type="dxa"/>
            <w:shd w:val="clear" w:color="auto" w:fill="D9D9D9" w:themeFill="background1" w:themeFillShade="D9"/>
          </w:tcPr>
          <w:p w:rsidR="006A6419" w:rsidRPr="006A6419" w:rsidRDefault="006A6419" w:rsidP="006A6419">
            <w:pPr>
              <w:jc w:val="center"/>
              <w:rPr>
                <w:b/>
                <w:sz w:val="24"/>
                <w:szCs w:val="24"/>
              </w:rPr>
            </w:pPr>
            <w:r>
              <w:rPr>
                <w:b/>
                <w:sz w:val="24"/>
                <w:szCs w:val="24"/>
              </w:rPr>
              <w:t>2020 Target</w:t>
            </w:r>
          </w:p>
        </w:tc>
        <w:tc>
          <w:tcPr>
            <w:tcW w:w="1890" w:type="dxa"/>
            <w:shd w:val="clear" w:color="auto" w:fill="D9D9D9" w:themeFill="background1" w:themeFillShade="D9"/>
          </w:tcPr>
          <w:p w:rsidR="006A6419" w:rsidRPr="006A6419" w:rsidRDefault="006A6419" w:rsidP="006A6419">
            <w:pPr>
              <w:jc w:val="center"/>
              <w:rPr>
                <w:b/>
                <w:sz w:val="24"/>
                <w:szCs w:val="24"/>
              </w:rPr>
            </w:pPr>
            <w:r>
              <w:rPr>
                <w:b/>
                <w:sz w:val="24"/>
                <w:szCs w:val="24"/>
              </w:rPr>
              <w:t xml:space="preserve">2018 Tennessee Progress </w:t>
            </w:r>
          </w:p>
        </w:tc>
        <w:tc>
          <w:tcPr>
            <w:tcW w:w="1890" w:type="dxa"/>
            <w:shd w:val="clear" w:color="auto" w:fill="D9D9D9" w:themeFill="background1" w:themeFillShade="D9"/>
          </w:tcPr>
          <w:p w:rsidR="006A6419" w:rsidRPr="006A6419" w:rsidRDefault="006A6419" w:rsidP="006A6419">
            <w:pPr>
              <w:jc w:val="center"/>
              <w:rPr>
                <w:b/>
                <w:sz w:val="24"/>
                <w:szCs w:val="24"/>
              </w:rPr>
            </w:pPr>
            <w:r>
              <w:rPr>
                <w:b/>
                <w:sz w:val="24"/>
                <w:szCs w:val="24"/>
              </w:rPr>
              <w:t>2019</w:t>
            </w:r>
            <w:r w:rsidR="00466B96">
              <w:rPr>
                <w:b/>
                <w:sz w:val="24"/>
                <w:szCs w:val="24"/>
                <w:vertAlign w:val="superscript"/>
              </w:rPr>
              <w:t>*</w:t>
            </w:r>
            <w:r>
              <w:rPr>
                <w:b/>
                <w:sz w:val="24"/>
                <w:szCs w:val="24"/>
              </w:rPr>
              <w:t xml:space="preserve"> Tennessee Progress</w:t>
            </w:r>
          </w:p>
        </w:tc>
        <w:tc>
          <w:tcPr>
            <w:tcW w:w="5148" w:type="dxa"/>
            <w:shd w:val="clear" w:color="auto" w:fill="D9D9D9" w:themeFill="background1" w:themeFillShade="D9"/>
          </w:tcPr>
          <w:p w:rsidR="006A6419" w:rsidRPr="006A6419" w:rsidRDefault="006A6419" w:rsidP="006A6419">
            <w:pPr>
              <w:jc w:val="center"/>
              <w:rPr>
                <w:b/>
                <w:sz w:val="24"/>
                <w:szCs w:val="24"/>
              </w:rPr>
            </w:pPr>
            <w:r>
              <w:rPr>
                <w:b/>
                <w:sz w:val="24"/>
                <w:szCs w:val="24"/>
              </w:rPr>
              <w:t>Barriers</w:t>
            </w:r>
          </w:p>
        </w:tc>
      </w:tr>
      <w:tr w:rsidR="006A6419" w:rsidTr="00416420">
        <w:tc>
          <w:tcPr>
            <w:tcW w:w="2635" w:type="dxa"/>
          </w:tcPr>
          <w:p w:rsidR="006A6419" w:rsidRPr="006A6419" w:rsidRDefault="006A6419" w:rsidP="00B07043">
            <w:pPr>
              <w:rPr>
                <w:sz w:val="24"/>
                <w:szCs w:val="24"/>
              </w:rPr>
            </w:pPr>
            <w:r>
              <w:rPr>
                <w:sz w:val="24"/>
                <w:szCs w:val="24"/>
              </w:rPr>
              <w:t>Known HIV status</w:t>
            </w:r>
          </w:p>
        </w:tc>
        <w:tc>
          <w:tcPr>
            <w:tcW w:w="1613" w:type="dxa"/>
            <w:vAlign w:val="center"/>
          </w:tcPr>
          <w:p w:rsidR="006A6419" w:rsidRPr="00416420" w:rsidRDefault="006A6419" w:rsidP="00416420">
            <w:pPr>
              <w:jc w:val="center"/>
              <w:rPr>
                <w:b/>
                <w:sz w:val="24"/>
                <w:szCs w:val="24"/>
              </w:rPr>
            </w:pPr>
            <w:r w:rsidRPr="00416420">
              <w:rPr>
                <w:b/>
                <w:sz w:val="24"/>
                <w:szCs w:val="24"/>
              </w:rPr>
              <w:t>98.0</w:t>
            </w:r>
          </w:p>
        </w:tc>
        <w:tc>
          <w:tcPr>
            <w:tcW w:w="1890" w:type="dxa"/>
            <w:vAlign w:val="center"/>
          </w:tcPr>
          <w:p w:rsidR="006A6419" w:rsidRPr="006A6419" w:rsidRDefault="006A6419" w:rsidP="00416420">
            <w:pPr>
              <w:jc w:val="center"/>
              <w:rPr>
                <w:sz w:val="24"/>
                <w:szCs w:val="24"/>
              </w:rPr>
            </w:pPr>
            <w:r>
              <w:rPr>
                <w:sz w:val="24"/>
                <w:szCs w:val="24"/>
              </w:rPr>
              <w:t>97.0</w:t>
            </w:r>
            <w:r w:rsidR="00416420">
              <w:rPr>
                <w:sz w:val="24"/>
                <w:szCs w:val="24"/>
              </w:rPr>
              <w:t xml:space="preserve"> (unmet)</w:t>
            </w:r>
          </w:p>
        </w:tc>
        <w:tc>
          <w:tcPr>
            <w:tcW w:w="1890" w:type="dxa"/>
            <w:vAlign w:val="center"/>
          </w:tcPr>
          <w:p w:rsidR="006A6419" w:rsidRPr="006A6419" w:rsidRDefault="00534DA4" w:rsidP="00416420">
            <w:pPr>
              <w:jc w:val="center"/>
              <w:rPr>
                <w:sz w:val="24"/>
                <w:szCs w:val="24"/>
              </w:rPr>
            </w:pPr>
            <w:r>
              <w:rPr>
                <w:sz w:val="24"/>
                <w:szCs w:val="24"/>
              </w:rPr>
              <w:t>96.4</w:t>
            </w:r>
            <w:r w:rsidR="00416420">
              <w:rPr>
                <w:sz w:val="24"/>
                <w:szCs w:val="24"/>
              </w:rPr>
              <w:t xml:space="preserve"> (unmet)</w:t>
            </w:r>
          </w:p>
        </w:tc>
        <w:tc>
          <w:tcPr>
            <w:tcW w:w="5148" w:type="dxa"/>
          </w:tcPr>
          <w:p w:rsidR="006A6419" w:rsidRPr="006A6419" w:rsidRDefault="006A6419" w:rsidP="00B07043">
            <w:pPr>
              <w:rPr>
                <w:sz w:val="24"/>
                <w:szCs w:val="24"/>
              </w:rPr>
            </w:pPr>
          </w:p>
        </w:tc>
      </w:tr>
      <w:tr w:rsidR="006A6419" w:rsidTr="00416420">
        <w:tc>
          <w:tcPr>
            <w:tcW w:w="2635" w:type="dxa"/>
          </w:tcPr>
          <w:p w:rsidR="006A6419" w:rsidRPr="006A6419" w:rsidRDefault="00416420" w:rsidP="00B07043">
            <w:pPr>
              <w:rPr>
                <w:sz w:val="24"/>
                <w:szCs w:val="24"/>
              </w:rPr>
            </w:pPr>
            <w:r>
              <w:rPr>
                <w:sz w:val="24"/>
                <w:szCs w:val="24"/>
              </w:rPr>
              <w:t>Treatment initiation</w:t>
            </w:r>
          </w:p>
        </w:tc>
        <w:tc>
          <w:tcPr>
            <w:tcW w:w="1613" w:type="dxa"/>
            <w:vAlign w:val="center"/>
          </w:tcPr>
          <w:p w:rsidR="006A6419" w:rsidRPr="00416420" w:rsidRDefault="00416420" w:rsidP="00416420">
            <w:pPr>
              <w:jc w:val="center"/>
              <w:rPr>
                <w:b/>
                <w:sz w:val="24"/>
                <w:szCs w:val="24"/>
              </w:rPr>
            </w:pPr>
            <w:r>
              <w:rPr>
                <w:b/>
                <w:sz w:val="24"/>
                <w:szCs w:val="24"/>
              </w:rPr>
              <w:t>97.0</w:t>
            </w:r>
          </w:p>
        </w:tc>
        <w:tc>
          <w:tcPr>
            <w:tcW w:w="1890" w:type="dxa"/>
            <w:vAlign w:val="center"/>
          </w:tcPr>
          <w:p w:rsidR="006A6419" w:rsidRPr="006A6419" w:rsidRDefault="00416420" w:rsidP="00EA478A">
            <w:pPr>
              <w:jc w:val="center"/>
              <w:rPr>
                <w:sz w:val="24"/>
                <w:szCs w:val="24"/>
              </w:rPr>
            </w:pPr>
            <w:r>
              <w:rPr>
                <w:sz w:val="24"/>
                <w:szCs w:val="24"/>
              </w:rPr>
              <w:t>93.</w:t>
            </w:r>
            <w:r w:rsidR="00EA478A">
              <w:rPr>
                <w:sz w:val="24"/>
                <w:szCs w:val="24"/>
              </w:rPr>
              <w:t>0</w:t>
            </w:r>
            <w:r>
              <w:rPr>
                <w:sz w:val="24"/>
                <w:szCs w:val="24"/>
              </w:rPr>
              <w:t xml:space="preserve"> (unmet)</w:t>
            </w:r>
          </w:p>
        </w:tc>
        <w:tc>
          <w:tcPr>
            <w:tcW w:w="1890" w:type="dxa"/>
            <w:vAlign w:val="center"/>
          </w:tcPr>
          <w:p w:rsidR="006A6419" w:rsidRPr="006A6419" w:rsidRDefault="00416420" w:rsidP="00416420">
            <w:pPr>
              <w:jc w:val="center"/>
              <w:rPr>
                <w:sz w:val="24"/>
                <w:szCs w:val="24"/>
              </w:rPr>
            </w:pPr>
            <w:r>
              <w:rPr>
                <w:sz w:val="24"/>
                <w:szCs w:val="24"/>
              </w:rPr>
              <w:t>100.0 (met)</w:t>
            </w:r>
          </w:p>
        </w:tc>
        <w:tc>
          <w:tcPr>
            <w:tcW w:w="5148" w:type="dxa"/>
          </w:tcPr>
          <w:p w:rsidR="006A6419" w:rsidRPr="006A6419" w:rsidRDefault="006A6419" w:rsidP="00B07043">
            <w:pPr>
              <w:rPr>
                <w:sz w:val="24"/>
                <w:szCs w:val="24"/>
              </w:rPr>
            </w:pPr>
          </w:p>
        </w:tc>
      </w:tr>
      <w:tr w:rsidR="006A6419" w:rsidTr="00416420">
        <w:tc>
          <w:tcPr>
            <w:tcW w:w="2635" w:type="dxa"/>
          </w:tcPr>
          <w:p w:rsidR="006A6419" w:rsidRPr="006A6419" w:rsidRDefault="00416420" w:rsidP="00B07043">
            <w:pPr>
              <w:rPr>
                <w:sz w:val="24"/>
                <w:szCs w:val="24"/>
              </w:rPr>
            </w:pPr>
            <w:r>
              <w:rPr>
                <w:sz w:val="24"/>
                <w:szCs w:val="24"/>
              </w:rPr>
              <w:t>Recommended initial therapy</w:t>
            </w:r>
          </w:p>
        </w:tc>
        <w:tc>
          <w:tcPr>
            <w:tcW w:w="1613" w:type="dxa"/>
            <w:vAlign w:val="center"/>
          </w:tcPr>
          <w:p w:rsidR="006A6419" w:rsidRPr="00416420" w:rsidRDefault="0042582D" w:rsidP="00416420">
            <w:pPr>
              <w:jc w:val="center"/>
              <w:rPr>
                <w:b/>
                <w:sz w:val="24"/>
                <w:szCs w:val="24"/>
              </w:rPr>
            </w:pPr>
            <w:r>
              <w:rPr>
                <w:b/>
                <w:sz w:val="24"/>
                <w:szCs w:val="24"/>
              </w:rPr>
              <w:t>97.0</w:t>
            </w:r>
          </w:p>
        </w:tc>
        <w:tc>
          <w:tcPr>
            <w:tcW w:w="1890" w:type="dxa"/>
            <w:vAlign w:val="center"/>
          </w:tcPr>
          <w:p w:rsidR="006A6419" w:rsidRPr="006A6419" w:rsidRDefault="00EA478A" w:rsidP="00416420">
            <w:pPr>
              <w:jc w:val="center"/>
              <w:rPr>
                <w:sz w:val="24"/>
                <w:szCs w:val="24"/>
              </w:rPr>
            </w:pPr>
            <w:r>
              <w:rPr>
                <w:sz w:val="24"/>
                <w:szCs w:val="24"/>
              </w:rPr>
              <w:t>96.2</w:t>
            </w:r>
            <w:r w:rsidR="0042582D">
              <w:rPr>
                <w:sz w:val="24"/>
                <w:szCs w:val="24"/>
              </w:rPr>
              <w:t xml:space="preserve"> (unmet)</w:t>
            </w:r>
          </w:p>
        </w:tc>
        <w:tc>
          <w:tcPr>
            <w:tcW w:w="1890" w:type="dxa"/>
            <w:vAlign w:val="center"/>
          </w:tcPr>
          <w:p w:rsidR="006A6419" w:rsidRPr="006A6419" w:rsidRDefault="00534DA4" w:rsidP="00EA478A">
            <w:pPr>
              <w:jc w:val="center"/>
              <w:rPr>
                <w:sz w:val="24"/>
                <w:szCs w:val="24"/>
              </w:rPr>
            </w:pPr>
            <w:r>
              <w:rPr>
                <w:sz w:val="24"/>
                <w:szCs w:val="24"/>
              </w:rPr>
              <w:t>91.0</w:t>
            </w:r>
            <w:r w:rsidR="0042582D">
              <w:rPr>
                <w:sz w:val="24"/>
                <w:szCs w:val="24"/>
              </w:rPr>
              <w:t xml:space="preserve"> (unmet)</w:t>
            </w:r>
          </w:p>
        </w:tc>
        <w:tc>
          <w:tcPr>
            <w:tcW w:w="5148" w:type="dxa"/>
          </w:tcPr>
          <w:p w:rsidR="006A6419" w:rsidRPr="006A6419" w:rsidRDefault="006A6419" w:rsidP="00B07043">
            <w:pPr>
              <w:rPr>
                <w:sz w:val="24"/>
                <w:szCs w:val="24"/>
              </w:rPr>
            </w:pPr>
          </w:p>
        </w:tc>
      </w:tr>
      <w:tr w:rsidR="006A6419" w:rsidTr="00416420">
        <w:tc>
          <w:tcPr>
            <w:tcW w:w="2635" w:type="dxa"/>
          </w:tcPr>
          <w:p w:rsidR="006A6419" w:rsidRPr="006A6419" w:rsidRDefault="0042582D" w:rsidP="00B07043">
            <w:pPr>
              <w:rPr>
                <w:sz w:val="24"/>
                <w:szCs w:val="24"/>
              </w:rPr>
            </w:pPr>
            <w:r>
              <w:rPr>
                <w:sz w:val="24"/>
                <w:szCs w:val="24"/>
              </w:rPr>
              <w:t>Sputum culture result</w:t>
            </w:r>
            <w:r w:rsidR="00534DA4">
              <w:rPr>
                <w:sz w:val="24"/>
                <w:szCs w:val="24"/>
              </w:rPr>
              <w:t>s</w:t>
            </w:r>
            <w:r>
              <w:rPr>
                <w:sz w:val="24"/>
                <w:szCs w:val="24"/>
              </w:rPr>
              <w:t xml:space="preserve"> reported</w:t>
            </w:r>
          </w:p>
        </w:tc>
        <w:tc>
          <w:tcPr>
            <w:tcW w:w="1613" w:type="dxa"/>
            <w:vAlign w:val="center"/>
          </w:tcPr>
          <w:p w:rsidR="006A6419" w:rsidRPr="00416420" w:rsidRDefault="0042582D" w:rsidP="00416420">
            <w:pPr>
              <w:jc w:val="center"/>
              <w:rPr>
                <w:b/>
                <w:sz w:val="24"/>
                <w:szCs w:val="24"/>
              </w:rPr>
            </w:pPr>
            <w:r>
              <w:rPr>
                <w:b/>
                <w:sz w:val="24"/>
                <w:szCs w:val="24"/>
              </w:rPr>
              <w:t>98.0</w:t>
            </w:r>
          </w:p>
        </w:tc>
        <w:tc>
          <w:tcPr>
            <w:tcW w:w="1890" w:type="dxa"/>
            <w:vAlign w:val="center"/>
          </w:tcPr>
          <w:p w:rsidR="006A6419" w:rsidRPr="006A6419" w:rsidRDefault="0042582D" w:rsidP="00416420">
            <w:pPr>
              <w:jc w:val="center"/>
              <w:rPr>
                <w:sz w:val="24"/>
                <w:szCs w:val="24"/>
              </w:rPr>
            </w:pPr>
            <w:r>
              <w:rPr>
                <w:sz w:val="24"/>
                <w:szCs w:val="24"/>
              </w:rPr>
              <w:t>96.4 (unmet)</w:t>
            </w:r>
          </w:p>
        </w:tc>
        <w:tc>
          <w:tcPr>
            <w:tcW w:w="1890" w:type="dxa"/>
            <w:vAlign w:val="center"/>
          </w:tcPr>
          <w:p w:rsidR="006A6419" w:rsidRPr="006A6419" w:rsidRDefault="00534DA4" w:rsidP="00416420">
            <w:pPr>
              <w:jc w:val="center"/>
              <w:rPr>
                <w:sz w:val="24"/>
                <w:szCs w:val="24"/>
              </w:rPr>
            </w:pPr>
            <w:r>
              <w:rPr>
                <w:sz w:val="24"/>
                <w:szCs w:val="24"/>
              </w:rPr>
              <w:t>91.4</w:t>
            </w:r>
            <w:r w:rsidR="0042582D">
              <w:rPr>
                <w:sz w:val="24"/>
                <w:szCs w:val="24"/>
              </w:rPr>
              <w:t xml:space="preserve"> (unmet)</w:t>
            </w:r>
          </w:p>
        </w:tc>
        <w:tc>
          <w:tcPr>
            <w:tcW w:w="5148" w:type="dxa"/>
          </w:tcPr>
          <w:p w:rsidR="006A6419" w:rsidRPr="006A6419" w:rsidRDefault="006A6419" w:rsidP="00B07043">
            <w:pPr>
              <w:rPr>
                <w:sz w:val="24"/>
                <w:szCs w:val="24"/>
              </w:rPr>
            </w:pPr>
          </w:p>
        </w:tc>
      </w:tr>
      <w:tr w:rsidR="0042582D" w:rsidTr="00416420">
        <w:tc>
          <w:tcPr>
            <w:tcW w:w="2635" w:type="dxa"/>
          </w:tcPr>
          <w:p w:rsidR="0042582D" w:rsidRDefault="0042582D" w:rsidP="00B07043">
            <w:pPr>
              <w:rPr>
                <w:sz w:val="24"/>
                <w:szCs w:val="24"/>
              </w:rPr>
            </w:pPr>
            <w:r>
              <w:rPr>
                <w:sz w:val="24"/>
                <w:szCs w:val="24"/>
              </w:rPr>
              <w:t>Sputum culture conversion</w:t>
            </w:r>
          </w:p>
        </w:tc>
        <w:tc>
          <w:tcPr>
            <w:tcW w:w="1613" w:type="dxa"/>
            <w:vAlign w:val="center"/>
          </w:tcPr>
          <w:p w:rsidR="0042582D" w:rsidRDefault="0042582D" w:rsidP="00416420">
            <w:pPr>
              <w:jc w:val="center"/>
              <w:rPr>
                <w:b/>
                <w:sz w:val="24"/>
                <w:szCs w:val="24"/>
              </w:rPr>
            </w:pPr>
            <w:r>
              <w:rPr>
                <w:b/>
                <w:sz w:val="24"/>
                <w:szCs w:val="24"/>
              </w:rPr>
              <w:t>73.0</w:t>
            </w:r>
          </w:p>
        </w:tc>
        <w:tc>
          <w:tcPr>
            <w:tcW w:w="1890" w:type="dxa"/>
            <w:vAlign w:val="center"/>
          </w:tcPr>
          <w:p w:rsidR="0042582D" w:rsidRDefault="0042582D" w:rsidP="00EA478A">
            <w:pPr>
              <w:jc w:val="center"/>
              <w:rPr>
                <w:sz w:val="24"/>
                <w:szCs w:val="24"/>
              </w:rPr>
            </w:pPr>
            <w:r>
              <w:rPr>
                <w:sz w:val="24"/>
                <w:szCs w:val="24"/>
              </w:rPr>
              <w:t>85.</w:t>
            </w:r>
            <w:r w:rsidR="00EA478A">
              <w:rPr>
                <w:sz w:val="24"/>
                <w:szCs w:val="24"/>
              </w:rPr>
              <w:t>0</w:t>
            </w:r>
            <w:r>
              <w:rPr>
                <w:sz w:val="24"/>
                <w:szCs w:val="24"/>
              </w:rPr>
              <w:t xml:space="preserve"> (met)</w:t>
            </w:r>
          </w:p>
        </w:tc>
        <w:tc>
          <w:tcPr>
            <w:tcW w:w="1890" w:type="dxa"/>
            <w:vAlign w:val="center"/>
          </w:tcPr>
          <w:p w:rsidR="0042582D" w:rsidRDefault="00534DA4" w:rsidP="00416420">
            <w:pPr>
              <w:jc w:val="center"/>
              <w:rPr>
                <w:sz w:val="24"/>
                <w:szCs w:val="24"/>
              </w:rPr>
            </w:pPr>
            <w:r>
              <w:rPr>
                <w:sz w:val="24"/>
                <w:szCs w:val="24"/>
              </w:rPr>
              <w:t>61.2</w:t>
            </w:r>
            <w:r w:rsidR="0042582D">
              <w:rPr>
                <w:sz w:val="24"/>
                <w:szCs w:val="24"/>
              </w:rPr>
              <w:t xml:space="preserve"> (unmet)</w:t>
            </w:r>
          </w:p>
        </w:tc>
        <w:tc>
          <w:tcPr>
            <w:tcW w:w="5148" w:type="dxa"/>
          </w:tcPr>
          <w:p w:rsidR="0042582D" w:rsidRPr="006A6419" w:rsidRDefault="0042582D" w:rsidP="00B07043">
            <w:pPr>
              <w:rPr>
                <w:sz w:val="24"/>
                <w:szCs w:val="24"/>
              </w:rPr>
            </w:pPr>
          </w:p>
        </w:tc>
      </w:tr>
      <w:tr w:rsidR="0042582D" w:rsidTr="00416420">
        <w:tc>
          <w:tcPr>
            <w:tcW w:w="2635" w:type="dxa"/>
          </w:tcPr>
          <w:p w:rsidR="0042582D" w:rsidRDefault="0042582D" w:rsidP="00B07043">
            <w:pPr>
              <w:rPr>
                <w:sz w:val="24"/>
                <w:szCs w:val="24"/>
              </w:rPr>
            </w:pPr>
            <w:r>
              <w:rPr>
                <w:sz w:val="24"/>
                <w:szCs w:val="24"/>
              </w:rPr>
              <w:t>Completion of treatment</w:t>
            </w:r>
          </w:p>
        </w:tc>
        <w:tc>
          <w:tcPr>
            <w:tcW w:w="1613" w:type="dxa"/>
            <w:vAlign w:val="center"/>
          </w:tcPr>
          <w:p w:rsidR="0042582D" w:rsidRDefault="0042582D" w:rsidP="00416420">
            <w:pPr>
              <w:jc w:val="center"/>
              <w:rPr>
                <w:b/>
                <w:sz w:val="24"/>
                <w:szCs w:val="24"/>
              </w:rPr>
            </w:pPr>
            <w:r>
              <w:rPr>
                <w:b/>
                <w:sz w:val="24"/>
                <w:szCs w:val="24"/>
              </w:rPr>
              <w:t>95.0</w:t>
            </w:r>
          </w:p>
        </w:tc>
        <w:tc>
          <w:tcPr>
            <w:tcW w:w="1890" w:type="dxa"/>
            <w:vAlign w:val="center"/>
          </w:tcPr>
          <w:p w:rsidR="0042582D" w:rsidRDefault="0042582D" w:rsidP="00416420">
            <w:pPr>
              <w:jc w:val="center"/>
              <w:rPr>
                <w:sz w:val="24"/>
                <w:szCs w:val="24"/>
              </w:rPr>
            </w:pPr>
            <w:r>
              <w:rPr>
                <w:sz w:val="24"/>
                <w:szCs w:val="24"/>
              </w:rPr>
              <w:t>92.6 (unmet)</w:t>
            </w:r>
          </w:p>
        </w:tc>
        <w:tc>
          <w:tcPr>
            <w:tcW w:w="1890" w:type="dxa"/>
            <w:vAlign w:val="center"/>
          </w:tcPr>
          <w:p w:rsidR="0042582D" w:rsidRDefault="00534DA4" w:rsidP="00534DA4">
            <w:pPr>
              <w:jc w:val="center"/>
              <w:rPr>
                <w:sz w:val="24"/>
                <w:szCs w:val="24"/>
              </w:rPr>
            </w:pPr>
            <w:r>
              <w:rPr>
                <w:sz w:val="24"/>
                <w:szCs w:val="24"/>
              </w:rPr>
              <w:t>27.3</w:t>
            </w:r>
            <w:r w:rsidR="0042582D">
              <w:rPr>
                <w:sz w:val="24"/>
                <w:szCs w:val="24"/>
              </w:rPr>
              <w:t xml:space="preserve"> (unmet)</w:t>
            </w:r>
          </w:p>
        </w:tc>
        <w:tc>
          <w:tcPr>
            <w:tcW w:w="5148" w:type="dxa"/>
          </w:tcPr>
          <w:p w:rsidR="0042582D" w:rsidRPr="006A6419" w:rsidRDefault="0042582D" w:rsidP="00B07043">
            <w:pPr>
              <w:rPr>
                <w:sz w:val="24"/>
                <w:szCs w:val="24"/>
              </w:rPr>
            </w:pPr>
          </w:p>
        </w:tc>
      </w:tr>
      <w:tr w:rsidR="0042582D" w:rsidTr="00416420">
        <w:tc>
          <w:tcPr>
            <w:tcW w:w="2635" w:type="dxa"/>
          </w:tcPr>
          <w:p w:rsidR="0042582D" w:rsidRDefault="0042582D" w:rsidP="00B07043">
            <w:pPr>
              <w:rPr>
                <w:sz w:val="24"/>
                <w:szCs w:val="24"/>
              </w:rPr>
            </w:pPr>
            <w:r>
              <w:rPr>
                <w:sz w:val="24"/>
                <w:szCs w:val="24"/>
              </w:rPr>
              <w:t>TAT—culture</w:t>
            </w:r>
          </w:p>
        </w:tc>
        <w:tc>
          <w:tcPr>
            <w:tcW w:w="1613" w:type="dxa"/>
            <w:vAlign w:val="center"/>
          </w:tcPr>
          <w:p w:rsidR="0042582D" w:rsidRDefault="0042582D" w:rsidP="00416420">
            <w:pPr>
              <w:jc w:val="center"/>
              <w:rPr>
                <w:b/>
                <w:sz w:val="24"/>
                <w:szCs w:val="24"/>
              </w:rPr>
            </w:pPr>
            <w:r>
              <w:rPr>
                <w:b/>
                <w:sz w:val="24"/>
                <w:szCs w:val="24"/>
              </w:rPr>
              <w:t>78.0</w:t>
            </w:r>
          </w:p>
        </w:tc>
        <w:tc>
          <w:tcPr>
            <w:tcW w:w="1890" w:type="dxa"/>
            <w:vAlign w:val="center"/>
          </w:tcPr>
          <w:p w:rsidR="0042582D" w:rsidRDefault="00534DA4" w:rsidP="00EA478A">
            <w:pPr>
              <w:jc w:val="center"/>
              <w:rPr>
                <w:sz w:val="24"/>
                <w:szCs w:val="24"/>
              </w:rPr>
            </w:pPr>
            <w:r>
              <w:rPr>
                <w:sz w:val="24"/>
                <w:szCs w:val="24"/>
              </w:rPr>
              <w:t>59</w:t>
            </w:r>
            <w:r w:rsidR="00EA478A">
              <w:rPr>
                <w:sz w:val="24"/>
                <w:szCs w:val="24"/>
              </w:rPr>
              <w:t>.7</w:t>
            </w:r>
            <w:r w:rsidR="0042582D">
              <w:rPr>
                <w:sz w:val="24"/>
                <w:szCs w:val="24"/>
              </w:rPr>
              <w:t xml:space="preserve"> (</w:t>
            </w:r>
            <w:r w:rsidR="00EA478A">
              <w:rPr>
                <w:sz w:val="24"/>
                <w:szCs w:val="24"/>
              </w:rPr>
              <w:t>met</w:t>
            </w:r>
            <w:r w:rsidR="0042582D">
              <w:rPr>
                <w:sz w:val="24"/>
                <w:szCs w:val="24"/>
              </w:rPr>
              <w:t>)</w:t>
            </w:r>
          </w:p>
        </w:tc>
        <w:tc>
          <w:tcPr>
            <w:tcW w:w="1890" w:type="dxa"/>
            <w:vAlign w:val="center"/>
          </w:tcPr>
          <w:p w:rsidR="0042582D" w:rsidRDefault="00EA478A" w:rsidP="00534DA4">
            <w:pPr>
              <w:jc w:val="center"/>
              <w:rPr>
                <w:sz w:val="24"/>
                <w:szCs w:val="24"/>
              </w:rPr>
            </w:pPr>
            <w:r>
              <w:rPr>
                <w:sz w:val="24"/>
                <w:szCs w:val="24"/>
              </w:rPr>
              <w:t>61.</w:t>
            </w:r>
            <w:r w:rsidR="00534DA4">
              <w:rPr>
                <w:sz w:val="24"/>
                <w:szCs w:val="24"/>
              </w:rPr>
              <w:t>8</w:t>
            </w:r>
            <w:r w:rsidR="0042582D">
              <w:rPr>
                <w:sz w:val="24"/>
                <w:szCs w:val="24"/>
              </w:rPr>
              <w:t xml:space="preserve"> (</w:t>
            </w:r>
            <w:r>
              <w:rPr>
                <w:sz w:val="24"/>
                <w:szCs w:val="24"/>
              </w:rPr>
              <w:t>unmet</w:t>
            </w:r>
            <w:r w:rsidR="0042582D">
              <w:rPr>
                <w:sz w:val="24"/>
                <w:szCs w:val="24"/>
              </w:rPr>
              <w:t>)</w:t>
            </w:r>
          </w:p>
        </w:tc>
        <w:tc>
          <w:tcPr>
            <w:tcW w:w="5148" w:type="dxa"/>
          </w:tcPr>
          <w:p w:rsidR="0042582D" w:rsidRPr="006A6419" w:rsidRDefault="0042582D" w:rsidP="00B07043">
            <w:pPr>
              <w:rPr>
                <w:sz w:val="24"/>
                <w:szCs w:val="24"/>
              </w:rPr>
            </w:pPr>
          </w:p>
        </w:tc>
      </w:tr>
      <w:tr w:rsidR="0042582D" w:rsidTr="00416420">
        <w:tc>
          <w:tcPr>
            <w:tcW w:w="2635" w:type="dxa"/>
          </w:tcPr>
          <w:p w:rsidR="0042582D" w:rsidRDefault="0042582D" w:rsidP="00B07043">
            <w:pPr>
              <w:rPr>
                <w:sz w:val="24"/>
                <w:szCs w:val="24"/>
              </w:rPr>
            </w:pPr>
            <w:r>
              <w:rPr>
                <w:sz w:val="24"/>
                <w:szCs w:val="24"/>
              </w:rPr>
              <w:t>TAT—NAA</w:t>
            </w:r>
          </w:p>
        </w:tc>
        <w:tc>
          <w:tcPr>
            <w:tcW w:w="1613" w:type="dxa"/>
            <w:vAlign w:val="center"/>
          </w:tcPr>
          <w:p w:rsidR="0042582D" w:rsidRDefault="0042582D" w:rsidP="00416420">
            <w:pPr>
              <w:jc w:val="center"/>
              <w:rPr>
                <w:b/>
                <w:sz w:val="24"/>
                <w:szCs w:val="24"/>
              </w:rPr>
            </w:pPr>
            <w:r>
              <w:rPr>
                <w:b/>
                <w:sz w:val="24"/>
                <w:szCs w:val="24"/>
              </w:rPr>
              <w:t>92.0</w:t>
            </w:r>
          </w:p>
        </w:tc>
        <w:tc>
          <w:tcPr>
            <w:tcW w:w="1890" w:type="dxa"/>
            <w:vAlign w:val="center"/>
          </w:tcPr>
          <w:p w:rsidR="0042582D" w:rsidRDefault="00EA478A" w:rsidP="00EA478A">
            <w:pPr>
              <w:jc w:val="center"/>
              <w:rPr>
                <w:sz w:val="24"/>
                <w:szCs w:val="24"/>
              </w:rPr>
            </w:pPr>
            <w:r>
              <w:rPr>
                <w:sz w:val="24"/>
                <w:szCs w:val="24"/>
              </w:rPr>
              <w:t>93.6</w:t>
            </w:r>
            <w:r w:rsidR="0042582D">
              <w:rPr>
                <w:sz w:val="24"/>
                <w:szCs w:val="24"/>
              </w:rPr>
              <w:t xml:space="preserve"> (</w:t>
            </w:r>
            <w:r>
              <w:rPr>
                <w:sz w:val="24"/>
                <w:szCs w:val="24"/>
              </w:rPr>
              <w:t>met</w:t>
            </w:r>
            <w:r w:rsidR="0042582D">
              <w:rPr>
                <w:sz w:val="24"/>
                <w:szCs w:val="24"/>
              </w:rPr>
              <w:t>)</w:t>
            </w:r>
          </w:p>
        </w:tc>
        <w:tc>
          <w:tcPr>
            <w:tcW w:w="1890" w:type="dxa"/>
            <w:vAlign w:val="center"/>
          </w:tcPr>
          <w:p w:rsidR="0042582D" w:rsidRDefault="00EA478A" w:rsidP="00534DA4">
            <w:pPr>
              <w:jc w:val="center"/>
              <w:rPr>
                <w:sz w:val="24"/>
                <w:szCs w:val="24"/>
              </w:rPr>
            </w:pPr>
            <w:r>
              <w:rPr>
                <w:sz w:val="24"/>
                <w:szCs w:val="24"/>
              </w:rPr>
              <w:t>95.</w:t>
            </w:r>
            <w:r w:rsidR="00534DA4">
              <w:rPr>
                <w:sz w:val="24"/>
                <w:szCs w:val="24"/>
              </w:rPr>
              <w:t>1</w:t>
            </w:r>
            <w:r w:rsidR="0042582D">
              <w:rPr>
                <w:sz w:val="24"/>
                <w:szCs w:val="24"/>
              </w:rPr>
              <w:t xml:space="preserve"> (</w:t>
            </w:r>
            <w:r>
              <w:rPr>
                <w:sz w:val="24"/>
                <w:szCs w:val="24"/>
              </w:rPr>
              <w:t>met</w:t>
            </w:r>
            <w:r w:rsidR="0042582D">
              <w:rPr>
                <w:sz w:val="24"/>
                <w:szCs w:val="24"/>
              </w:rPr>
              <w:t>)</w:t>
            </w:r>
          </w:p>
        </w:tc>
        <w:tc>
          <w:tcPr>
            <w:tcW w:w="5148" w:type="dxa"/>
          </w:tcPr>
          <w:p w:rsidR="0042582D" w:rsidRPr="006A6419" w:rsidRDefault="0042582D" w:rsidP="00B07043">
            <w:pPr>
              <w:rPr>
                <w:sz w:val="24"/>
                <w:szCs w:val="24"/>
              </w:rPr>
            </w:pPr>
          </w:p>
        </w:tc>
      </w:tr>
      <w:tr w:rsidR="0042582D" w:rsidTr="00416420">
        <w:tc>
          <w:tcPr>
            <w:tcW w:w="2635" w:type="dxa"/>
          </w:tcPr>
          <w:p w:rsidR="0042582D" w:rsidRDefault="0042582D" w:rsidP="00B07043">
            <w:pPr>
              <w:rPr>
                <w:sz w:val="24"/>
                <w:szCs w:val="24"/>
              </w:rPr>
            </w:pPr>
            <w:r>
              <w:rPr>
                <w:sz w:val="24"/>
                <w:szCs w:val="24"/>
              </w:rPr>
              <w:t>Drug-susceptibility results</w:t>
            </w:r>
          </w:p>
        </w:tc>
        <w:tc>
          <w:tcPr>
            <w:tcW w:w="1613" w:type="dxa"/>
            <w:vAlign w:val="center"/>
          </w:tcPr>
          <w:p w:rsidR="0042582D" w:rsidRDefault="0042582D" w:rsidP="00416420">
            <w:pPr>
              <w:jc w:val="center"/>
              <w:rPr>
                <w:b/>
                <w:sz w:val="24"/>
                <w:szCs w:val="24"/>
              </w:rPr>
            </w:pPr>
            <w:r>
              <w:rPr>
                <w:b/>
                <w:sz w:val="24"/>
                <w:szCs w:val="24"/>
              </w:rPr>
              <w:t>100.0</w:t>
            </w:r>
          </w:p>
        </w:tc>
        <w:tc>
          <w:tcPr>
            <w:tcW w:w="1890" w:type="dxa"/>
            <w:vAlign w:val="center"/>
          </w:tcPr>
          <w:p w:rsidR="0042582D" w:rsidRDefault="00EA478A" w:rsidP="00416420">
            <w:pPr>
              <w:jc w:val="center"/>
              <w:rPr>
                <w:sz w:val="24"/>
                <w:szCs w:val="24"/>
              </w:rPr>
            </w:pPr>
            <w:r>
              <w:rPr>
                <w:sz w:val="24"/>
                <w:szCs w:val="24"/>
              </w:rPr>
              <w:t>98.9</w:t>
            </w:r>
            <w:r w:rsidR="0042582D">
              <w:rPr>
                <w:sz w:val="24"/>
                <w:szCs w:val="24"/>
              </w:rPr>
              <w:t xml:space="preserve"> (unmet)</w:t>
            </w:r>
          </w:p>
        </w:tc>
        <w:tc>
          <w:tcPr>
            <w:tcW w:w="1890" w:type="dxa"/>
            <w:vAlign w:val="center"/>
          </w:tcPr>
          <w:p w:rsidR="0042582D" w:rsidRDefault="008F7968" w:rsidP="008F7968">
            <w:pPr>
              <w:jc w:val="center"/>
              <w:rPr>
                <w:sz w:val="24"/>
                <w:szCs w:val="24"/>
              </w:rPr>
            </w:pPr>
            <w:r>
              <w:rPr>
                <w:sz w:val="24"/>
                <w:szCs w:val="24"/>
              </w:rPr>
              <w:t>83.0</w:t>
            </w:r>
            <w:r w:rsidR="0042582D">
              <w:rPr>
                <w:sz w:val="24"/>
                <w:szCs w:val="24"/>
              </w:rPr>
              <w:t xml:space="preserve"> (unmet)</w:t>
            </w:r>
          </w:p>
        </w:tc>
        <w:tc>
          <w:tcPr>
            <w:tcW w:w="5148" w:type="dxa"/>
          </w:tcPr>
          <w:p w:rsidR="0042582D" w:rsidRPr="006A6419" w:rsidRDefault="0042582D" w:rsidP="00B07043">
            <w:pPr>
              <w:rPr>
                <w:sz w:val="24"/>
                <w:szCs w:val="24"/>
              </w:rPr>
            </w:pPr>
          </w:p>
        </w:tc>
      </w:tr>
      <w:tr w:rsidR="0042582D" w:rsidTr="00416420">
        <w:tc>
          <w:tcPr>
            <w:tcW w:w="2635" w:type="dxa"/>
          </w:tcPr>
          <w:p w:rsidR="0042582D" w:rsidRDefault="0042582D" w:rsidP="00B07043">
            <w:pPr>
              <w:rPr>
                <w:sz w:val="24"/>
                <w:szCs w:val="24"/>
              </w:rPr>
            </w:pPr>
            <w:r>
              <w:rPr>
                <w:sz w:val="24"/>
                <w:szCs w:val="24"/>
              </w:rPr>
              <w:t>Universal genotyping</w:t>
            </w:r>
          </w:p>
        </w:tc>
        <w:tc>
          <w:tcPr>
            <w:tcW w:w="1613" w:type="dxa"/>
            <w:vAlign w:val="center"/>
          </w:tcPr>
          <w:p w:rsidR="0042582D" w:rsidRDefault="0042582D" w:rsidP="00416420">
            <w:pPr>
              <w:jc w:val="center"/>
              <w:rPr>
                <w:b/>
                <w:sz w:val="24"/>
                <w:szCs w:val="24"/>
              </w:rPr>
            </w:pPr>
            <w:r>
              <w:rPr>
                <w:b/>
                <w:sz w:val="24"/>
                <w:szCs w:val="24"/>
              </w:rPr>
              <w:t>100.0</w:t>
            </w:r>
          </w:p>
        </w:tc>
        <w:tc>
          <w:tcPr>
            <w:tcW w:w="1890" w:type="dxa"/>
            <w:vAlign w:val="center"/>
          </w:tcPr>
          <w:p w:rsidR="0042582D" w:rsidRDefault="00EA478A" w:rsidP="00416420">
            <w:pPr>
              <w:jc w:val="center"/>
              <w:rPr>
                <w:sz w:val="24"/>
                <w:szCs w:val="24"/>
              </w:rPr>
            </w:pPr>
            <w:r>
              <w:rPr>
                <w:sz w:val="24"/>
                <w:szCs w:val="24"/>
              </w:rPr>
              <w:t>97.8</w:t>
            </w:r>
            <w:r w:rsidR="0042582D">
              <w:rPr>
                <w:sz w:val="24"/>
                <w:szCs w:val="24"/>
              </w:rPr>
              <w:t xml:space="preserve"> (unmet)</w:t>
            </w:r>
          </w:p>
        </w:tc>
        <w:tc>
          <w:tcPr>
            <w:tcW w:w="1890" w:type="dxa"/>
            <w:vAlign w:val="center"/>
          </w:tcPr>
          <w:p w:rsidR="0042582D" w:rsidRDefault="008F7968" w:rsidP="00416420">
            <w:pPr>
              <w:jc w:val="center"/>
              <w:rPr>
                <w:sz w:val="24"/>
                <w:szCs w:val="24"/>
              </w:rPr>
            </w:pPr>
            <w:r>
              <w:rPr>
                <w:sz w:val="24"/>
                <w:szCs w:val="24"/>
              </w:rPr>
              <w:t>79.5</w:t>
            </w:r>
            <w:r w:rsidR="0042582D">
              <w:rPr>
                <w:sz w:val="24"/>
                <w:szCs w:val="24"/>
              </w:rPr>
              <w:t xml:space="preserve"> (unmet)</w:t>
            </w:r>
          </w:p>
        </w:tc>
        <w:tc>
          <w:tcPr>
            <w:tcW w:w="5148" w:type="dxa"/>
          </w:tcPr>
          <w:p w:rsidR="0042582D" w:rsidRPr="006A6419" w:rsidRDefault="0042582D" w:rsidP="00B07043">
            <w:pPr>
              <w:rPr>
                <w:sz w:val="24"/>
                <w:szCs w:val="24"/>
              </w:rPr>
            </w:pPr>
          </w:p>
        </w:tc>
      </w:tr>
      <w:tr w:rsidR="0042582D" w:rsidTr="00416420">
        <w:tc>
          <w:tcPr>
            <w:tcW w:w="2635" w:type="dxa"/>
          </w:tcPr>
          <w:p w:rsidR="0042582D" w:rsidRDefault="006148EF" w:rsidP="006148EF">
            <w:pPr>
              <w:rPr>
                <w:sz w:val="24"/>
                <w:szCs w:val="24"/>
              </w:rPr>
            </w:pPr>
            <w:r>
              <w:rPr>
                <w:sz w:val="24"/>
                <w:szCs w:val="24"/>
              </w:rPr>
              <w:t>Examination initiation Immigrants &amp; refugees</w:t>
            </w:r>
          </w:p>
        </w:tc>
        <w:tc>
          <w:tcPr>
            <w:tcW w:w="1613" w:type="dxa"/>
            <w:vAlign w:val="center"/>
          </w:tcPr>
          <w:p w:rsidR="0042582D" w:rsidRDefault="006148EF" w:rsidP="00416420">
            <w:pPr>
              <w:jc w:val="center"/>
              <w:rPr>
                <w:b/>
                <w:sz w:val="24"/>
                <w:szCs w:val="24"/>
              </w:rPr>
            </w:pPr>
            <w:r>
              <w:rPr>
                <w:b/>
                <w:sz w:val="24"/>
                <w:szCs w:val="24"/>
              </w:rPr>
              <w:t>84.0</w:t>
            </w:r>
          </w:p>
        </w:tc>
        <w:tc>
          <w:tcPr>
            <w:tcW w:w="1890" w:type="dxa"/>
            <w:vAlign w:val="center"/>
          </w:tcPr>
          <w:p w:rsidR="0042582D" w:rsidRDefault="006148EF" w:rsidP="00416420">
            <w:pPr>
              <w:jc w:val="center"/>
              <w:rPr>
                <w:sz w:val="24"/>
                <w:szCs w:val="24"/>
              </w:rPr>
            </w:pPr>
            <w:r>
              <w:rPr>
                <w:sz w:val="24"/>
                <w:szCs w:val="24"/>
              </w:rPr>
              <w:t>60.8 (unmet)</w:t>
            </w:r>
          </w:p>
        </w:tc>
        <w:tc>
          <w:tcPr>
            <w:tcW w:w="1890" w:type="dxa"/>
            <w:vAlign w:val="center"/>
          </w:tcPr>
          <w:p w:rsidR="0042582D" w:rsidRDefault="008F7968" w:rsidP="00EA478A">
            <w:pPr>
              <w:jc w:val="center"/>
              <w:rPr>
                <w:sz w:val="24"/>
                <w:szCs w:val="24"/>
              </w:rPr>
            </w:pPr>
            <w:r>
              <w:rPr>
                <w:sz w:val="24"/>
                <w:szCs w:val="24"/>
              </w:rPr>
              <w:t xml:space="preserve">58.2 </w:t>
            </w:r>
            <w:r w:rsidR="006148EF">
              <w:rPr>
                <w:sz w:val="24"/>
                <w:szCs w:val="24"/>
              </w:rPr>
              <w:t>(unmet)</w:t>
            </w:r>
          </w:p>
        </w:tc>
        <w:tc>
          <w:tcPr>
            <w:tcW w:w="5148" w:type="dxa"/>
          </w:tcPr>
          <w:p w:rsidR="0042582D" w:rsidRPr="006A6419" w:rsidRDefault="0042582D" w:rsidP="00B07043">
            <w:pPr>
              <w:rPr>
                <w:sz w:val="24"/>
                <w:szCs w:val="24"/>
              </w:rPr>
            </w:pPr>
          </w:p>
        </w:tc>
      </w:tr>
      <w:tr w:rsidR="006148EF" w:rsidTr="00416420">
        <w:tc>
          <w:tcPr>
            <w:tcW w:w="2635" w:type="dxa"/>
          </w:tcPr>
          <w:p w:rsidR="006148EF" w:rsidRDefault="006148EF" w:rsidP="006148EF">
            <w:pPr>
              <w:rPr>
                <w:sz w:val="24"/>
                <w:szCs w:val="24"/>
              </w:rPr>
            </w:pPr>
            <w:r>
              <w:rPr>
                <w:sz w:val="24"/>
                <w:szCs w:val="24"/>
              </w:rPr>
              <w:t>Examination completion</w:t>
            </w:r>
          </w:p>
          <w:p w:rsidR="006148EF" w:rsidRDefault="006148EF" w:rsidP="006148EF">
            <w:pPr>
              <w:rPr>
                <w:sz w:val="24"/>
                <w:szCs w:val="24"/>
              </w:rPr>
            </w:pPr>
            <w:r>
              <w:rPr>
                <w:sz w:val="24"/>
                <w:szCs w:val="24"/>
              </w:rPr>
              <w:t>Immigrants &amp; refugees</w:t>
            </w:r>
          </w:p>
        </w:tc>
        <w:tc>
          <w:tcPr>
            <w:tcW w:w="1613" w:type="dxa"/>
            <w:vAlign w:val="center"/>
          </w:tcPr>
          <w:p w:rsidR="006148EF" w:rsidRDefault="006148EF" w:rsidP="00416420">
            <w:pPr>
              <w:jc w:val="center"/>
              <w:rPr>
                <w:b/>
                <w:sz w:val="24"/>
                <w:szCs w:val="24"/>
              </w:rPr>
            </w:pPr>
            <w:r>
              <w:rPr>
                <w:b/>
                <w:sz w:val="24"/>
                <w:szCs w:val="24"/>
              </w:rPr>
              <w:t>76.0</w:t>
            </w:r>
          </w:p>
        </w:tc>
        <w:tc>
          <w:tcPr>
            <w:tcW w:w="1890" w:type="dxa"/>
            <w:vAlign w:val="center"/>
          </w:tcPr>
          <w:p w:rsidR="006148EF" w:rsidRDefault="006148EF" w:rsidP="00416420">
            <w:pPr>
              <w:jc w:val="center"/>
              <w:rPr>
                <w:sz w:val="24"/>
                <w:szCs w:val="24"/>
              </w:rPr>
            </w:pPr>
            <w:r>
              <w:rPr>
                <w:sz w:val="24"/>
                <w:szCs w:val="24"/>
              </w:rPr>
              <w:t>56.3 (unmet)</w:t>
            </w:r>
          </w:p>
        </w:tc>
        <w:tc>
          <w:tcPr>
            <w:tcW w:w="1890" w:type="dxa"/>
            <w:vAlign w:val="center"/>
          </w:tcPr>
          <w:p w:rsidR="006148EF" w:rsidRDefault="008F7968" w:rsidP="00EA478A">
            <w:pPr>
              <w:jc w:val="center"/>
              <w:rPr>
                <w:sz w:val="24"/>
                <w:szCs w:val="24"/>
              </w:rPr>
            </w:pPr>
            <w:r>
              <w:rPr>
                <w:sz w:val="24"/>
                <w:szCs w:val="24"/>
              </w:rPr>
              <w:t>44.0</w:t>
            </w:r>
            <w:r w:rsidR="006148EF">
              <w:rPr>
                <w:sz w:val="24"/>
                <w:szCs w:val="24"/>
              </w:rPr>
              <w:t xml:space="preserve"> (unmet)</w:t>
            </w:r>
          </w:p>
        </w:tc>
        <w:tc>
          <w:tcPr>
            <w:tcW w:w="5148" w:type="dxa"/>
          </w:tcPr>
          <w:p w:rsidR="006148EF" w:rsidRPr="006A6419" w:rsidRDefault="006148EF" w:rsidP="00B07043">
            <w:pPr>
              <w:rPr>
                <w:sz w:val="24"/>
                <w:szCs w:val="24"/>
              </w:rPr>
            </w:pPr>
          </w:p>
        </w:tc>
      </w:tr>
      <w:tr w:rsidR="006148EF" w:rsidTr="00416420">
        <w:tc>
          <w:tcPr>
            <w:tcW w:w="2635" w:type="dxa"/>
          </w:tcPr>
          <w:p w:rsidR="006148EF" w:rsidRDefault="006148EF" w:rsidP="006148EF">
            <w:pPr>
              <w:rPr>
                <w:sz w:val="24"/>
                <w:szCs w:val="24"/>
              </w:rPr>
            </w:pPr>
            <w:r>
              <w:rPr>
                <w:sz w:val="24"/>
                <w:szCs w:val="24"/>
              </w:rPr>
              <w:t>LTBI treatment initiation</w:t>
            </w:r>
          </w:p>
          <w:p w:rsidR="006148EF" w:rsidRDefault="006148EF" w:rsidP="006148EF">
            <w:pPr>
              <w:rPr>
                <w:sz w:val="24"/>
                <w:szCs w:val="24"/>
              </w:rPr>
            </w:pPr>
            <w:r>
              <w:rPr>
                <w:sz w:val="24"/>
                <w:szCs w:val="24"/>
              </w:rPr>
              <w:t>Immigrants &amp; refugees</w:t>
            </w:r>
          </w:p>
        </w:tc>
        <w:tc>
          <w:tcPr>
            <w:tcW w:w="1613" w:type="dxa"/>
            <w:vAlign w:val="center"/>
          </w:tcPr>
          <w:p w:rsidR="006148EF" w:rsidRDefault="006148EF" w:rsidP="00416420">
            <w:pPr>
              <w:jc w:val="center"/>
              <w:rPr>
                <w:b/>
                <w:sz w:val="24"/>
                <w:szCs w:val="24"/>
              </w:rPr>
            </w:pPr>
            <w:r>
              <w:rPr>
                <w:b/>
                <w:sz w:val="24"/>
                <w:szCs w:val="24"/>
              </w:rPr>
              <w:t>93.0</w:t>
            </w:r>
          </w:p>
        </w:tc>
        <w:tc>
          <w:tcPr>
            <w:tcW w:w="1890" w:type="dxa"/>
            <w:vAlign w:val="center"/>
          </w:tcPr>
          <w:p w:rsidR="006148EF" w:rsidRDefault="006148EF" w:rsidP="00416420">
            <w:pPr>
              <w:jc w:val="center"/>
              <w:rPr>
                <w:sz w:val="24"/>
                <w:szCs w:val="24"/>
              </w:rPr>
            </w:pPr>
            <w:r>
              <w:rPr>
                <w:sz w:val="24"/>
                <w:szCs w:val="24"/>
              </w:rPr>
              <w:t>66.7 (unmet)</w:t>
            </w:r>
          </w:p>
        </w:tc>
        <w:tc>
          <w:tcPr>
            <w:tcW w:w="1890" w:type="dxa"/>
            <w:vAlign w:val="center"/>
          </w:tcPr>
          <w:p w:rsidR="006148EF" w:rsidRDefault="008F7968" w:rsidP="00416420">
            <w:pPr>
              <w:jc w:val="center"/>
              <w:rPr>
                <w:sz w:val="24"/>
                <w:szCs w:val="24"/>
              </w:rPr>
            </w:pPr>
            <w:r>
              <w:rPr>
                <w:sz w:val="24"/>
                <w:szCs w:val="24"/>
              </w:rPr>
              <w:t>71.4</w:t>
            </w:r>
            <w:r w:rsidR="006148EF">
              <w:rPr>
                <w:sz w:val="24"/>
                <w:szCs w:val="24"/>
              </w:rPr>
              <w:t xml:space="preserve"> (unmet)</w:t>
            </w:r>
          </w:p>
        </w:tc>
        <w:tc>
          <w:tcPr>
            <w:tcW w:w="5148" w:type="dxa"/>
          </w:tcPr>
          <w:p w:rsidR="006148EF" w:rsidRPr="006A6419" w:rsidRDefault="006148EF" w:rsidP="00B07043">
            <w:pPr>
              <w:rPr>
                <w:sz w:val="24"/>
                <w:szCs w:val="24"/>
              </w:rPr>
            </w:pPr>
          </w:p>
        </w:tc>
      </w:tr>
      <w:tr w:rsidR="006148EF" w:rsidTr="00416420">
        <w:tc>
          <w:tcPr>
            <w:tcW w:w="2635" w:type="dxa"/>
          </w:tcPr>
          <w:p w:rsidR="006148EF" w:rsidRDefault="006148EF" w:rsidP="006148EF">
            <w:pPr>
              <w:rPr>
                <w:sz w:val="24"/>
                <w:szCs w:val="24"/>
              </w:rPr>
            </w:pPr>
            <w:r>
              <w:rPr>
                <w:sz w:val="24"/>
                <w:szCs w:val="24"/>
              </w:rPr>
              <w:t>LTBI treatment completion</w:t>
            </w:r>
          </w:p>
          <w:p w:rsidR="006148EF" w:rsidRDefault="006148EF" w:rsidP="006148EF">
            <w:pPr>
              <w:rPr>
                <w:sz w:val="24"/>
                <w:szCs w:val="24"/>
              </w:rPr>
            </w:pPr>
            <w:r>
              <w:rPr>
                <w:sz w:val="24"/>
                <w:szCs w:val="24"/>
              </w:rPr>
              <w:t>Immigrants &amp; refugees</w:t>
            </w:r>
          </w:p>
        </w:tc>
        <w:tc>
          <w:tcPr>
            <w:tcW w:w="1613" w:type="dxa"/>
            <w:vAlign w:val="center"/>
          </w:tcPr>
          <w:p w:rsidR="006148EF" w:rsidRDefault="006148EF" w:rsidP="00416420">
            <w:pPr>
              <w:jc w:val="center"/>
              <w:rPr>
                <w:b/>
                <w:sz w:val="24"/>
                <w:szCs w:val="24"/>
              </w:rPr>
            </w:pPr>
            <w:r>
              <w:rPr>
                <w:b/>
                <w:sz w:val="24"/>
                <w:szCs w:val="24"/>
              </w:rPr>
              <w:t>98.0</w:t>
            </w:r>
          </w:p>
        </w:tc>
        <w:tc>
          <w:tcPr>
            <w:tcW w:w="1890" w:type="dxa"/>
            <w:vAlign w:val="center"/>
          </w:tcPr>
          <w:p w:rsidR="006148EF" w:rsidRDefault="006148EF" w:rsidP="00416420">
            <w:pPr>
              <w:jc w:val="center"/>
              <w:rPr>
                <w:sz w:val="24"/>
                <w:szCs w:val="24"/>
              </w:rPr>
            </w:pPr>
            <w:r>
              <w:rPr>
                <w:sz w:val="24"/>
                <w:szCs w:val="24"/>
              </w:rPr>
              <w:t>60.0 (unmet)</w:t>
            </w:r>
          </w:p>
        </w:tc>
        <w:tc>
          <w:tcPr>
            <w:tcW w:w="1890" w:type="dxa"/>
            <w:vAlign w:val="center"/>
          </w:tcPr>
          <w:p w:rsidR="006148EF" w:rsidRDefault="006148EF" w:rsidP="00416420">
            <w:pPr>
              <w:jc w:val="center"/>
              <w:rPr>
                <w:sz w:val="24"/>
                <w:szCs w:val="24"/>
              </w:rPr>
            </w:pPr>
            <w:r>
              <w:rPr>
                <w:sz w:val="24"/>
                <w:szCs w:val="24"/>
              </w:rPr>
              <w:t>0.0 (unmet)</w:t>
            </w:r>
          </w:p>
        </w:tc>
        <w:tc>
          <w:tcPr>
            <w:tcW w:w="5148" w:type="dxa"/>
          </w:tcPr>
          <w:p w:rsidR="006148EF" w:rsidRPr="006A6419" w:rsidRDefault="006148EF" w:rsidP="00B07043">
            <w:pPr>
              <w:rPr>
                <w:sz w:val="24"/>
                <w:szCs w:val="24"/>
              </w:rPr>
            </w:pPr>
          </w:p>
        </w:tc>
      </w:tr>
      <w:tr w:rsidR="006148EF" w:rsidTr="00416420">
        <w:tc>
          <w:tcPr>
            <w:tcW w:w="2635" w:type="dxa"/>
          </w:tcPr>
          <w:p w:rsidR="006148EF" w:rsidRDefault="006148EF" w:rsidP="006148EF">
            <w:pPr>
              <w:rPr>
                <w:sz w:val="24"/>
                <w:szCs w:val="24"/>
              </w:rPr>
            </w:pPr>
            <w:r>
              <w:rPr>
                <w:sz w:val="24"/>
                <w:szCs w:val="24"/>
              </w:rPr>
              <w:t>Data reporting—RVCT</w:t>
            </w:r>
          </w:p>
        </w:tc>
        <w:tc>
          <w:tcPr>
            <w:tcW w:w="1613" w:type="dxa"/>
            <w:vAlign w:val="center"/>
          </w:tcPr>
          <w:p w:rsidR="006148EF" w:rsidRDefault="006148EF" w:rsidP="00416420">
            <w:pPr>
              <w:jc w:val="center"/>
              <w:rPr>
                <w:b/>
                <w:sz w:val="24"/>
                <w:szCs w:val="24"/>
              </w:rPr>
            </w:pPr>
            <w:r>
              <w:rPr>
                <w:b/>
                <w:sz w:val="24"/>
                <w:szCs w:val="24"/>
              </w:rPr>
              <w:t>100.0</w:t>
            </w:r>
          </w:p>
        </w:tc>
        <w:tc>
          <w:tcPr>
            <w:tcW w:w="1890" w:type="dxa"/>
            <w:vAlign w:val="center"/>
          </w:tcPr>
          <w:p w:rsidR="006148EF" w:rsidRDefault="006148EF" w:rsidP="00EA478A">
            <w:pPr>
              <w:jc w:val="center"/>
              <w:rPr>
                <w:sz w:val="24"/>
                <w:szCs w:val="24"/>
              </w:rPr>
            </w:pPr>
            <w:r>
              <w:rPr>
                <w:sz w:val="24"/>
                <w:szCs w:val="24"/>
              </w:rPr>
              <w:t>99.</w:t>
            </w:r>
            <w:r w:rsidR="00EA478A">
              <w:rPr>
                <w:sz w:val="24"/>
                <w:szCs w:val="24"/>
              </w:rPr>
              <w:t>8</w:t>
            </w:r>
            <w:r>
              <w:rPr>
                <w:sz w:val="24"/>
                <w:szCs w:val="24"/>
              </w:rPr>
              <w:t xml:space="preserve"> (unmet)</w:t>
            </w:r>
          </w:p>
        </w:tc>
        <w:tc>
          <w:tcPr>
            <w:tcW w:w="1890" w:type="dxa"/>
            <w:vAlign w:val="center"/>
          </w:tcPr>
          <w:p w:rsidR="006148EF" w:rsidRDefault="008F7968" w:rsidP="006148EF">
            <w:pPr>
              <w:jc w:val="center"/>
              <w:rPr>
                <w:sz w:val="24"/>
                <w:szCs w:val="24"/>
              </w:rPr>
            </w:pPr>
            <w:r>
              <w:rPr>
                <w:sz w:val="24"/>
                <w:szCs w:val="24"/>
              </w:rPr>
              <w:t>87.8</w:t>
            </w:r>
            <w:r w:rsidR="006148EF">
              <w:rPr>
                <w:sz w:val="24"/>
                <w:szCs w:val="24"/>
              </w:rPr>
              <w:t xml:space="preserve"> (unmet)</w:t>
            </w:r>
          </w:p>
        </w:tc>
        <w:tc>
          <w:tcPr>
            <w:tcW w:w="5148" w:type="dxa"/>
          </w:tcPr>
          <w:p w:rsidR="006148EF" w:rsidRPr="006A6419" w:rsidRDefault="006148EF" w:rsidP="00B07043">
            <w:pPr>
              <w:rPr>
                <w:sz w:val="24"/>
                <w:szCs w:val="24"/>
              </w:rPr>
            </w:pPr>
          </w:p>
        </w:tc>
      </w:tr>
      <w:tr w:rsidR="006148EF" w:rsidTr="00416420">
        <w:tc>
          <w:tcPr>
            <w:tcW w:w="2635" w:type="dxa"/>
          </w:tcPr>
          <w:p w:rsidR="006148EF" w:rsidRDefault="006148EF" w:rsidP="006148EF">
            <w:pPr>
              <w:rPr>
                <w:sz w:val="24"/>
                <w:szCs w:val="24"/>
              </w:rPr>
            </w:pPr>
            <w:r>
              <w:rPr>
                <w:sz w:val="24"/>
                <w:szCs w:val="24"/>
              </w:rPr>
              <w:t>Date reporting—ARPEs</w:t>
            </w:r>
          </w:p>
        </w:tc>
        <w:tc>
          <w:tcPr>
            <w:tcW w:w="1613" w:type="dxa"/>
            <w:vAlign w:val="center"/>
          </w:tcPr>
          <w:p w:rsidR="006148EF" w:rsidRDefault="006148EF" w:rsidP="00416420">
            <w:pPr>
              <w:jc w:val="center"/>
              <w:rPr>
                <w:b/>
                <w:sz w:val="24"/>
                <w:szCs w:val="24"/>
              </w:rPr>
            </w:pPr>
            <w:r>
              <w:rPr>
                <w:b/>
                <w:sz w:val="24"/>
                <w:szCs w:val="24"/>
              </w:rPr>
              <w:t>100.0</w:t>
            </w:r>
          </w:p>
        </w:tc>
        <w:tc>
          <w:tcPr>
            <w:tcW w:w="1890" w:type="dxa"/>
            <w:vAlign w:val="center"/>
          </w:tcPr>
          <w:p w:rsidR="006148EF" w:rsidRDefault="006148EF" w:rsidP="00416420">
            <w:pPr>
              <w:jc w:val="center"/>
              <w:rPr>
                <w:sz w:val="24"/>
                <w:szCs w:val="24"/>
              </w:rPr>
            </w:pPr>
            <w:r>
              <w:rPr>
                <w:sz w:val="24"/>
                <w:szCs w:val="24"/>
              </w:rPr>
              <w:t>88.9 (unmet)</w:t>
            </w:r>
          </w:p>
        </w:tc>
        <w:tc>
          <w:tcPr>
            <w:tcW w:w="1890" w:type="dxa"/>
            <w:vAlign w:val="center"/>
          </w:tcPr>
          <w:p w:rsidR="006148EF" w:rsidRDefault="006148EF" w:rsidP="006148EF">
            <w:pPr>
              <w:jc w:val="center"/>
              <w:rPr>
                <w:sz w:val="24"/>
                <w:szCs w:val="24"/>
              </w:rPr>
            </w:pPr>
            <w:r>
              <w:rPr>
                <w:sz w:val="24"/>
                <w:szCs w:val="24"/>
              </w:rPr>
              <w:t>NA</w:t>
            </w:r>
          </w:p>
        </w:tc>
        <w:tc>
          <w:tcPr>
            <w:tcW w:w="5148" w:type="dxa"/>
          </w:tcPr>
          <w:p w:rsidR="006148EF" w:rsidRPr="006A6419" w:rsidRDefault="006148EF" w:rsidP="00B07043">
            <w:pPr>
              <w:rPr>
                <w:sz w:val="24"/>
                <w:szCs w:val="24"/>
              </w:rPr>
            </w:pPr>
          </w:p>
        </w:tc>
      </w:tr>
      <w:tr w:rsidR="006148EF" w:rsidTr="00416420">
        <w:tc>
          <w:tcPr>
            <w:tcW w:w="2635" w:type="dxa"/>
          </w:tcPr>
          <w:p w:rsidR="006148EF" w:rsidRDefault="006148EF" w:rsidP="006148EF">
            <w:pPr>
              <w:rPr>
                <w:sz w:val="24"/>
                <w:szCs w:val="24"/>
              </w:rPr>
            </w:pPr>
            <w:r>
              <w:rPr>
                <w:sz w:val="24"/>
                <w:szCs w:val="24"/>
              </w:rPr>
              <w:lastRenderedPageBreak/>
              <w:t>Data reporting—EDN</w:t>
            </w:r>
          </w:p>
        </w:tc>
        <w:tc>
          <w:tcPr>
            <w:tcW w:w="1613" w:type="dxa"/>
            <w:vAlign w:val="center"/>
          </w:tcPr>
          <w:p w:rsidR="006148EF" w:rsidRDefault="006148EF" w:rsidP="00416420">
            <w:pPr>
              <w:jc w:val="center"/>
              <w:rPr>
                <w:b/>
                <w:sz w:val="24"/>
                <w:szCs w:val="24"/>
              </w:rPr>
            </w:pPr>
            <w:r>
              <w:rPr>
                <w:b/>
                <w:sz w:val="24"/>
                <w:szCs w:val="24"/>
              </w:rPr>
              <w:t>93.0</w:t>
            </w:r>
          </w:p>
        </w:tc>
        <w:tc>
          <w:tcPr>
            <w:tcW w:w="1890" w:type="dxa"/>
            <w:vAlign w:val="center"/>
          </w:tcPr>
          <w:p w:rsidR="006148EF" w:rsidRDefault="00EA478A" w:rsidP="00416420">
            <w:pPr>
              <w:jc w:val="center"/>
              <w:rPr>
                <w:sz w:val="24"/>
                <w:szCs w:val="24"/>
              </w:rPr>
            </w:pPr>
            <w:r>
              <w:rPr>
                <w:sz w:val="24"/>
                <w:szCs w:val="24"/>
              </w:rPr>
              <w:t xml:space="preserve">87.0 </w:t>
            </w:r>
            <w:r w:rsidR="006148EF">
              <w:rPr>
                <w:sz w:val="24"/>
                <w:szCs w:val="24"/>
              </w:rPr>
              <w:t>(unmet)</w:t>
            </w:r>
          </w:p>
        </w:tc>
        <w:tc>
          <w:tcPr>
            <w:tcW w:w="1890" w:type="dxa"/>
            <w:vAlign w:val="center"/>
          </w:tcPr>
          <w:p w:rsidR="006148EF" w:rsidRDefault="008F7968" w:rsidP="008F7968">
            <w:pPr>
              <w:jc w:val="center"/>
              <w:rPr>
                <w:sz w:val="24"/>
                <w:szCs w:val="24"/>
              </w:rPr>
            </w:pPr>
            <w:r>
              <w:rPr>
                <w:sz w:val="24"/>
                <w:szCs w:val="24"/>
              </w:rPr>
              <w:t>62.3</w:t>
            </w:r>
            <w:r w:rsidR="006148EF">
              <w:rPr>
                <w:sz w:val="24"/>
                <w:szCs w:val="24"/>
              </w:rPr>
              <w:t xml:space="preserve"> (unmet)</w:t>
            </w:r>
          </w:p>
        </w:tc>
        <w:tc>
          <w:tcPr>
            <w:tcW w:w="5148" w:type="dxa"/>
          </w:tcPr>
          <w:p w:rsidR="006148EF" w:rsidRPr="006A6419" w:rsidRDefault="006148EF" w:rsidP="00B07043">
            <w:pPr>
              <w:rPr>
                <w:sz w:val="24"/>
                <w:szCs w:val="24"/>
              </w:rPr>
            </w:pPr>
          </w:p>
        </w:tc>
      </w:tr>
      <w:tr w:rsidR="006148EF" w:rsidTr="00416420">
        <w:tc>
          <w:tcPr>
            <w:tcW w:w="2635" w:type="dxa"/>
          </w:tcPr>
          <w:p w:rsidR="006148EF" w:rsidRDefault="006148EF" w:rsidP="006148EF">
            <w:pPr>
              <w:rPr>
                <w:sz w:val="24"/>
                <w:szCs w:val="24"/>
              </w:rPr>
            </w:pPr>
            <w:r>
              <w:rPr>
                <w:sz w:val="24"/>
                <w:szCs w:val="24"/>
              </w:rPr>
              <w:t>Contact elicitation—Contact investigation</w:t>
            </w:r>
          </w:p>
        </w:tc>
        <w:tc>
          <w:tcPr>
            <w:tcW w:w="1613" w:type="dxa"/>
            <w:vAlign w:val="center"/>
          </w:tcPr>
          <w:p w:rsidR="006148EF" w:rsidRDefault="006148EF" w:rsidP="00416420">
            <w:pPr>
              <w:jc w:val="center"/>
              <w:rPr>
                <w:b/>
                <w:sz w:val="24"/>
                <w:szCs w:val="24"/>
              </w:rPr>
            </w:pPr>
            <w:r>
              <w:rPr>
                <w:b/>
                <w:sz w:val="24"/>
                <w:szCs w:val="24"/>
              </w:rPr>
              <w:t>100.0</w:t>
            </w:r>
          </w:p>
        </w:tc>
        <w:tc>
          <w:tcPr>
            <w:tcW w:w="1890" w:type="dxa"/>
            <w:vAlign w:val="center"/>
          </w:tcPr>
          <w:p w:rsidR="006148EF" w:rsidRDefault="006148EF" w:rsidP="00416420">
            <w:pPr>
              <w:jc w:val="center"/>
              <w:rPr>
                <w:sz w:val="24"/>
                <w:szCs w:val="24"/>
              </w:rPr>
            </w:pPr>
            <w:r>
              <w:rPr>
                <w:sz w:val="24"/>
                <w:szCs w:val="24"/>
              </w:rPr>
              <w:t>100.0 (met)</w:t>
            </w:r>
          </w:p>
        </w:tc>
        <w:tc>
          <w:tcPr>
            <w:tcW w:w="1890" w:type="dxa"/>
            <w:vAlign w:val="center"/>
          </w:tcPr>
          <w:p w:rsidR="006148EF" w:rsidRDefault="006148EF" w:rsidP="006148EF">
            <w:pPr>
              <w:jc w:val="center"/>
              <w:rPr>
                <w:sz w:val="24"/>
                <w:szCs w:val="24"/>
              </w:rPr>
            </w:pPr>
            <w:r>
              <w:rPr>
                <w:sz w:val="24"/>
                <w:szCs w:val="24"/>
              </w:rPr>
              <w:t>NA</w:t>
            </w:r>
          </w:p>
        </w:tc>
        <w:tc>
          <w:tcPr>
            <w:tcW w:w="5148" w:type="dxa"/>
          </w:tcPr>
          <w:p w:rsidR="006148EF" w:rsidRPr="006A6419" w:rsidRDefault="006148EF" w:rsidP="00B07043">
            <w:pPr>
              <w:rPr>
                <w:sz w:val="24"/>
                <w:szCs w:val="24"/>
              </w:rPr>
            </w:pPr>
          </w:p>
        </w:tc>
      </w:tr>
      <w:tr w:rsidR="006148EF" w:rsidTr="00416420">
        <w:tc>
          <w:tcPr>
            <w:tcW w:w="2635" w:type="dxa"/>
          </w:tcPr>
          <w:p w:rsidR="006148EF" w:rsidRDefault="006148EF" w:rsidP="006148EF">
            <w:pPr>
              <w:rPr>
                <w:sz w:val="24"/>
                <w:szCs w:val="24"/>
              </w:rPr>
            </w:pPr>
            <w:r>
              <w:rPr>
                <w:sz w:val="24"/>
                <w:szCs w:val="24"/>
              </w:rPr>
              <w:t>Contact examination—Contact investigation</w:t>
            </w:r>
          </w:p>
        </w:tc>
        <w:tc>
          <w:tcPr>
            <w:tcW w:w="1613" w:type="dxa"/>
            <w:vAlign w:val="center"/>
          </w:tcPr>
          <w:p w:rsidR="006148EF" w:rsidRDefault="006148EF" w:rsidP="00416420">
            <w:pPr>
              <w:jc w:val="center"/>
              <w:rPr>
                <w:b/>
                <w:sz w:val="24"/>
                <w:szCs w:val="24"/>
              </w:rPr>
            </w:pPr>
            <w:r>
              <w:rPr>
                <w:b/>
                <w:sz w:val="24"/>
                <w:szCs w:val="24"/>
              </w:rPr>
              <w:t>93.0</w:t>
            </w:r>
          </w:p>
        </w:tc>
        <w:tc>
          <w:tcPr>
            <w:tcW w:w="1890" w:type="dxa"/>
            <w:vAlign w:val="center"/>
          </w:tcPr>
          <w:p w:rsidR="006148EF" w:rsidRDefault="006148EF" w:rsidP="00416420">
            <w:pPr>
              <w:jc w:val="center"/>
              <w:rPr>
                <w:sz w:val="24"/>
                <w:szCs w:val="24"/>
              </w:rPr>
            </w:pPr>
            <w:r>
              <w:rPr>
                <w:sz w:val="24"/>
                <w:szCs w:val="24"/>
              </w:rPr>
              <w:t>89.8 (unmet)</w:t>
            </w:r>
          </w:p>
        </w:tc>
        <w:tc>
          <w:tcPr>
            <w:tcW w:w="1890" w:type="dxa"/>
            <w:vAlign w:val="center"/>
          </w:tcPr>
          <w:p w:rsidR="006148EF" w:rsidRDefault="006148EF" w:rsidP="006148EF">
            <w:pPr>
              <w:jc w:val="center"/>
              <w:rPr>
                <w:sz w:val="24"/>
                <w:szCs w:val="24"/>
              </w:rPr>
            </w:pPr>
            <w:r>
              <w:rPr>
                <w:sz w:val="24"/>
                <w:szCs w:val="24"/>
              </w:rPr>
              <w:t>NA</w:t>
            </w:r>
          </w:p>
        </w:tc>
        <w:tc>
          <w:tcPr>
            <w:tcW w:w="5148" w:type="dxa"/>
          </w:tcPr>
          <w:p w:rsidR="006148EF" w:rsidRPr="006A6419" w:rsidRDefault="006148EF" w:rsidP="00B07043">
            <w:pPr>
              <w:rPr>
                <w:sz w:val="24"/>
                <w:szCs w:val="24"/>
              </w:rPr>
            </w:pPr>
          </w:p>
        </w:tc>
      </w:tr>
      <w:tr w:rsidR="006148EF" w:rsidTr="00416420">
        <w:tc>
          <w:tcPr>
            <w:tcW w:w="2635" w:type="dxa"/>
          </w:tcPr>
          <w:p w:rsidR="006148EF" w:rsidRDefault="006148EF" w:rsidP="006148EF">
            <w:pPr>
              <w:rPr>
                <w:sz w:val="24"/>
                <w:szCs w:val="24"/>
              </w:rPr>
            </w:pPr>
            <w:r>
              <w:rPr>
                <w:sz w:val="24"/>
                <w:szCs w:val="24"/>
              </w:rPr>
              <w:t>LTBI treatment initiation</w:t>
            </w:r>
          </w:p>
          <w:p w:rsidR="006148EF" w:rsidRDefault="006148EF" w:rsidP="006148EF">
            <w:pPr>
              <w:rPr>
                <w:sz w:val="24"/>
                <w:szCs w:val="24"/>
              </w:rPr>
            </w:pPr>
            <w:r>
              <w:rPr>
                <w:sz w:val="24"/>
                <w:szCs w:val="24"/>
              </w:rPr>
              <w:t>Contact investigation</w:t>
            </w:r>
          </w:p>
        </w:tc>
        <w:tc>
          <w:tcPr>
            <w:tcW w:w="1613" w:type="dxa"/>
            <w:vAlign w:val="center"/>
          </w:tcPr>
          <w:p w:rsidR="006148EF" w:rsidRDefault="006148EF" w:rsidP="00416420">
            <w:pPr>
              <w:jc w:val="center"/>
              <w:rPr>
                <w:b/>
                <w:sz w:val="24"/>
                <w:szCs w:val="24"/>
              </w:rPr>
            </w:pPr>
            <w:r>
              <w:rPr>
                <w:b/>
                <w:sz w:val="24"/>
                <w:szCs w:val="24"/>
              </w:rPr>
              <w:t>91.0</w:t>
            </w:r>
          </w:p>
        </w:tc>
        <w:tc>
          <w:tcPr>
            <w:tcW w:w="1890" w:type="dxa"/>
            <w:vAlign w:val="center"/>
          </w:tcPr>
          <w:p w:rsidR="006148EF" w:rsidRDefault="006148EF" w:rsidP="00416420">
            <w:pPr>
              <w:jc w:val="center"/>
              <w:rPr>
                <w:sz w:val="24"/>
                <w:szCs w:val="24"/>
              </w:rPr>
            </w:pPr>
            <w:r>
              <w:rPr>
                <w:sz w:val="24"/>
                <w:szCs w:val="24"/>
              </w:rPr>
              <w:t>79.5 (unmet)</w:t>
            </w:r>
          </w:p>
        </w:tc>
        <w:tc>
          <w:tcPr>
            <w:tcW w:w="1890" w:type="dxa"/>
            <w:vAlign w:val="center"/>
          </w:tcPr>
          <w:p w:rsidR="006148EF" w:rsidRDefault="006148EF" w:rsidP="006148EF">
            <w:pPr>
              <w:jc w:val="center"/>
              <w:rPr>
                <w:sz w:val="24"/>
                <w:szCs w:val="24"/>
              </w:rPr>
            </w:pPr>
            <w:r>
              <w:rPr>
                <w:sz w:val="24"/>
                <w:szCs w:val="24"/>
              </w:rPr>
              <w:t>NA</w:t>
            </w:r>
          </w:p>
        </w:tc>
        <w:tc>
          <w:tcPr>
            <w:tcW w:w="5148" w:type="dxa"/>
          </w:tcPr>
          <w:p w:rsidR="006148EF" w:rsidRPr="006A6419" w:rsidRDefault="006148EF" w:rsidP="00B07043">
            <w:pPr>
              <w:rPr>
                <w:sz w:val="24"/>
                <w:szCs w:val="24"/>
              </w:rPr>
            </w:pPr>
          </w:p>
        </w:tc>
      </w:tr>
      <w:tr w:rsidR="006148EF" w:rsidTr="00416420">
        <w:tc>
          <w:tcPr>
            <w:tcW w:w="2635" w:type="dxa"/>
          </w:tcPr>
          <w:p w:rsidR="006148EF" w:rsidRDefault="006148EF" w:rsidP="006148EF">
            <w:pPr>
              <w:rPr>
                <w:sz w:val="24"/>
                <w:szCs w:val="24"/>
              </w:rPr>
            </w:pPr>
            <w:r>
              <w:rPr>
                <w:sz w:val="24"/>
                <w:szCs w:val="24"/>
              </w:rPr>
              <w:t>LTBI treatment completion</w:t>
            </w:r>
          </w:p>
          <w:p w:rsidR="006148EF" w:rsidRDefault="006148EF" w:rsidP="006148EF">
            <w:pPr>
              <w:rPr>
                <w:sz w:val="24"/>
                <w:szCs w:val="24"/>
              </w:rPr>
            </w:pPr>
            <w:r>
              <w:rPr>
                <w:sz w:val="24"/>
                <w:szCs w:val="24"/>
              </w:rPr>
              <w:t>Contact investigation</w:t>
            </w:r>
          </w:p>
        </w:tc>
        <w:tc>
          <w:tcPr>
            <w:tcW w:w="1613" w:type="dxa"/>
            <w:vAlign w:val="center"/>
          </w:tcPr>
          <w:p w:rsidR="006148EF" w:rsidRDefault="006148EF" w:rsidP="00416420">
            <w:pPr>
              <w:jc w:val="center"/>
              <w:rPr>
                <w:b/>
                <w:sz w:val="24"/>
                <w:szCs w:val="24"/>
              </w:rPr>
            </w:pPr>
            <w:r>
              <w:rPr>
                <w:b/>
                <w:sz w:val="24"/>
                <w:szCs w:val="24"/>
              </w:rPr>
              <w:t>81.0</w:t>
            </w:r>
          </w:p>
        </w:tc>
        <w:tc>
          <w:tcPr>
            <w:tcW w:w="1890" w:type="dxa"/>
            <w:vAlign w:val="center"/>
          </w:tcPr>
          <w:p w:rsidR="006148EF" w:rsidRDefault="006148EF" w:rsidP="00416420">
            <w:pPr>
              <w:jc w:val="center"/>
              <w:rPr>
                <w:sz w:val="24"/>
                <w:szCs w:val="24"/>
              </w:rPr>
            </w:pPr>
            <w:r>
              <w:rPr>
                <w:sz w:val="24"/>
                <w:szCs w:val="24"/>
              </w:rPr>
              <w:t>71.4 (unmet)</w:t>
            </w:r>
          </w:p>
        </w:tc>
        <w:tc>
          <w:tcPr>
            <w:tcW w:w="1890" w:type="dxa"/>
            <w:vAlign w:val="center"/>
          </w:tcPr>
          <w:p w:rsidR="006148EF" w:rsidRDefault="006148EF" w:rsidP="006148EF">
            <w:pPr>
              <w:jc w:val="center"/>
              <w:rPr>
                <w:sz w:val="24"/>
                <w:szCs w:val="24"/>
              </w:rPr>
            </w:pPr>
            <w:r>
              <w:rPr>
                <w:sz w:val="24"/>
                <w:szCs w:val="24"/>
              </w:rPr>
              <w:t>NA</w:t>
            </w:r>
          </w:p>
        </w:tc>
        <w:tc>
          <w:tcPr>
            <w:tcW w:w="5148" w:type="dxa"/>
          </w:tcPr>
          <w:p w:rsidR="006148EF" w:rsidRPr="006A6419" w:rsidRDefault="006148EF" w:rsidP="00B07043">
            <w:pPr>
              <w:rPr>
                <w:sz w:val="24"/>
                <w:szCs w:val="24"/>
              </w:rPr>
            </w:pPr>
          </w:p>
        </w:tc>
      </w:tr>
    </w:tbl>
    <w:p w:rsidR="00466B96" w:rsidRPr="00CD22AA" w:rsidRDefault="00466B96" w:rsidP="00466B96">
      <w:pPr>
        <w:spacing w:after="0" w:line="240" w:lineRule="auto"/>
        <w:rPr>
          <w:i/>
          <w:sz w:val="24"/>
          <w:szCs w:val="24"/>
        </w:rPr>
      </w:pPr>
      <w:r w:rsidRPr="00466B96">
        <w:rPr>
          <w:i/>
          <w:sz w:val="24"/>
          <w:szCs w:val="24"/>
          <w:u w:val="single"/>
        </w:rPr>
        <w:t>Source</w:t>
      </w:r>
      <w:r w:rsidRPr="00CD22AA">
        <w:rPr>
          <w:i/>
          <w:sz w:val="24"/>
          <w:szCs w:val="24"/>
        </w:rPr>
        <w:t>: National TB Indicators Project (NTIP): Indicator Summary 2015 to 2019</w:t>
      </w:r>
    </w:p>
    <w:p w:rsidR="006A6419" w:rsidRDefault="00466B96" w:rsidP="00466B96">
      <w:pPr>
        <w:spacing w:after="0" w:line="240" w:lineRule="auto"/>
        <w:rPr>
          <w:b/>
          <w:sz w:val="24"/>
          <w:szCs w:val="24"/>
          <w:u w:val="single"/>
        </w:rPr>
        <w:sectPr w:rsidR="006A6419" w:rsidSect="006A6419">
          <w:footerReference w:type="default" r:id="rId10"/>
          <w:pgSz w:w="15840" w:h="12240" w:orient="landscape"/>
          <w:pgMar w:top="1440" w:right="1440" w:bottom="1440" w:left="1440" w:header="720" w:footer="720" w:gutter="0"/>
          <w:cols w:space="720"/>
          <w:docGrid w:linePitch="360"/>
        </w:sectPr>
      </w:pPr>
      <w:r w:rsidRPr="00CD22AA">
        <w:rPr>
          <w:sz w:val="24"/>
          <w:szCs w:val="24"/>
          <w:vertAlign w:val="superscript"/>
        </w:rPr>
        <w:t>*</w:t>
      </w:r>
      <w:r w:rsidRPr="00CD22AA">
        <w:rPr>
          <w:sz w:val="24"/>
          <w:szCs w:val="24"/>
        </w:rPr>
        <w:t xml:space="preserve">Data updated </w:t>
      </w:r>
      <w:r w:rsidR="005A05F9">
        <w:rPr>
          <w:sz w:val="24"/>
          <w:szCs w:val="24"/>
        </w:rPr>
        <w:t>12/10/19</w:t>
      </w:r>
    </w:p>
    <w:p w:rsidR="006A6419" w:rsidRDefault="006A6419" w:rsidP="00B07043">
      <w:pPr>
        <w:spacing w:after="0" w:line="240" w:lineRule="auto"/>
        <w:rPr>
          <w:b/>
          <w:sz w:val="24"/>
          <w:szCs w:val="24"/>
          <w:u w:val="single"/>
        </w:rPr>
      </w:pPr>
    </w:p>
    <w:p w:rsidR="00B07043" w:rsidRDefault="00B07043" w:rsidP="00B07043">
      <w:pPr>
        <w:spacing w:after="0" w:line="240" w:lineRule="auto"/>
        <w:rPr>
          <w:b/>
          <w:sz w:val="24"/>
          <w:szCs w:val="24"/>
          <w:u w:val="single"/>
        </w:rPr>
      </w:pPr>
      <w:r>
        <w:rPr>
          <w:b/>
          <w:sz w:val="24"/>
          <w:szCs w:val="24"/>
          <w:u w:val="single"/>
        </w:rPr>
        <w:t>Tennessee Tuberculosis (TB) Program Overview</w:t>
      </w:r>
    </w:p>
    <w:p w:rsidR="00B07043" w:rsidRDefault="00B07043" w:rsidP="00B07043">
      <w:pPr>
        <w:spacing w:after="0" w:line="240" w:lineRule="auto"/>
        <w:rPr>
          <w:sz w:val="24"/>
          <w:szCs w:val="24"/>
        </w:rPr>
      </w:pPr>
      <w:r>
        <w:rPr>
          <w:sz w:val="24"/>
          <w:szCs w:val="24"/>
        </w:rPr>
        <w:t xml:space="preserve">The Tennessee TB Elimination Program (TTBEP) is a centralized state program that provides programmatic oversight, clinical guidance, education, training, and resources to the 12 regional TB programs which serve the 95 counties in Tennessee.  For the years 2015 – 2019, the average number of persons with active TB disease was 124.3 with an average case rate of 1.9 cases per 100,000 population.  </w:t>
      </w:r>
      <w:r w:rsidRPr="002063D8">
        <w:rPr>
          <w:b/>
          <w:sz w:val="24"/>
          <w:szCs w:val="24"/>
        </w:rPr>
        <w:t xml:space="preserve">Table </w:t>
      </w:r>
      <w:r w:rsidR="0041398C">
        <w:rPr>
          <w:b/>
          <w:sz w:val="24"/>
          <w:szCs w:val="24"/>
        </w:rPr>
        <w:t>3</w:t>
      </w:r>
      <w:r>
        <w:rPr>
          <w:sz w:val="24"/>
          <w:szCs w:val="24"/>
        </w:rPr>
        <w:t xml:space="preserve"> shows the number of cases and corresponding case rates for the grant period.  </w:t>
      </w:r>
      <w:r w:rsidRPr="00B07043">
        <w:rPr>
          <w:sz w:val="24"/>
          <w:szCs w:val="24"/>
        </w:rPr>
        <w:t>In</w:t>
      </w:r>
      <w:r>
        <w:rPr>
          <w:sz w:val="24"/>
          <w:szCs w:val="24"/>
        </w:rPr>
        <w:t xml:space="preserve"> 2016, Tennessee experienced the lowest number of active TB cases on record with 103; however, the number of active TB cases steadily increased in subsequent years.  </w:t>
      </w:r>
      <w:r w:rsidRPr="00CC6912">
        <w:rPr>
          <w:sz w:val="24"/>
          <w:szCs w:val="24"/>
          <w:highlight w:val="yellow"/>
        </w:rPr>
        <w:t xml:space="preserve">Between 2015 and 2019, the state of Tennessee experienced </w:t>
      </w:r>
      <w:r w:rsidR="009E6CC8" w:rsidRPr="00CC6912">
        <w:rPr>
          <w:sz w:val="24"/>
          <w:szCs w:val="24"/>
          <w:highlight w:val="yellow"/>
        </w:rPr>
        <w:t>an overall</w:t>
      </w:r>
      <w:r w:rsidRPr="00CC6912">
        <w:rPr>
          <w:sz w:val="24"/>
          <w:szCs w:val="24"/>
          <w:highlight w:val="yellow"/>
        </w:rPr>
        <w:t xml:space="preserve"> increase of 3.7% in the number of persons with active TB counted during this timeframe</w:t>
      </w:r>
      <w:r>
        <w:rPr>
          <w:sz w:val="24"/>
          <w:szCs w:val="24"/>
        </w:rPr>
        <w:t>.</w:t>
      </w:r>
    </w:p>
    <w:p w:rsidR="00B07043" w:rsidRDefault="00B07043" w:rsidP="00B07043">
      <w:pPr>
        <w:spacing w:after="0" w:line="240" w:lineRule="auto"/>
        <w:rPr>
          <w:sz w:val="24"/>
          <w:szCs w:val="24"/>
        </w:rPr>
      </w:pPr>
    </w:p>
    <w:p w:rsidR="00B07043" w:rsidRDefault="002063D8" w:rsidP="00B07043">
      <w:pPr>
        <w:spacing w:after="0" w:line="240" w:lineRule="auto"/>
        <w:rPr>
          <w:b/>
          <w:sz w:val="24"/>
          <w:szCs w:val="24"/>
        </w:rPr>
      </w:pPr>
      <w:r>
        <w:rPr>
          <w:b/>
          <w:sz w:val="24"/>
          <w:szCs w:val="24"/>
        </w:rPr>
        <w:t xml:space="preserve">Table </w:t>
      </w:r>
      <w:r w:rsidR="0041398C">
        <w:rPr>
          <w:b/>
          <w:sz w:val="24"/>
          <w:szCs w:val="24"/>
        </w:rPr>
        <w:t>3</w:t>
      </w:r>
      <w:r w:rsidR="00B07043">
        <w:rPr>
          <w:b/>
          <w:sz w:val="24"/>
          <w:szCs w:val="24"/>
        </w:rPr>
        <w:t>.  Tennessee</w:t>
      </w:r>
      <w:r w:rsidR="00FB7B9F">
        <w:rPr>
          <w:b/>
          <w:sz w:val="24"/>
          <w:szCs w:val="24"/>
        </w:rPr>
        <w:t xml:space="preserve"> TB Cases and Rates, 2015 – 2019 </w:t>
      </w:r>
    </w:p>
    <w:tbl>
      <w:tblPr>
        <w:tblStyle w:val="TableGrid"/>
        <w:tblW w:w="0" w:type="auto"/>
        <w:tblLook w:val="04A0" w:firstRow="1" w:lastRow="0" w:firstColumn="1" w:lastColumn="0" w:noHBand="0" w:noVBand="1"/>
      </w:tblPr>
      <w:tblGrid>
        <w:gridCol w:w="3192"/>
        <w:gridCol w:w="3192"/>
        <w:gridCol w:w="3192"/>
      </w:tblGrid>
      <w:tr w:rsidR="00B07043" w:rsidRPr="00B07043" w:rsidTr="00B07043">
        <w:tc>
          <w:tcPr>
            <w:tcW w:w="3192" w:type="dxa"/>
            <w:shd w:val="clear" w:color="auto" w:fill="D9D9D9" w:themeFill="background1" w:themeFillShade="D9"/>
          </w:tcPr>
          <w:p w:rsidR="00B07043" w:rsidRPr="00B07043" w:rsidRDefault="00B07043" w:rsidP="00B07043">
            <w:pPr>
              <w:jc w:val="center"/>
              <w:rPr>
                <w:b/>
                <w:sz w:val="24"/>
                <w:szCs w:val="24"/>
              </w:rPr>
            </w:pPr>
            <w:r>
              <w:rPr>
                <w:b/>
                <w:sz w:val="24"/>
                <w:szCs w:val="24"/>
              </w:rPr>
              <w:t>Year</w:t>
            </w:r>
          </w:p>
        </w:tc>
        <w:tc>
          <w:tcPr>
            <w:tcW w:w="3192" w:type="dxa"/>
            <w:shd w:val="clear" w:color="auto" w:fill="D9D9D9" w:themeFill="background1" w:themeFillShade="D9"/>
          </w:tcPr>
          <w:p w:rsidR="00B07043" w:rsidRPr="00B07043" w:rsidRDefault="00B07043" w:rsidP="00B07043">
            <w:pPr>
              <w:jc w:val="center"/>
              <w:rPr>
                <w:b/>
                <w:sz w:val="24"/>
                <w:szCs w:val="24"/>
              </w:rPr>
            </w:pPr>
            <w:r>
              <w:rPr>
                <w:b/>
                <w:sz w:val="24"/>
                <w:szCs w:val="24"/>
              </w:rPr>
              <w:t>Number of Active TB Cases</w:t>
            </w:r>
          </w:p>
        </w:tc>
        <w:tc>
          <w:tcPr>
            <w:tcW w:w="3192" w:type="dxa"/>
            <w:shd w:val="clear" w:color="auto" w:fill="D9D9D9" w:themeFill="background1" w:themeFillShade="D9"/>
          </w:tcPr>
          <w:p w:rsidR="00B07043" w:rsidRPr="00B07043" w:rsidRDefault="00B07043" w:rsidP="00B07043">
            <w:pPr>
              <w:jc w:val="center"/>
              <w:rPr>
                <w:b/>
                <w:sz w:val="24"/>
                <w:szCs w:val="24"/>
              </w:rPr>
            </w:pPr>
            <w:r>
              <w:rPr>
                <w:b/>
                <w:sz w:val="24"/>
                <w:szCs w:val="24"/>
              </w:rPr>
              <w:t>Case Rate (per 100,000)</w:t>
            </w:r>
          </w:p>
        </w:tc>
      </w:tr>
      <w:tr w:rsidR="00B07043" w:rsidTr="00B07043">
        <w:tc>
          <w:tcPr>
            <w:tcW w:w="3192" w:type="dxa"/>
          </w:tcPr>
          <w:p w:rsidR="00B07043" w:rsidRDefault="00B07043" w:rsidP="00B07043">
            <w:pPr>
              <w:jc w:val="center"/>
              <w:rPr>
                <w:sz w:val="24"/>
                <w:szCs w:val="24"/>
              </w:rPr>
            </w:pPr>
            <w:r>
              <w:rPr>
                <w:sz w:val="24"/>
                <w:szCs w:val="24"/>
              </w:rPr>
              <w:t>2015</w:t>
            </w:r>
          </w:p>
        </w:tc>
        <w:tc>
          <w:tcPr>
            <w:tcW w:w="3192" w:type="dxa"/>
          </w:tcPr>
          <w:p w:rsidR="00B07043" w:rsidRDefault="00B07043" w:rsidP="00B07043">
            <w:pPr>
              <w:jc w:val="center"/>
              <w:rPr>
                <w:sz w:val="24"/>
                <w:szCs w:val="24"/>
              </w:rPr>
            </w:pPr>
            <w:r>
              <w:rPr>
                <w:sz w:val="24"/>
                <w:szCs w:val="24"/>
              </w:rPr>
              <w:t>131</w:t>
            </w:r>
          </w:p>
        </w:tc>
        <w:tc>
          <w:tcPr>
            <w:tcW w:w="3192" w:type="dxa"/>
          </w:tcPr>
          <w:p w:rsidR="00B07043" w:rsidRDefault="00B07043" w:rsidP="00B07043">
            <w:pPr>
              <w:jc w:val="center"/>
              <w:rPr>
                <w:sz w:val="24"/>
                <w:szCs w:val="24"/>
              </w:rPr>
            </w:pPr>
            <w:r>
              <w:rPr>
                <w:sz w:val="24"/>
                <w:szCs w:val="24"/>
              </w:rPr>
              <w:t>2.0</w:t>
            </w:r>
          </w:p>
        </w:tc>
      </w:tr>
      <w:tr w:rsidR="00B07043" w:rsidTr="00B07043">
        <w:tc>
          <w:tcPr>
            <w:tcW w:w="3192" w:type="dxa"/>
          </w:tcPr>
          <w:p w:rsidR="00B07043" w:rsidRDefault="00B07043" w:rsidP="00B07043">
            <w:pPr>
              <w:jc w:val="center"/>
              <w:rPr>
                <w:sz w:val="24"/>
                <w:szCs w:val="24"/>
              </w:rPr>
            </w:pPr>
            <w:r>
              <w:rPr>
                <w:sz w:val="24"/>
                <w:szCs w:val="24"/>
              </w:rPr>
              <w:t>2016</w:t>
            </w:r>
          </w:p>
        </w:tc>
        <w:tc>
          <w:tcPr>
            <w:tcW w:w="3192" w:type="dxa"/>
          </w:tcPr>
          <w:p w:rsidR="00B07043" w:rsidRDefault="00B07043" w:rsidP="00B07043">
            <w:pPr>
              <w:jc w:val="center"/>
              <w:rPr>
                <w:sz w:val="24"/>
                <w:szCs w:val="24"/>
              </w:rPr>
            </w:pPr>
            <w:r>
              <w:rPr>
                <w:sz w:val="24"/>
                <w:szCs w:val="24"/>
              </w:rPr>
              <w:t>103</w:t>
            </w:r>
          </w:p>
        </w:tc>
        <w:tc>
          <w:tcPr>
            <w:tcW w:w="3192" w:type="dxa"/>
          </w:tcPr>
          <w:p w:rsidR="00B07043" w:rsidRDefault="00B07043" w:rsidP="00B07043">
            <w:pPr>
              <w:jc w:val="center"/>
              <w:rPr>
                <w:sz w:val="24"/>
                <w:szCs w:val="24"/>
              </w:rPr>
            </w:pPr>
            <w:r>
              <w:rPr>
                <w:sz w:val="24"/>
                <w:szCs w:val="24"/>
              </w:rPr>
              <w:t>1.5</w:t>
            </w:r>
          </w:p>
        </w:tc>
      </w:tr>
      <w:tr w:rsidR="00B07043" w:rsidTr="00B07043">
        <w:tc>
          <w:tcPr>
            <w:tcW w:w="3192" w:type="dxa"/>
          </w:tcPr>
          <w:p w:rsidR="00B07043" w:rsidRDefault="00B07043" w:rsidP="00B07043">
            <w:pPr>
              <w:jc w:val="center"/>
              <w:rPr>
                <w:sz w:val="24"/>
                <w:szCs w:val="24"/>
              </w:rPr>
            </w:pPr>
            <w:r>
              <w:rPr>
                <w:sz w:val="24"/>
                <w:szCs w:val="24"/>
              </w:rPr>
              <w:t>2017</w:t>
            </w:r>
          </w:p>
        </w:tc>
        <w:tc>
          <w:tcPr>
            <w:tcW w:w="3192" w:type="dxa"/>
          </w:tcPr>
          <w:p w:rsidR="00B07043" w:rsidRDefault="00B07043" w:rsidP="00B07043">
            <w:pPr>
              <w:jc w:val="center"/>
              <w:rPr>
                <w:sz w:val="24"/>
                <w:szCs w:val="24"/>
              </w:rPr>
            </w:pPr>
            <w:r>
              <w:rPr>
                <w:sz w:val="24"/>
                <w:szCs w:val="24"/>
              </w:rPr>
              <w:t>124</w:t>
            </w:r>
          </w:p>
        </w:tc>
        <w:tc>
          <w:tcPr>
            <w:tcW w:w="3192" w:type="dxa"/>
          </w:tcPr>
          <w:p w:rsidR="00B07043" w:rsidRDefault="00B07043" w:rsidP="00B07043">
            <w:pPr>
              <w:jc w:val="center"/>
              <w:rPr>
                <w:sz w:val="24"/>
                <w:szCs w:val="24"/>
              </w:rPr>
            </w:pPr>
            <w:r>
              <w:rPr>
                <w:sz w:val="24"/>
                <w:szCs w:val="24"/>
              </w:rPr>
              <w:t>1.8</w:t>
            </w:r>
          </w:p>
        </w:tc>
      </w:tr>
      <w:tr w:rsidR="00B07043" w:rsidTr="00B07043">
        <w:tc>
          <w:tcPr>
            <w:tcW w:w="3192" w:type="dxa"/>
          </w:tcPr>
          <w:p w:rsidR="00B07043" w:rsidRDefault="00B07043" w:rsidP="00B07043">
            <w:pPr>
              <w:jc w:val="center"/>
              <w:rPr>
                <w:sz w:val="24"/>
                <w:szCs w:val="24"/>
              </w:rPr>
            </w:pPr>
            <w:r>
              <w:rPr>
                <w:sz w:val="24"/>
                <w:szCs w:val="24"/>
              </w:rPr>
              <w:t>2018</w:t>
            </w:r>
          </w:p>
        </w:tc>
        <w:tc>
          <w:tcPr>
            <w:tcW w:w="3192" w:type="dxa"/>
          </w:tcPr>
          <w:p w:rsidR="00B07043" w:rsidRDefault="00B07043" w:rsidP="00B07043">
            <w:pPr>
              <w:jc w:val="center"/>
              <w:rPr>
                <w:sz w:val="24"/>
                <w:szCs w:val="24"/>
              </w:rPr>
            </w:pPr>
            <w:r>
              <w:rPr>
                <w:sz w:val="24"/>
                <w:szCs w:val="24"/>
              </w:rPr>
              <w:t>139</w:t>
            </w:r>
          </w:p>
        </w:tc>
        <w:tc>
          <w:tcPr>
            <w:tcW w:w="3192" w:type="dxa"/>
          </w:tcPr>
          <w:p w:rsidR="00B07043" w:rsidRDefault="00B07043" w:rsidP="00B07043">
            <w:pPr>
              <w:jc w:val="center"/>
              <w:rPr>
                <w:sz w:val="24"/>
                <w:szCs w:val="24"/>
              </w:rPr>
            </w:pPr>
            <w:r>
              <w:rPr>
                <w:sz w:val="24"/>
                <w:szCs w:val="24"/>
              </w:rPr>
              <w:t>2.1</w:t>
            </w:r>
          </w:p>
        </w:tc>
      </w:tr>
      <w:tr w:rsidR="00B07043" w:rsidTr="00B07043">
        <w:tc>
          <w:tcPr>
            <w:tcW w:w="3192" w:type="dxa"/>
          </w:tcPr>
          <w:p w:rsidR="00B07043" w:rsidRDefault="00B07043" w:rsidP="00B07043">
            <w:pPr>
              <w:jc w:val="center"/>
              <w:rPr>
                <w:sz w:val="24"/>
                <w:szCs w:val="24"/>
              </w:rPr>
            </w:pPr>
            <w:r>
              <w:rPr>
                <w:sz w:val="24"/>
                <w:szCs w:val="24"/>
              </w:rPr>
              <w:t>2019</w:t>
            </w:r>
          </w:p>
        </w:tc>
        <w:tc>
          <w:tcPr>
            <w:tcW w:w="3192" w:type="dxa"/>
          </w:tcPr>
          <w:p w:rsidR="00B07043" w:rsidRDefault="00B07043" w:rsidP="00B07043">
            <w:pPr>
              <w:jc w:val="center"/>
              <w:rPr>
                <w:sz w:val="24"/>
                <w:szCs w:val="24"/>
              </w:rPr>
            </w:pPr>
          </w:p>
        </w:tc>
        <w:tc>
          <w:tcPr>
            <w:tcW w:w="3192" w:type="dxa"/>
          </w:tcPr>
          <w:p w:rsidR="00B07043" w:rsidRDefault="00B07043" w:rsidP="00B07043">
            <w:pPr>
              <w:jc w:val="center"/>
              <w:rPr>
                <w:sz w:val="24"/>
                <w:szCs w:val="24"/>
              </w:rPr>
            </w:pPr>
          </w:p>
        </w:tc>
      </w:tr>
    </w:tbl>
    <w:p w:rsidR="00B07043" w:rsidRDefault="00066030" w:rsidP="00B07043">
      <w:pPr>
        <w:spacing w:after="0" w:line="240" w:lineRule="auto"/>
        <w:rPr>
          <w:sz w:val="24"/>
          <w:szCs w:val="24"/>
        </w:rPr>
      </w:pPr>
      <w:r>
        <w:rPr>
          <w:i/>
          <w:sz w:val="24"/>
          <w:szCs w:val="24"/>
          <w:u w:val="single"/>
        </w:rPr>
        <w:t>Source</w:t>
      </w:r>
      <w:r>
        <w:rPr>
          <w:sz w:val="24"/>
          <w:szCs w:val="24"/>
        </w:rPr>
        <w:t>: National TB Indicators Project (NTIP)</w:t>
      </w:r>
      <w:r w:rsidR="009E6CC8">
        <w:rPr>
          <w:sz w:val="24"/>
          <w:szCs w:val="24"/>
        </w:rPr>
        <w:t>, National Electronic Disease Surveillance System (NEDSS)</w:t>
      </w:r>
      <w:r w:rsidR="00CC6912">
        <w:rPr>
          <w:sz w:val="24"/>
          <w:szCs w:val="24"/>
        </w:rPr>
        <w:t xml:space="preserve"> TB Program Area Module (TB PAM)</w:t>
      </w:r>
    </w:p>
    <w:p w:rsidR="00066030" w:rsidRPr="00066030" w:rsidRDefault="00066030" w:rsidP="00B07043">
      <w:pPr>
        <w:spacing w:after="0" w:line="240" w:lineRule="auto"/>
        <w:rPr>
          <w:sz w:val="24"/>
          <w:szCs w:val="24"/>
        </w:rPr>
      </w:pPr>
    </w:p>
    <w:p w:rsidR="00B07043" w:rsidRPr="00480F1C" w:rsidRDefault="00B07043" w:rsidP="00B07043">
      <w:pPr>
        <w:spacing w:after="0" w:line="240" w:lineRule="auto"/>
        <w:rPr>
          <w:b/>
          <w:sz w:val="24"/>
          <w:szCs w:val="24"/>
          <w:u w:val="single"/>
        </w:rPr>
      </w:pPr>
      <w:r w:rsidRPr="00480F1C">
        <w:rPr>
          <w:b/>
          <w:sz w:val="24"/>
          <w:szCs w:val="24"/>
          <w:u w:val="single"/>
        </w:rPr>
        <w:t>Cohort Review</w:t>
      </w:r>
    </w:p>
    <w:p w:rsidR="00B07043" w:rsidRPr="00800176" w:rsidRDefault="00B07043" w:rsidP="00B07043">
      <w:pPr>
        <w:spacing w:after="0" w:line="240" w:lineRule="auto"/>
        <w:rPr>
          <w:b/>
          <w:sz w:val="24"/>
          <w:szCs w:val="24"/>
        </w:rPr>
      </w:pPr>
      <w:r>
        <w:rPr>
          <w:sz w:val="24"/>
          <w:szCs w:val="24"/>
        </w:rPr>
        <w:t>The TTBEP implemented the cohort review process in 2011 with the two (2) largest metropolitan areas, Memphis/Shelby County and Nashville/Davidson County, that consistently account for &gt;50% of the state’s burden of active TB.  Systems issues are identified during each review, and regional TB programs are asked to develop a plan to address each systems issue identifie</w:t>
      </w:r>
      <w:r w:rsidR="00F869E6">
        <w:rPr>
          <w:sz w:val="24"/>
          <w:szCs w:val="24"/>
        </w:rPr>
        <w:t xml:space="preserve">d. </w:t>
      </w:r>
    </w:p>
    <w:p w:rsidR="00B07043" w:rsidRDefault="00B07043" w:rsidP="00B07043">
      <w:pPr>
        <w:spacing w:after="0" w:line="240" w:lineRule="auto"/>
        <w:rPr>
          <w:sz w:val="24"/>
          <w:szCs w:val="24"/>
        </w:rPr>
      </w:pPr>
    </w:p>
    <w:p w:rsidR="00B07043" w:rsidRDefault="002063D8" w:rsidP="00B07043">
      <w:pPr>
        <w:spacing w:after="0" w:line="240" w:lineRule="auto"/>
        <w:rPr>
          <w:b/>
          <w:sz w:val="24"/>
          <w:szCs w:val="24"/>
        </w:rPr>
      </w:pPr>
      <w:r>
        <w:rPr>
          <w:b/>
          <w:sz w:val="24"/>
          <w:szCs w:val="24"/>
        </w:rPr>
        <w:t xml:space="preserve">Table </w:t>
      </w:r>
      <w:r w:rsidR="0041398C">
        <w:rPr>
          <w:b/>
          <w:sz w:val="24"/>
          <w:szCs w:val="24"/>
        </w:rPr>
        <w:t>4</w:t>
      </w:r>
      <w:r w:rsidR="00B07043">
        <w:rPr>
          <w:b/>
          <w:sz w:val="24"/>
          <w:szCs w:val="24"/>
        </w:rPr>
        <w:t xml:space="preserve">.  Tennessee TB </w:t>
      </w:r>
      <w:r w:rsidR="00FB7B9F">
        <w:rPr>
          <w:b/>
          <w:sz w:val="24"/>
          <w:szCs w:val="24"/>
        </w:rPr>
        <w:t xml:space="preserve">Cohort Review Summary, 2015 – 2019 </w:t>
      </w:r>
    </w:p>
    <w:tbl>
      <w:tblPr>
        <w:tblStyle w:val="TableGrid"/>
        <w:tblW w:w="0" w:type="auto"/>
        <w:tblLook w:val="04A0" w:firstRow="1" w:lastRow="0" w:firstColumn="1" w:lastColumn="0" w:noHBand="0" w:noVBand="1"/>
      </w:tblPr>
      <w:tblGrid>
        <w:gridCol w:w="3192"/>
        <w:gridCol w:w="3192"/>
        <w:gridCol w:w="3192"/>
      </w:tblGrid>
      <w:tr w:rsidR="00B0303E" w:rsidRPr="00B07043" w:rsidTr="00702B67">
        <w:tc>
          <w:tcPr>
            <w:tcW w:w="3192" w:type="dxa"/>
            <w:shd w:val="clear" w:color="auto" w:fill="D9D9D9" w:themeFill="background1" w:themeFillShade="D9"/>
          </w:tcPr>
          <w:p w:rsidR="00B0303E" w:rsidRPr="00B07043" w:rsidRDefault="00B0303E" w:rsidP="00702B67">
            <w:pPr>
              <w:jc w:val="center"/>
              <w:rPr>
                <w:b/>
                <w:sz w:val="24"/>
                <w:szCs w:val="24"/>
              </w:rPr>
            </w:pPr>
            <w:r>
              <w:rPr>
                <w:b/>
                <w:sz w:val="24"/>
                <w:szCs w:val="24"/>
              </w:rPr>
              <w:t>Year</w:t>
            </w:r>
          </w:p>
        </w:tc>
        <w:tc>
          <w:tcPr>
            <w:tcW w:w="3192" w:type="dxa"/>
            <w:shd w:val="clear" w:color="auto" w:fill="D9D9D9" w:themeFill="background1" w:themeFillShade="D9"/>
          </w:tcPr>
          <w:p w:rsidR="00B0303E" w:rsidRPr="00B07043" w:rsidRDefault="00B0303E" w:rsidP="00B0303E">
            <w:pPr>
              <w:jc w:val="center"/>
              <w:rPr>
                <w:b/>
                <w:sz w:val="24"/>
                <w:szCs w:val="24"/>
              </w:rPr>
            </w:pPr>
            <w:r>
              <w:rPr>
                <w:b/>
                <w:sz w:val="24"/>
                <w:szCs w:val="24"/>
              </w:rPr>
              <w:t>Number of Cohort Reviews Held</w:t>
            </w:r>
          </w:p>
        </w:tc>
        <w:tc>
          <w:tcPr>
            <w:tcW w:w="3192" w:type="dxa"/>
            <w:shd w:val="clear" w:color="auto" w:fill="D9D9D9" w:themeFill="background1" w:themeFillShade="D9"/>
          </w:tcPr>
          <w:p w:rsidR="00B0303E" w:rsidRPr="00B07043" w:rsidRDefault="00B0303E" w:rsidP="00702B67">
            <w:pPr>
              <w:jc w:val="center"/>
              <w:rPr>
                <w:b/>
                <w:sz w:val="24"/>
                <w:szCs w:val="24"/>
              </w:rPr>
            </w:pPr>
            <w:r>
              <w:rPr>
                <w:b/>
                <w:sz w:val="24"/>
                <w:szCs w:val="24"/>
              </w:rPr>
              <w:t xml:space="preserve">Number of Active TB Patients Reviewed </w:t>
            </w:r>
          </w:p>
        </w:tc>
      </w:tr>
      <w:tr w:rsidR="00B0303E" w:rsidTr="00702B67">
        <w:tc>
          <w:tcPr>
            <w:tcW w:w="3192" w:type="dxa"/>
          </w:tcPr>
          <w:p w:rsidR="00B0303E" w:rsidRDefault="00B0303E" w:rsidP="00702B67">
            <w:pPr>
              <w:jc w:val="center"/>
              <w:rPr>
                <w:sz w:val="24"/>
                <w:szCs w:val="24"/>
              </w:rPr>
            </w:pPr>
            <w:r>
              <w:rPr>
                <w:sz w:val="24"/>
                <w:szCs w:val="24"/>
              </w:rPr>
              <w:t>2015</w:t>
            </w:r>
          </w:p>
        </w:tc>
        <w:tc>
          <w:tcPr>
            <w:tcW w:w="3192" w:type="dxa"/>
          </w:tcPr>
          <w:p w:rsidR="00B0303E" w:rsidRDefault="00B0303E" w:rsidP="00702B67">
            <w:pPr>
              <w:jc w:val="center"/>
              <w:rPr>
                <w:sz w:val="24"/>
                <w:szCs w:val="24"/>
              </w:rPr>
            </w:pPr>
            <w:r>
              <w:rPr>
                <w:sz w:val="24"/>
                <w:szCs w:val="24"/>
              </w:rPr>
              <w:t>6</w:t>
            </w:r>
          </w:p>
        </w:tc>
        <w:tc>
          <w:tcPr>
            <w:tcW w:w="3192" w:type="dxa"/>
          </w:tcPr>
          <w:p w:rsidR="00B0303E" w:rsidRDefault="00B0303E" w:rsidP="00702B67">
            <w:pPr>
              <w:jc w:val="center"/>
              <w:rPr>
                <w:sz w:val="24"/>
                <w:szCs w:val="24"/>
              </w:rPr>
            </w:pPr>
            <w:r>
              <w:rPr>
                <w:sz w:val="24"/>
                <w:szCs w:val="24"/>
              </w:rPr>
              <w:t>69</w:t>
            </w:r>
          </w:p>
        </w:tc>
      </w:tr>
      <w:tr w:rsidR="00B0303E" w:rsidTr="00702B67">
        <w:tc>
          <w:tcPr>
            <w:tcW w:w="3192" w:type="dxa"/>
          </w:tcPr>
          <w:p w:rsidR="00B0303E" w:rsidRDefault="00B0303E" w:rsidP="00702B67">
            <w:pPr>
              <w:jc w:val="center"/>
              <w:rPr>
                <w:sz w:val="24"/>
                <w:szCs w:val="24"/>
              </w:rPr>
            </w:pPr>
            <w:r>
              <w:rPr>
                <w:sz w:val="24"/>
                <w:szCs w:val="24"/>
              </w:rPr>
              <w:t>2016</w:t>
            </w:r>
          </w:p>
        </w:tc>
        <w:tc>
          <w:tcPr>
            <w:tcW w:w="3192" w:type="dxa"/>
          </w:tcPr>
          <w:p w:rsidR="00B0303E" w:rsidRDefault="00B0303E" w:rsidP="00702B67">
            <w:pPr>
              <w:jc w:val="center"/>
              <w:rPr>
                <w:sz w:val="24"/>
                <w:szCs w:val="24"/>
              </w:rPr>
            </w:pPr>
            <w:r>
              <w:rPr>
                <w:sz w:val="24"/>
                <w:szCs w:val="24"/>
              </w:rPr>
              <w:t>4</w:t>
            </w:r>
          </w:p>
        </w:tc>
        <w:tc>
          <w:tcPr>
            <w:tcW w:w="3192" w:type="dxa"/>
          </w:tcPr>
          <w:p w:rsidR="00B0303E" w:rsidRDefault="00B0303E" w:rsidP="00702B67">
            <w:pPr>
              <w:jc w:val="center"/>
              <w:rPr>
                <w:sz w:val="24"/>
                <w:szCs w:val="24"/>
              </w:rPr>
            </w:pPr>
            <w:r>
              <w:rPr>
                <w:sz w:val="24"/>
                <w:szCs w:val="24"/>
              </w:rPr>
              <w:t>48</w:t>
            </w:r>
          </w:p>
        </w:tc>
      </w:tr>
      <w:tr w:rsidR="00B0303E" w:rsidTr="00702B67">
        <w:tc>
          <w:tcPr>
            <w:tcW w:w="3192" w:type="dxa"/>
          </w:tcPr>
          <w:p w:rsidR="00B0303E" w:rsidRDefault="00B0303E" w:rsidP="00702B67">
            <w:pPr>
              <w:jc w:val="center"/>
              <w:rPr>
                <w:sz w:val="24"/>
                <w:szCs w:val="24"/>
              </w:rPr>
            </w:pPr>
            <w:r>
              <w:rPr>
                <w:sz w:val="24"/>
                <w:szCs w:val="24"/>
              </w:rPr>
              <w:t>2017</w:t>
            </w:r>
          </w:p>
        </w:tc>
        <w:tc>
          <w:tcPr>
            <w:tcW w:w="3192" w:type="dxa"/>
          </w:tcPr>
          <w:p w:rsidR="00B0303E" w:rsidRDefault="00B0303E" w:rsidP="00702B67">
            <w:pPr>
              <w:jc w:val="center"/>
              <w:rPr>
                <w:sz w:val="24"/>
                <w:szCs w:val="24"/>
              </w:rPr>
            </w:pPr>
            <w:r>
              <w:rPr>
                <w:sz w:val="24"/>
                <w:szCs w:val="24"/>
              </w:rPr>
              <w:t>4</w:t>
            </w:r>
          </w:p>
        </w:tc>
        <w:tc>
          <w:tcPr>
            <w:tcW w:w="3192" w:type="dxa"/>
          </w:tcPr>
          <w:p w:rsidR="00B0303E" w:rsidRDefault="00B0303E" w:rsidP="00702B67">
            <w:pPr>
              <w:jc w:val="center"/>
              <w:rPr>
                <w:sz w:val="24"/>
                <w:szCs w:val="24"/>
              </w:rPr>
            </w:pPr>
            <w:r>
              <w:rPr>
                <w:sz w:val="24"/>
                <w:szCs w:val="24"/>
              </w:rPr>
              <w:t>60</w:t>
            </w:r>
          </w:p>
        </w:tc>
      </w:tr>
      <w:tr w:rsidR="00B0303E" w:rsidTr="00702B67">
        <w:tc>
          <w:tcPr>
            <w:tcW w:w="3192" w:type="dxa"/>
          </w:tcPr>
          <w:p w:rsidR="00B0303E" w:rsidRDefault="00B0303E" w:rsidP="00702B67">
            <w:pPr>
              <w:jc w:val="center"/>
              <w:rPr>
                <w:sz w:val="24"/>
                <w:szCs w:val="24"/>
              </w:rPr>
            </w:pPr>
            <w:r>
              <w:rPr>
                <w:sz w:val="24"/>
                <w:szCs w:val="24"/>
              </w:rPr>
              <w:t>2018</w:t>
            </w:r>
          </w:p>
        </w:tc>
        <w:tc>
          <w:tcPr>
            <w:tcW w:w="3192" w:type="dxa"/>
          </w:tcPr>
          <w:p w:rsidR="00B0303E" w:rsidRDefault="00B0303E" w:rsidP="00702B67">
            <w:pPr>
              <w:jc w:val="center"/>
              <w:rPr>
                <w:sz w:val="24"/>
                <w:szCs w:val="24"/>
              </w:rPr>
            </w:pPr>
            <w:r>
              <w:rPr>
                <w:sz w:val="24"/>
                <w:szCs w:val="24"/>
              </w:rPr>
              <w:t>3</w:t>
            </w:r>
          </w:p>
        </w:tc>
        <w:tc>
          <w:tcPr>
            <w:tcW w:w="3192" w:type="dxa"/>
          </w:tcPr>
          <w:p w:rsidR="00B0303E" w:rsidRDefault="00B0303E" w:rsidP="00702B67">
            <w:pPr>
              <w:jc w:val="center"/>
              <w:rPr>
                <w:sz w:val="24"/>
                <w:szCs w:val="24"/>
              </w:rPr>
            </w:pPr>
            <w:r>
              <w:rPr>
                <w:sz w:val="24"/>
                <w:szCs w:val="24"/>
              </w:rPr>
              <w:t>45</w:t>
            </w:r>
          </w:p>
        </w:tc>
      </w:tr>
      <w:tr w:rsidR="00B0303E" w:rsidTr="00702B67">
        <w:tc>
          <w:tcPr>
            <w:tcW w:w="3192" w:type="dxa"/>
          </w:tcPr>
          <w:p w:rsidR="00B0303E" w:rsidRDefault="00B0303E" w:rsidP="00702B67">
            <w:pPr>
              <w:jc w:val="center"/>
              <w:rPr>
                <w:sz w:val="24"/>
                <w:szCs w:val="24"/>
              </w:rPr>
            </w:pPr>
            <w:r>
              <w:rPr>
                <w:sz w:val="24"/>
                <w:szCs w:val="24"/>
              </w:rPr>
              <w:t>2019</w:t>
            </w:r>
          </w:p>
        </w:tc>
        <w:tc>
          <w:tcPr>
            <w:tcW w:w="3192" w:type="dxa"/>
          </w:tcPr>
          <w:p w:rsidR="00B0303E" w:rsidRDefault="00B0303E" w:rsidP="00702B67">
            <w:pPr>
              <w:jc w:val="center"/>
              <w:rPr>
                <w:sz w:val="24"/>
                <w:szCs w:val="24"/>
              </w:rPr>
            </w:pPr>
            <w:r>
              <w:rPr>
                <w:sz w:val="24"/>
                <w:szCs w:val="24"/>
              </w:rPr>
              <w:t>3</w:t>
            </w:r>
          </w:p>
        </w:tc>
        <w:tc>
          <w:tcPr>
            <w:tcW w:w="3192" w:type="dxa"/>
          </w:tcPr>
          <w:p w:rsidR="00B0303E" w:rsidRDefault="00B0303E" w:rsidP="00702B67">
            <w:pPr>
              <w:jc w:val="center"/>
              <w:rPr>
                <w:sz w:val="24"/>
                <w:szCs w:val="24"/>
              </w:rPr>
            </w:pPr>
            <w:r>
              <w:rPr>
                <w:sz w:val="24"/>
                <w:szCs w:val="24"/>
              </w:rPr>
              <w:t>43</w:t>
            </w:r>
          </w:p>
        </w:tc>
      </w:tr>
    </w:tbl>
    <w:p w:rsidR="00B07043" w:rsidRDefault="00B07043" w:rsidP="00B07043">
      <w:pPr>
        <w:spacing w:after="0" w:line="240" w:lineRule="auto"/>
        <w:rPr>
          <w:sz w:val="24"/>
          <w:szCs w:val="24"/>
        </w:rPr>
      </w:pPr>
    </w:p>
    <w:p w:rsidR="009E6CC8" w:rsidRPr="00F869E6" w:rsidRDefault="00FD336F" w:rsidP="00B07043">
      <w:pPr>
        <w:spacing w:after="0" w:line="240" w:lineRule="auto"/>
        <w:rPr>
          <w:sz w:val="24"/>
          <w:szCs w:val="24"/>
        </w:rPr>
      </w:pPr>
      <w:r w:rsidRPr="00F869E6">
        <w:rPr>
          <w:sz w:val="24"/>
          <w:szCs w:val="24"/>
        </w:rPr>
        <w:t xml:space="preserve">Consistent themes of systems issues identified include: </w:t>
      </w:r>
      <w:r w:rsidR="00667E97" w:rsidRPr="00F869E6">
        <w:rPr>
          <w:sz w:val="24"/>
          <w:szCs w:val="24"/>
        </w:rPr>
        <w:t>need for improvement in contact investigations (e.g., expanding contact investigation if positivity rate &gt;10%, timely initiation and completion, etc.), delayed notification to the public health department of persons with</w:t>
      </w:r>
    </w:p>
    <w:p w:rsidR="009E6CC8" w:rsidRPr="00F869E6" w:rsidRDefault="009E6CC8" w:rsidP="00B07043">
      <w:pPr>
        <w:spacing w:after="0" w:line="240" w:lineRule="auto"/>
        <w:rPr>
          <w:sz w:val="24"/>
          <w:szCs w:val="24"/>
        </w:rPr>
      </w:pPr>
    </w:p>
    <w:p w:rsidR="009E6CC8" w:rsidRPr="00F869E6" w:rsidRDefault="00667E97" w:rsidP="00B07043">
      <w:pPr>
        <w:spacing w:after="0" w:line="240" w:lineRule="auto"/>
        <w:rPr>
          <w:sz w:val="24"/>
          <w:szCs w:val="24"/>
        </w:rPr>
      </w:pPr>
      <w:r w:rsidRPr="00F869E6">
        <w:rPr>
          <w:sz w:val="24"/>
          <w:szCs w:val="24"/>
        </w:rPr>
        <w:t xml:space="preserve"> </w:t>
      </w:r>
    </w:p>
    <w:p w:rsidR="00FD336F" w:rsidRDefault="00667E97" w:rsidP="00B07043">
      <w:pPr>
        <w:spacing w:after="0" w:line="240" w:lineRule="auto"/>
        <w:rPr>
          <w:sz w:val="24"/>
          <w:szCs w:val="24"/>
        </w:rPr>
      </w:pPr>
      <w:r w:rsidRPr="00F869E6">
        <w:rPr>
          <w:sz w:val="24"/>
          <w:szCs w:val="24"/>
        </w:rPr>
        <w:t>suspected or confirmed TB from outside providers, and timely use of therapeutic drug monitoring (TDM) for patients with risk factors for malabsorption.</w:t>
      </w:r>
    </w:p>
    <w:p w:rsidR="00FD336F" w:rsidRDefault="00FD336F" w:rsidP="00B07043">
      <w:pPr>
        <w:spacing w:after="0" w:line="240" w:lineRule="auto"/>
        <w:rPr>
          <w:sz w:val="24"/>
          <w:szCs w:val="24"/>
        </w:rPr>
      </w:pPr>
    </w:p>
    <w:p w:rsidR="00F9427C" w:rsidRDefault="002F65C4" w:rsidP="00B07043">
      <w:pPr>
        <w:spacing w:after="0" w:line="240" w:lineRule="auto"/>
        <w:rPr>
          <w:b/>
          <w:sz w:val="24"/>
          <w:szCs w:val="24"/>
          <w:u w:val="single"/>
        </w:rPr>
      </w:pPr>
      <w:r w:rsidRPr="00480F1C">
        <w:rPr>
          <w:b/>
          <w:sz w:val="24"/>
          <w:szCs w:val="24"/>
          <w:u w:val="single"/>
        </w:rPr>
        <w:t>Genotyping and Recent Transmission</w:t>
      </w:r>
    </w:p>
    <w:p w:rsidR="00AE1E9F" w:rsidRDefault="00AE1E9F" w:rsidP="00B07043">
      <w:pPr>
        <w:spacing w:after="0" w:line="240" w:lineRule="auto"/>
        <w:rPr>
          <w:sz w:val="24"/>
          <w:szCs w:val="24"/>
        </w:rPr>
      </w:pPr>
      <w:r>
        <w:rPr>
          <w:sz w:val="24"/>
          <w:szCs w:val="24"/>
        </w:rPr>
        <w:t>During the grant period (2015-2019), Tennessee had two (2) clusters that designated as a “High” alert level based on a representation of the 3-year LLR (high = 3-year LLT of 10+).  GENType 07350 (G07350) is an ongoing cluster in Memphis/Shelby County.  Characteristics of this cluster include: U.S.-born (100%), African-American (100%), substance abuse (46.2%), INH-</w:t>
      </w:r>
    </w:p>
    <w:p w:rsidR="00066030" w:rsidRDefault="00AE1E9F" w:rsidP="00B07043">
      <w:pPr>
        <w:spacing w:after="0" w:line="240" w:lineRule="auto"/>
        <w:rPr>
          <w:sz w:val="24"/>
          <w:szCs w:val="24"/>
        </w:rPr>
      </w:pPr>
      <w:r>
        <w:rPr>
          <w:sz w:val="24"/>
          <w:szCs w:val="24"/>
        </w:rPr>
        <w:t xml:space="preserve">resistance (46.2%), and HIV-positive (15.4%).  The other high alert cluster was GENType 15975 (G15975) located in Knox County and surrounding counties.  </w:t>
      </w:r>
      <w:r w:rsidR="00066030">
        <w:rPr>
          <w:sz w:val="24"/>
          <w:szCs w:val="24"/>
        </w:rPr>
        <w:t>Characteristics of this cluster include: U.S.-born (100%), white (75.0%), homeless within the past year from diagnosis (62.5%), resident of a correctional facility at the time of diagnosis (50.0%), and substance abuse (75.0%).  Clusters such as these pose difficulties for contact investigation and source case finding due to the transient nature of the population and issues with substance abuse.  Contact investigations into clusters such as these two</w:t>
      </w:r>
      <w:r w:rsidR="00F623B1">
        <w:rPr>
          <w:sz w:val="24"/>
          <w:szCs w:val="24"/>
        </w:rPr>
        <w:t xml:space="preserve"> (2)</w:t>
      </w:r>
      <w:r w:rsidR="00066030">
        <w:rPr>
          <w:sz w:val="24"/>
          <w:szCs w:val="24"/>
        </w:rPr>
        <w:t xml:space="preserve"> are very resource-intensive.</w:t>
      </w:r>
    </w:p>
    <w:p w:rsidR="00066030" w:rsidRDefault="00066030" w:rsidP="00B07043">
      <w:pPr>
        <w:spacing w:after="0" w:line="240" w:lineRule="auto"/>
        <w:rPr>
          <w:sz w:val="24"/>
          <w:szCs w:val="24"/>
        </w:rPr>
      </w:pPr>
    </w:p>
    <w:p w:rsidR="00617BDA" w:rsidRDefault="00066030" w:rsidP="00B07043">
      <w:pPr>
        <w:spacing w:after="0" w:line="240" w:lineRule="auto"/>
        <w:rPr>
          <w:sz w:val="24"/>
          <w:szCs w:val="24"/>
        </w:rPr>
      </w:pPr>
      <w:r>
        <w:rPr>
          <w:b/>
          <w:sz w:val="24"/>
          <w:szCs w:val="24"/>
        </w:rPr>
        <w:t xml:space="preserve">Table </w:t>
      </w:r>
      <w:r w:rsidR="0041398C">
        <w:rPr>
          <w:b/>
          <w:sz w:val="24"/>
          <w:szCs w:val="24"/>
        </w:rPr>
        <w:t>5</w:t>
      </w:r>
      <w:r>
        <w:rPr>
          <w:sz w:val="24"/>
          <w:szCs w:val="24"/>
        </w:rPr>
        <w:t xml:space="preserve"> shows estimates of recent transmission 2015-2018</w:t>
      </w:r>
      <w:r w:rsidR="00702B67">
        <w:rPr>
          <w:sz w:val="24"/>
          <w:szCs w:val="24"/>
        </w:rPr>
        <w:t xml:space="preserve"> and </w:t>
      </w:r>
      <w:r w:rsidR="00702B67">
        <w:rPr>
          <w:b/>
          <w:sz w:val="24"/>
          <w:szCs w:val="24"/>
        </w:rPr>
        <w:t xml:space="preserve">Table </w:t>
      </w:r>
      <w:r w:rsidR="002063D8">
        <w:rPr>
          <w:b/>
          <w:sz w:val="24"/>
          <w:szCs w:val="24"/>
        </w:rPr>
        <w:t>5</w:t>
      </w:r>
      <w:r w:rsidR="00702B67">
        <w:rPr>
          <w:b/>
          <w:sz w:val="24"/>
          <w:szCs w:val="24"/>
        </w:rPr>
        <w:t xml:space="preserve"> </w:t>
      </w:r>
      <w:r w:rsidR="00702B67">
        <w:rPr>
          <w:sz w:val="24"/>
          <w:szCs w:val="24"/>
        </w:rPr>
        <w:t>shows the number of clusters by size reported during the grant timeframe</w:t>
      </w:r>
      <w:r w:rsidR="00617BDA">
        <w:rPr>
          <w:sz w:val="24"/>
          <w:szCs w:val="24"/>
        </w:rPr>
        <w:t>.</w:t>
      </w:r>
    </w:p>
    <w:p w:rsidR="00617BDA" w:rsidRDefault="00617BDA" w:rsidP="00B07043">
      <w:pPr>
        <w:spacing w:after="0" w:line="240" w:lineRule="auto"/>
        <w:rPr>
          <w:sz w:val="24"/>
          <w:szCs w:val="24"/>
        </w:rPr>
      </w:pPr>
    </w:p>
    <w:p w:rsidR="00617BDA" w:rsidRDefault="002063D8" w:rsidP="00B07043">
      <w:pPr>
        <w:spacing w:after="0" w:line="240" w:lineRule="auto"/>
        <w:rPr>
          <w:b/>
          <w:sz w:val="24"/>
          <w:szCs w:val="24"/>
        </w:rPr>
      </w:pPr>
      <w:r>
        <w:rPr>
          <w:b/>
          <w:sz w:val="24"/>
          <w:szCs w:val="24"/>
        </w:rPr>
        <w:t xml:space="preserve">Table </w:t>
      </w:r>
      <w:r w:rsidR="0041398C">
        <w:rPr>
          <w:b/>
          <w:sz w:val="24"/>
          <w:szCs w:val="24"/>
        </w:rPr>
        <w:t>5</w:t>
      </w:r>
      <w:r w:rsidR="00617BDA">
        <w:rPr>
          <w:b/>
          <w:sz w:val="24"/>
          <w:szCs w:val="24"/>
        </w:rPr>
        <w:t>.  Estimates of Recent Tr</w:t>
      </w:r>
      <w:r w:rsidR="00FB7B9F">
        <w:rPr>
          <w:b/>
          <w:sz w:val="24"/>
          <w:szCs w:val="24"/>
        </w:rPr>
        <w:t xml:space="preserve">ansmission—Tennessee, 2015 – 2018 </w:t>
      </w:r>
    </w:p>
    <w:tbl>
      <w:tblPr>
        <w:tblStyle w:val="TableGrid"/>
        <w:tblW w:w="0" w:type="auto"/>
        <w:tblLook w:val="04A0" w:firstRow="1" w:lastRow="0" w:firstColumn="1" w:lastColumn="0" w:noHBand="0" w:noVBand="1"/>
      </w:tblPr>
      <w:tblGrid>
        <w:gridCol w:w="1306"/>
        <w:gridCol w:w="2132"/>
        <w:gridCol w:w="2880"/>
        <w:gridCol w:w="3258"/>
      </w:tblGrid>
      <w:tr w:rsidR="00617BDA" w:rsidRPr="00617BDA" w:rsidTr="00617BDA">
        <w:tc>
          <w:tcPr>
            <w:tcW w:w="1306" w:type="dxa"/>
            <w:shd w:val="clear" w:color="auto" w:fill="D9D9D9" w:themeFill="background1" w:themeFillShade="D9"/>
            <w:vAlign w:val="center"/>
          </w:tcPr>
          <w:p w:rsidR="00617BDA" w:rsidRPr="00617BDA" w:rsidRDefault="00617BDA" w:rsidP="00617BDA">
            <w:pPr>
              <w:jc w:val="center"/>
              <w:rPr>
                <w:b/>
                <w:sz w:val="24"/>
                <w:szCs w:val="24"/>
              </w:rPr>
            </w:pPr>
            <w:r>
              <w:rPr>
                <w:b/>
                <w:sz w:val="24"/>
                <w:szCs w:val="24"/>
              </w:rPr>
              <w:t>Timeframe</w:t>
            </w:r>
          </w:p>
        </w:tc>
        <w:tc>
          <w:tcPr>
            <w:tcW w:w="2132" w:type="dxa"/>
            <w:shd w:val="clear" w:color="auto" w:fill="D9D9D9" w:themeFill="background1" w:themeFillShade="D9"/>
            <w:vAlign w:val="center"/>
          </w:tcPr>
          <w:p w:rsidR="00617BDA" w:rsidRPr="00617BDA" w:rsidRDefault="00617BDA" w:rsidP="00617BDA">
            <w:pPr>
              <w:jc w:val="center"/>
              <w:rPr>
                <w:b/>
                <w:sz w:val="24"/>
                <w:szCs w:val="24"/>
                <w:vertAlign w:val="superscript"/>
              </w:rPr>
            </w:pPr>
            <w:r>
              <w:rPr>
                <w:b/>
                <w:sz w:val="24"/>
                <w:szCs w:val="24"/>
              </w:rPr>
              <w:t>Number of Genotyped Cases</w:t>
            </w:r>
            <w:r>
              <w:rPr>
                <w:b/>
                <w:sz w:val="24"/>
                <w:szCs w:val="24"/>
                <w:vertAlign w:val="superscript"/>
              </w:rPr>
              <w:t>*</w:t>
            </w:r>
          </w:p>
        </w:tc>
        <w:tc>
          <w:tcPr>
            <w:tcW w:w="2880" w:type="dxa"/>
            <w:shd w:val="clear" w:color="auto" w:fill="D9D9D9" w:themeFill="background1" w:themeFillShade="D9"/>
            <w:vAlign w:val="center"/>
          </w:tcPr>
          <w:p w:rsidR="00617BDA" w:rsidRPr="00617BDA" w:rsidRDefault="00617BDA" w:rsidP="00617BDA">
            <w:pPr>
              <w:jc w:val="center"/>
              <w:rPr>
                <w:b/>
                <w:sz w:val="24"/>
                <w:szCs w:val="24"/>
              </w:rPr>
            </w:pPr>
            <w:r>
              <w:rPr>
                <w:b/>
                <w:sz w:val="24"/>
                <w:szCs w:val="24"/>
              </w:rPr>
              <w:t>Cases Attributed to Recent Transmission</w:t>
            </w:r>
            <w:r>
              <w:rPr>
                <w:b/>
                <w:sz w:val="24"/>
                <w:szCs w:val="24"/>
                <w:vertAlign w:val="superscript"/>
              </w:rPr>
              <w:t>**</w:t>
            </w:r>
            <w:r>
              <w:rPr>
                <w:b/>
                <w:sz w:val="24"/>
                <w:szCs w:val="24"/>
              </w:rPr>
              <w:t xml:space="preserve"> (%)</w:t>
            </w:r>
          </w:p>
        </w:tc>
        <w:tc>
          <w:tcPr>
            <w:tcW w:w="3258" w:type="dxa"/>
            <w:shd w:val="clear" w:color="auto" w:fill="D9D9D9" w:themeFill="background1" w:themeFillShade="D9"/>
            <w:vAlign w:val="center"/>
          </w:tcPr>
          <w:p w:rsidR="00617BDA" w:rsidRPr="00617BDA" w:rsidRDefault="00617BDA" w:rsidP="00617BDA">
            <w:pPr>
              <w:jc w:val="center"/>
              <w:rPr>
                <w:b/>
                <w:sz w:val="24"/>
                <w:szCs w:val="24"/>
              </w:rPr>
            </w:pPr>
            <w:r>
              <w:rPr>
                <w:b/>
                <w:sz w:val="24"/>
                <w:szCs w:val="24"/>
              </w:rPr>
              <w:t>Cases Attributed to Extensive Recent Transmission</w:t>
            </w:r>
            <w:r>
              <w:rPr>
                <w:rFonts w:cstheme="minorHAnsi"/>
                <w:b/>
                <w:sz w:val="24"/>
                <w:szCs w:val="24"/>
                <w:vertAlign w:val="superscript"/>
              </w:rPr>
              <w:t>§</w:t>
            </w:r>
            <w:r>
              <w:rPr>
                <w:b/>
                <w:sz w:val="24"/>
                <w:szCs w:val="24"/>
              </w:rPr>
              <w:t xml:space="preserve"> (%)</w:t>
            </w:r>
          </w:p>
        </w:tc>
      </w:tr>
      <w:tr w:rsidR="00617BDA" w:rsidTr="00617BDA">
        <w:tc>
          <w:tcPr>
            <w:tcW w:w="1306" w:type="dxa"/>
            <w:vAlign w:val="center"/>
          </w:tcPr>
          <w:p w:rsidR="00617BDA" w:rsidRDefault="00617BDA" w:rsidP="00617BDA">
            <w:pPr>
              <w:jc w:val="center"/>
              <w:rPr>
                <w:sz w:val="24"/>
                <w:szCs w:val="24"/>
              </w:rPr>
            </w:pPr>
            <w:r>
              <w:rPr>
                <w:sz w:val="24"/>
                <w:szCs w:val="24"/>
              </w:rPr>
              <w:t>2015-2016</w:t>
            </w:r>
          </w:p>
        </w:tc>
        <w:tc>
          <w:tcPr>
            <w:tcW w:w="2132" w:type="dxa"/>
            <w:vAlign w:val="center"/>
          </w:tcPr>
          <w:p w:rsidR="00617BDA" w:rsidRDefault="00617BDA" w:rsidP="00617BDA">
            <w:pPr>
              <w:jc w:val="center"/>
              <w:rPr>
                <w:sz w:val="24"/>
                <w:szCs w:val="24"/>
              </w:rPr>
            </w:pPr>
            <w:r>
              <w:rPr>
                <w:sz w:val="24"/>
                <w:szCs w:val="24"/>
              </w:rPr>
              <w:t>160</w:t>
            </w:r>
          </w:p>
        </w:tc>
        <w:tc>
          <w:tcPr>
            <w:tcW w:w="2880" w:type="dxa"/>
            <w:vAlign w:val="center"/>
          </w:tcPr>
          <w:p w:rsidR="00617BDA" w:rsidRDefault="00617BDA" w:rsidP="00617BDA">
            <w:pPr>
              <w:jc w:val="center"/>
              <w:rPr>
                <w:sz w:val="24"/>
                <w:szCs w:val="24"/>
              </w:rPr>
            </w:pPr>
            <w:r>
              <w:rPr>
                <w:sz w:val="24"/>
                <w:szCs w:val="24"/>
              </w:rPr>
              <w:t>34 (21.3)</w:t>
            </w:r>
          </w:p>
        </w:tc>
        <w:tc>
          <w:tcPr>
            <w:tcW w:w="3258" w:type="dxa"/>
            <w:vAlign w:val="center"/>
          </w:tcPr>
          <w:p w:rsidR="00617BDA" w:rsidRDefault="00617BDA" w:rsidP="00617BDA">
            <w:pPr>
              <w:jc w:val="center"/>
              <w:rPr>
                <w:sz w:val="24"/>
                <w:szCs w:val="24"/>
              </w:rPr>
            </w:pPr>
            <w:r>
              <w:rPr>
                <w:sz w:val="24"/>
                <w:szCs w:val="24"/>
              </w:rPr>
              <w:t>19 (11.9)</w:t>
            </w:r>
          </w:p>
        </w:tc>
      </w:tr>
      <w:tr w:rsidR="00617BDA" w:rsidTr="00617BDA">
        <w:tc>
          <w:tcPr>
            <w:tcW w:w="1306" w:type="dxa"/>
            <w:vAlign w:val="center"/>
          </w:tcPr>
          <w:p w:rsidR="00617BDA" w:rsidRDefault="00617BDA" w:rsidP="00617BDA">
            <w:pPr>
              <w:jc w:val="center"/>
              <w:rPr>
                <w:sz w:val="24"/>
                <w:szCs w:val="24"/>
              </w:rPr>
            </w:pPr>
            <w:r>
              <w:rPr>
                <w:sz w:val="24"/>
                <w:szCs w:val="24"/>
              </w:rPr>
              <w:t>2016-2017</w:t>
            </w:r>
          </w:p>
        </w:tc>
        <w:tc>
          <w:tcPr>
            <w:tcW w:w="2132" w:type="dxa"/>
            <w:vAlign w:val="center"/>
          </w:tcPr>
          <w:p w:rsidR="00617BDA" w:rsidRDefault="00617BDA" w:rsidP="00617BDA">
            <w:pPr>
              <w:jc w:val="center"/>
              <w:rPr>
                <w:sz w:val="24"/>
                <w:szCs w:val="24"/>
              </w:rPr>
            </w:pPr>
            <w:r>
              <w:rPr>
                <w:sz w:val="24"/>
                <w:szCs w:val="24"/>
              </w:rPr>
              <w:t>171</w:t>
            </w:r>
          </w:p>
        </w:tc>
        <w:tc>
          <w:tcPr>
            <w:tcW w:w="2880" w:type="dxa"/>
            <w:vAlign w:val="center"/>
          </w:tcPr>
          <w:p w:rsidR="00617BDA" w:rsidRDefault="00617BDA" w:rsidP="00617BDA">
            <w:pPr>
              <w:jc w:val="center"/>
              <w:rPr>
                <w:sz w:val="24"/>
                <w:szCs w:val="24"/>
              </w:rPr>
            </w:pPr>
            <w:r>
              <w:rPr>
                <w:sz w:val="24"/>
                <w:szCs w:val="24"/>
              </w:rPr>
              <w:t>30 (17.5)</w:t>
            </w:r>
          </w:p>
        </w:tc>
        <w:tc>
          <w:tcPr>
            <w:tcW w:w="3258" w:type="dxa"/>
            <w:vAlign w:val="center"/>
          </w:tcPr>
          <w:p w:rsidR="00617BDA" w:rsidRDefault="00617BDA" w:rsidP="00617BDA">
            <w:pPr>
              <w:jc w:val="center"/>
              <w:rPr>
                <w:sz w:val="24"/>
                <w:szCs w:val="24"/>
              </w:rPr>
            </w:pPr>
            <w:r>
              <w:rPr>
                <w:sz w:val="24"/>
                <w:szCs w:val="24"/>
              </w:rPr>
              <w:t>17 (9.9)</w:t>
            </w:r>
          </w:p>
        </w:tc>
      </w:tr>
      <w:tr w:rsidR="00617BDA" w:rsidTr="00617BDA">
        <w:tc>
          <w:tcPr>
            <w:tcW w:w="1306" w:type="dxa"/>
            <w:vAlign w:val="center"/>
          </w:tcPr>
          <w:p w:rsidR="00617BDA" w:rsidRDefault="00AA6485" w:rsidP="00617BDA">
            <w:pPr>
              <w:jc w:val="center"/>
              <w:rPr>
                <w:sz w:val="24"/>
                <w:szCs w:val="24"/>
              </w:rPr>
            </w:pPr>
            <w:r>
              <w:rPr>
                <w:sz w:val="24"/>
                <w:szCs w:val="24"/>
              </w:rPr>
              <w:t>2017-2018</w:t>
            </w:r>
          </w:p>
        </w:tc>
        <w:tc>
          <w:tcPr>
            <w:tcW w:w="2132" w:type="dxa"/>
            <w:vAlign w:val="center"/>
          </w:tcPr>
          <w:p w:rsidR="00617BDA" w:rsidRDefault="00AA6485" w:rsidP="00617BDA">
            <w:pPr>
              <w:jc w:val="center"/>
              <w:rPr>
                <w:sz w:val="24"/>
                <w:szCs w:val="24"/>
              </w:rPr>
            </w:pPr>
            <w:r>
              <w:rPr>
                <w:sz w:val="24"/>
                <w:szCs w:val="24"/>
              </w:rPr>
              <w:t>182</w:t>
            </w:r>
          </w:p>
        </w:tc>
        <w:tc>
          <w:tcPr>
            <w:tcW w:w="2880" w:type="dxa"/>
            <w:vAlign w:val="center"/>
          </w:tcPr>
          <w:p w:rsidR="00617BDA" w:rsidRDefault="00AA6485" w:rsidP="00617BDA">
            <w:pPr>
              <w:jc w:val="center"/>
              <w:rPr>
                <w:sz w:val="24"/>
                <w:szCs w:val="24"/>
              </w:rPr>
            </w:pPr>
            <w:r>
              <w:rPr>
                <w:sz w:val="24"/>
                <w:szCs w:val="24"/>
              </w:rPr>
              <w:t>31 (17.0)</w:t>
            </w:r>
          </w:p>
        </w:tc>
        <w:tc>
          <w:tcPr>
            <w:tcW w:w="3258" w:type="dxa"/>
            <w:vAlign w:val="center"/>
          </w:tcPr>
          <w:p w:rsidR="00617BDA" w:rsidRDefault="00AA6485" w:rsidP="00617BDA">
            <w:pPr>
              <w:jc w:val="center"/>
              <w:rPr>
                <w:sz w:val="24"/>
                <w:szCs w:val="24"/>
              </w:rPr>
            </w:pPr>
            <w:r>
              <w:rPr>
                <w:sz w:val="24"/>
                <w:szCs w:val="24"/>
              </w:rPr>
              <w:t>13 (7.1)</w:t>
            </w:r>
          </w:p>
        </w:tc>
      </w:tr>
    </w:tbl>
    <w:p w:rsidR="00AA6485" w:rsidRDefault="00AA6485" w:rsidP="00B07043">
      <w:pPr>
        <w:spacing w:after="0" w:line="240" w:lineRule="auto"/>
        <w:rPr>
          <w:sz w:val="24"/>
          <w:szCs w:val="24"/>
        </w:rPr>
      </w:pPr>
      <w:r>
        <w:rPr>
          <w:sz w:val="24"/>
          <w:szCs w:val="24"/>
          <w:vertAlign w:val="superscript"/>
        </w:rPr>
        <w:t>*</w:t>
      </w:r>
      <w:r>
        <w:rPr>
          <w:sz w:val="24"/>
          <w:szCs w:val="24"/>
        </w:rPr>
        <w:t xml:space="preserve">Total number of </w:t>
      </w:r>
      <w:r>
        <w:rPr>
          <w:i/>
          <w:sz w:val="24"/>
          <w:szCs w:val="24"/>
        </w:rPr>
        <w:t>M. tuberculosis</w:t>
      </w:r>
      <w:r>
        <w:rPr>
          <w:sz w:val="24"/>
          <w:szCs w:val="24"/>
        </w:rPr>
        <w:t xml:space="preserve"> genotyped cases who are eligible to be evaluated for recent transmission (i.e., complete data for the plausible-source case method’s algorithm).</w:t>
      </w:r>
    </w:p>
    <w:p w:rsidR="00AE1E9F" w:rsidRDefault="00AA6485" w:rsidP="00B07043">
      <w:pPr>
        <w:spacing w:after="0" w:line="240" w:lineRule="auto"/>
        <w:rPr>
          <w:sz w:val="24"/>
          <w:szCs w:val="24"/>
        </w:rPr>
      </w:pPr>
      <w:r>
        <w:rPr>
          <w:sz w:val="24"/>
          <w:szCs w:val="24"/>
          <w:vertAlign w:val="superscript"/>
        </w:rPr>
        <w:t>**</w:t>
      </w:r>
      <w:r>
        <w:rPr>
          <w:sz w:val="24"/>
          <w:szCs w:val="24"/>
        </w:rPr>
        <w:t>Number of cases attributed to recent transmission includes any given case with a plausible source case regardless of cluster size.</w:t>
      </w:r>
      <w:r w:rsidR="00066030">
        <w:rPr>
          <w:sz w:val="24"/>
          <w:szCs w:val="24"/>
        </w:rPr>
        <w:t xml:space="preserve">  </w:t>
      </w:r>
    </w:p>
    <w:p w:rsidR="00AA6485" w:rsidRDefault="00AA6485" w:rsidP="00B07043">
      <w:pPr>
        <w:spacing w:after="0" w:line="240" w:lineRule="auto"/>
        <w:rPr>
          <w:sz w:val="24"/>
          <w:szCs w:val="24"/>
        </w:rPr>
      </w:pPr>
      <w:r>
        <w:rPr>
          <w:rFonts w:cstheme="minorHAnsi"/>
          <w:sz w:val="24"/>
          <w:szCs w:val="24"/>
          <w:vertAlign w:val="superscript"/>
        </w:rPr>
        <w:t>§</w:t>
      </w:r>
      <w:r>
        <w:rPr>
          <w:sz w:val="24"/>
          <w:szCs w:val="24"/>
        </w:rPr>
        <w:t>Number of cases attributed to extensive recent transmission includes only cases in a plausible chain of transmission of six (6) or more cases (five secondary and one source case).</w:t>
      </w:r>
    </w:p>
    <w:p w:rsidR="00AA6485" w:rsidRDefault="00AA6485" w:rsidP="00B07043">
      <w:pPr>
        <w:spacing w:after="0" w:line="240" w:lineRule="auto"/>
        <w:rPr>
          <w:sz w:val="24"/>
          <w:szCs w:val="24"/>
        </w:rPr>
      </w:pPr>
      <w:r>
        <w:rPr>
          <w:i/>
          <w:sz w:val="24"/>
          <w:szCs w:val="24"/>
          <w:u w:val="single"/>
        </w:rPr>
        <w:t>Source</w:t>
      </w:r>
      <w:r>
        <w:rPr>
          <w:sz w:val="24"/>
          <w:szCs w:val="24"/>
        </w:rPr>
        <w:t>: USDHHS, CDC, TB Genotyping Information Management System (TB GIMS)</w:t>
      </w:r>
    </w:p>
    <w:p w:rsidR="00702B67" w:rsidRDefault="00702B67" w:rsidP="00B07043">
      <w:pPr>
        <w:spacing w:after="0" w:line="240" w:lineRule="auto"/>
        <w:rPr>
          <w:sz w:val="24"/>
          <w:szCs w:val="24"/>
        </w:rPr>
      </w:pPr>
    </w:p>
    <w:p w:rsidR="002F5A31" w:rsidRPr="002F5A31" w:rsidRDefault="002F5A31" w:rsidP="00B07043">
      <w:pPr>
        <w:spacing w:after="0" w:line="240" w:lineRule="auto"/>
        <w:rPr>
          <w:b/>
          <w:sz w:val="24"/>
          <w:szCs w:val="24"/>
          <w:vertAlign w:val="superscript"/>
        </w:rPr>
      </w:pPr>
      <w:r>
        <w:rPr>
          <w:b/>
          <w:sz w:val="24"/>
          <w:szCs w:val="24"/>
        </w:rPr>
        <w:t xml:space="preserve">Table </w:t>
      </w:r>
      <w:r w:rsidR="0041398C">
        <w:rPr>
          <w:b/>
          <w:sz w:val="24"/>
          <w:szCs w:val="24"/>
        </w:rPr>
        <w:t>6</w:t>
      </w:r>
      <w:r w:rsidR="00FB7B9F">
        <w:rPr>
          <w:b/>
          <w:sz w:val="24"/>
          <w:szCs w:val="24"/>
        </w:rPr>
        <w:t>.  Genotype Clusters by Size—Tennessee, 2015 – 2019</w:t>
      </w:r>
      <w:r>
        <w:rPr>
          <w:b/>
          <w:sz w:val="24"/>
          <w:szCs w:val="24"/>
          <w:vertAlign w:val="superscript"/>
        </w:rPr>
        <w:t>*</w:t>
      </w:r>
    </w:p>
    <w:tbl>
      <w:tblPr>
        <w:tblStyle w:val="TableGrid"/>
        <w:tblW w:w="0" w:type="auto"/>
        <w:tblLook w:val="04A0" w:firstRow="1" w:lastRow="0" w:firstColumn="1" w:lastColumn="0" w:noHBand="0" w:noVBand="1"/>
      </w:tblPr>
      <w:tblGrid>
        <w:gridCol w:w="1458"/>
        <w:gridCol w:w="2070"/>
        <w:gridCol w:w="2070"/>
        <w:gridCol w:w="2062"/>
        <w:gridCol w:w="1916"/>
      </w:tblGrid>
      <w:tr w:rsidR="00702B67" w:rsidTr="00702B67">
        <w:tc>
          <w:tcPr>
            <w:tcW w:w="1458" w:type="dxa"/>
            <w:shd w:val="clear" w:color="auto" w:fill="D9D9D9" w:themeFill="background1" w:themeFillShade="D9"/>
            <w:vAlign w:val="center"/>
          </w:tcPr>
          <w:p w:rsidR="00702B67" w:rsidRPr="00702B67" w:rsidRDefault="00702B67" w:rsidP="00702B67">
            <w:pPr>
              <w:jc w:val="center"/>
              <w:rPr>
                <w:b/>
                <w:sz w:val="24"/>
                <w:szCs w:val="24"/>
              </w:rPr>
            </w:pPr>
            <w:r>
              <w:rPr>
                <w:b/>
                <w:sz w:val="24"/>
                <w:szCs w:val="24"/>
              </w:rPr>
              <w:t>Year Reported</w:t>
            </w:r>
          </w:p>
        </w:tc>
        <w:tc>
          <w:tcPr>
            <w:tcW w:w="2070" w:type="dxa"/>
            <w:shd w:val="clear" w:color="auto" w:fill="D9D9D9" w:themeFill="background1" w:themeFillShade="D9"/>
            <w:vAlign w:val="center"/>
          </w:tcPr>
          <w:p w:rsidR="00702B67" w:rsidRPr="00702B67" w:rsidRDefault="00702B67" w:rsidP="00702B67">
            <w:pPr>
              <w:jc w:val="center"/>
              <w:rPr>
                <w:b/>
                <w:sz w:val="24"/>
                <w:szCs w:val="24"/>
              </w:rPr>
            </w:pPr>
            <w:r>
              <w:rPr>
                <w:b/>
                <w:sz w:val="24"/>
                <w:szCs w:val="24"/>
              </w:rPr>
              <w:t>Two (2)-Person Cluster</w:t>
            </w:r>
          </w:p>
        </w:tc>
        <w:tc>
          <w:tcPr>
            <w:tcW w:w="2070" w:type="dxa"/>
            <w:shd w:val="clear" w:color="auto" w:fill="D9D9D9" w:themeFill="background1" w:themeFillShade="D9"/>
            <w:vAlign w:val="center"/>
          </w:tcPr>
          <w:p w:rsidR="00702B67" w:rsidRPr="00702B67" w:rsidRDefault="00702B67" w:rsidP="00702B67">
            <w:pPr>
              <w:jc w:val="center"/>
              <w:rPr>
                <w:b/>
                <w:sz w:val="24"/>
                <w:szCs w:val="24"/>
              </w:rPr>
            </w:pPr>
            <w:r>
              <w:rPr>
                <w:b/>
                <w:sz w:val="24"/>
                <w:szCs w:val="24"/>
              </w:rPr>
              <w:t>Three (3)-Person Cluster</w:t>
            </w:r>
          </w:p>
        </w:tc>
        <w:tc>
          <w:tcPr>
            <w:tcW w:w="2062" w:type="dxa"/>
            <w:shd w:val="clear" w:color="auto" w:fill="D9D9D9" w:themeFill="background1" w:themeFillShade="D9"/>
            <w:vAlign w:val="center"/>
          </w:tcPr>
          <w:p w:rsidR="00702B67" w:rsidRPr="00702B67" w:rsidRDefault="00702B67" w:rsidP="00702B67">
            <w:pPr>
              <w:jc w:val="center"/>
              <w:rPr>
                <w:b/>
                <w:sz w:val="24"/>
                <w:szCs w:val="24"/>
              </w:rPr>
            </w:pPr>
            <w:r>
              <w:rPr>
                <w:b/>
                <w:sz w:val="24"/>
                <w:szCs w:val="24"/>
              </w:rPr>
              <w:t>Four (4) – Nine (9)-Person Cluster</w:t>
            </w:r>
          </w:p>
        </w:tc>
        <w:tc>
          <w:tcPr>
            <w:tcW w:w="1916" w:type="dxa"/>
            <w:shd w:val="clear" w:color="auto" w:fill="D9D9D9" w:themeFill="background1" w:themeFillShade="D9"/>
            <w:vAlign w:val="center"/>
          </w:tcPr>
          <w:p w:rsidR="00702B67" w:rsidRPr="00702B67" w:rsidRDefault="00702B67" w:rsidP="00702B67">
            <w:pPr>
              <w:jc w:val="center"/>
              <w:rPr>
                <w:b/>
                <w:sz w:val="24"/>
                <w:szCs w:val="24"/>
              </w:rPr>
            </w:pPr>
            <w:r>
              <w:rPr>
                <w:b/>
                <w:sz w:val="24"/>
                <w:szCs w:val="24"/>
              </w:rPr>
              <w:t>10+-Person Cluster</w:t>
            </w:r>
          </w:p>
        </w:tc>
      </w:tr>
      <w:tr w:rsidR="00702B67" w:rsidTr="00702B67">
        <w:tc>
          <w:tcPr>
            <w:tcW w:w="1458" w:type="dxa"/>
          </w:tcPr>
          <w:p w:rsidR="00702B67" w:rsidRDefault="00702B67" w:rsidP="00702B67">
            <w:pPr>
              <w:jc w:val="center"/>
              <w:rPr>
                <w:sz w:val="24"/>
                <w:szCs w:val="24"/>
              </w:rPr>
            </w:pPr>
            <w:r>
              <w:rPr>
                <w:sz w:val="24"/>
                <w:szCs w:val="24"/>
              </w:rPr>
              <w:t>2015</w:t>
            </w:r>
          </w:p>
        </w:tc>
        <w:tc>
          <w:tcPr>
            <w:tcW w:w="2070" w:type="dxa"/>
          </w:tcPr>
          <w:p w:rsidR="00702B67" w:rsidRDefault="00702B67" w:rsidP="00702B67">
            <w:pPr>
              <w:jc w:val="center"/>
              <w:rPr>
                <w:sz w:val="24"/>
                <w:szCs w:val="24"/>
              </w:rPr>
            </w:pPr>
            <w:r>
              <w:rPr>
                <w:sz w:val="24"/>
                <w:szCs w:val="24"/>
              </w:rPr>
              <w:t>2</w:t>
            </w:r>
          </w:p>
        </w:tc>
        <w:tc>
          <w:tcPr>
            <w:tcW w:w="2070" w:type="dxa"/>
          </w:tcPr>
          <w:p w:rsidR="00702B67" w:rsidRDefault="00702B67" w:rsidP="00702B67">
            <w:pPr>
              <w:jc w:val="center"/>
              <w:rPr>
                <w:sz w:val="24"/>
                <w:szCs w:val="24"/>
              </w:rPr>
            </w:pPr>
            <w:r>
              <w:rPr>
                <w:sz w:val="24"/>
                <w:szCs w:val="24"/>
              </w:rPr>
              <w:t>2</w:t>
            </w:r>
          </w:p>
        </w:tc>
        <w:tc>
          <w:tcPr>
            <w:tcW w:w="2062" w:type="dxa"/>
          </w:tcPr>
          <w:p w:rsidR="00702B67" w:rsidRDefault="00702B67" w:rsidP="00702B67">
            <w:pPr>
              <w:jc w:val="center"/>
              <w:rPr>
                <w:sz w:val="24"/>
                <w:szCs w:val="24"/>
              </w:rPr>
            </w:pPr>
            <w:r>
              <w:rPr>
                <w:sz w:val="24"/>
                <w:szCs w:val="24"/>
              </w:rPr>
              <w:t>1</w:t>
            </w:r>
          </w:p>
        </w:tc>
        <w:tc>
          <w:tcPr>
            <w:tcW w:w="1916" w:type="dxa"/>
          </w:tcPr>
          <w:p w:rsidR="00702B67" w:rsidRDefault="00702B67" w:rsidP="00702B67">
            <w:pPr>
              <w:jc w:val="center"/>
              <w:rPr>
                <w:sz w:val="24"/>
                <w:szCs w:val="24"/>
              </w:rPr>
            </w:pPr>
            <w:r>
              <w:rPr>
                <w:sz w:val="24"/>
                <w:szCs w:val="24"/>
              </w:rPr>
              <w:t>0</w:t>
            </w:r>
          </w:p>
        </w:tc>
      </w:tr>
      <w:tr w:rsidR="00702B67" w:rsidTr="00702B67">
        <w:tc>
          <w:tcPr>
            <w:tcW w:w="1458" w:type="dxa"/>
          </w:tcPr>
          <w:p w:rsidR="00702B67" w:rsidRDefault="00702B67" w:rsidP="00702B67">
            <w:pPr>
              <w:jc w:val="center"/>
              <w:rPr>
                <w:sz w:val="24"/>
                <w:szCs w:val="24"/>
              </w:rPr>
            </w:pPr>
            <w:r>
              <w:rPr>
                <w:sz w:val="24"/>
                <w:szCs w:val="24"/>
              </w:rPr>
              <w:t>2016</w:t>
            </w:r>
          </w:p>
        </w:tc>
        <w:tc>
          <w:tcPr>
            <w:tcW w:w="2070" w:type="dxa"/>
          </w:tcPr>
          <w:p w:rsidR="00702B67" w:rsidRDefault="00702B67" w:rsidP="00702B67">
            <w:pPr>
              <w:jc w:val="center"/>
              <w:rPr>
                <w:sz w:val="24"/>
                <w:szCs w:val="24"/>
              </w:rPr>
            </w:pPr>
            <w:r>
              <w:rPr>
                <w:sz w:val="24"/>
                <w:szCs w:val="24"/>
              </w:rPr>
              <w:t>5</w:t>
            </w:r>
          </w:p>
        </w:tc>
        <w:tc>
          <w:tcPr>
            <w:tcW w:w="2070" w:type="dxa"/>
          </w:tcPr>
          <w:p w:rsidR="00702B67" w:rsidRDefault="00702B67" w:rsidP="00702B67">
            <w:pPr>
              <w:jc w:val="center"/>
              <w:rPr>
                <w:sz w:val="24"/>
                <w:szCs w:val="24"/>
              </w:rPr>
            </w:pPr>
            <w:r>
              <w:rPr>
                <w:sz w:val="24"/>
                <w:szCs w:val="24"/>
              </w:rPr>
              <w:t>3</w:t>
            </w:r>
          </w:p>
        </w:tc>
        <w:tc>
          <w:tcPr>
            <w:tcW w:w="2062" w:type="dxa"/>
          </w:tcPr>
          <w:p w:rsidR="00702B67" w:rsidRDefault="00702B67" w:rsidP="00702B67">
            <w:pPr>
              <w:jc w:val="center"/>
              <w:rPr>
                <w:sz w:val="24"/>
                <w:szCs w:val="24"/>
              </w:rPr>
            </w:pPr>
            <w:r>
              <w:rPr>
                <w:sz w:val="24"/>
                <w:szCs w:val="24"/>
              </w:rPr>
              <w:t>1</w:t>
            </w:r>
          </w:p>
        </w:tc>
        <w:tc>
          <w:tcPr>
            <w:tcW w:w="1916" w:type="dxa"/>
          </w:tcPr>
          <w:p w:rsidR="00702B67" w:rsidRDefault="00702B67" w:rsidP="00702B67">
            <w:pPr>
              <w:jc w:val="center"/>
              <w:rPr>
                <w:sz w:val="24"/>
                <w:szCs w:val="24"/>
              </w:rPr>
            </w:pPr>
            <w:r>
              <w:rPr>
                <w:sz w:val="24"/>
                <w:szCs w:val="24"/>
              </w:rPr>
              <w:t>0</w:t>
            </w:r>
          </w:p>
        </w:tc>
      </w:tr>
      <w:tr w:rsidR="00702B67" w:rsidTr="00702B67">
        <w:tc>
          <w:tcPr>
            <w:tcW w:w="1458" w:type="dxa"/>
          </w:tcPr>
          <w:p w:rsidR="00702B67" w:rsidRDefault="00702B67" w:rsidP="00702B67">
            <w:pPr>
              <w:jc w:val="center"/>
              <w:rPr>
                <w:sz w:val="24"/>
                <w:szCs w:val="24"/>
              </w:rPr>
            </w:pPr>
            <w:r>
              <w:rPr>
                <w:sz w:val="24"/>
                <w:szCs w:val="24"/>
              </w:rPr>
              <w:t>2017</w:t>
            </w:r>
          </w:p>
        </w:tc>
        <w:tc>
          <w:tcPr>
            <w:tcW w:w="2070" w:type="dxa"/>
          </w:tcPr>
          <w:p w:rsidR="00702B67" w:rsidRDefault="00702B67" w:rsidP="00702B67">
            <w:pPr>
              <w:jc w:val="center"/>
              <w:rPr>
                <w:sz w:val="24"/>
                <w:szCs w:val="24"/>
              </w:rPr>
            </w:pPr>
            <w:r>
              <w:rPr>
                <w:sz w:val="24"/>
                <w:szCs w:val="24"/>
              </w:rPr>
              <w:t>3</w:t>
            </w:r>
          </w:p>
        </w:tc>
        <w:tc>
          <w:tcPr>
            <w:tcW w:w="2070" w:type="dxa"/>
          </w:tcPr>
          <w:p w:rsidR="00702B67" w:rsidRDefault="002F5A31" w:rsidP="00702B67">
            <w:pPr>
              <w:jc w:val="center"/>
              <w:rPr>
                <w:sz w:val="24"/>
                <w:szCs w:val="24"/>
              </w:rPr>
            </w:pPr>
            <w:r>
              <w:rPr>
                <w:sz w:val="24"/>
                <w:szCs w:val="24"/>
              </w:rPr>
              <w:t>4</w:t>
            </w:r>
          </w:p>
        </w:tc>
        <w:tc>
          <w:tcPr>
            <w:tcW w:w="2062" w:type="dxa"/>
          </w:tcPr>
          <w:p w:rsidR="00702B67" w:rsidRDefault="002F5A31" w:rsidP="00702B67">
            <w:pPr>
              <w:jc w:val="center"/>
              <w:rPr>
                <w:sz w:val="24"/>
                <w:szCs w:val="24"/>
              </w:rPr>
            </w:pPr>
            <w:r>
              <w:rPr>
                <w:sz w:val="24"/>
                <w:szCs w:val="24"/>
              </w:rPr>
              <w:t>1</w:t>
            </w:r>
          </w:p>
        </w:tc>
        <w:tc>
          <w:tcPr>
            <w:tcW w:w="1916" w:type="dxa"/>
          </w:tcPr>
          <w:p w:rsidR="00702B67" w:rsidRDefault="002F5A31" w:rsidP="00702B67">
            <w:pPr>
              <w:jc w:val="center"/>
              <w:rPr>
                <w:sz w:val="24"/>
                <w:szCs w:val="24"/>
              </w:rPr>
            </w:pPr>
            <w:r>
              <w:rPr>
                <w:sz w:val="24"/>
                <w:szCs w:val="24"/>
              </w:rPr>
              <w:t>0</w:t>
            </w:r>
          </w:p>
        </w:tc>
      </w:tr>
      <w:tr w:rsidR="00702B67" w:rsidTr="00702B67">
        <w:tc>
          <w:tcPr>
            <w:tcW w:w="1458" w:type="dxa"/>
          </w:tcPr>
          <w:p w:rsidR="00702B67" w:rsidRDefault="00702B67" w:rsidP="00702B67">
            <w:pPr>
              <w:jc w:val="center"/>
              <w:rPr>
                <w:sz w:val="24"/>
                <w:szCs w:val="24"/>
              </w:rPr>
            </w:pPr>
            <w:r>
              <w:rPr>
                <w:sz w:val="24"/>
                <w:szCs w:val="24"/>
              </w:rPr>
              <w:t>2018</w:t>
            </w:r>
          </w:p>
        </w:tc>
        <w:tc>
          <w:tcPr>
            <w:tcW w:w="2070" w:type="dxa"/>
          </w:tcPr>
          <w:p w:rsidR="00702B67" w:rsidRDefault="002F5A31" w:rsidP="00702B67">
            <w:pPr>
              <w:jc w:val="center"/>
              <w:rPr>
                <w:sz w:val="24"/>
                <w:szCs w:val="24"/>
              </w:rPr>
            </w:pPr>
            <w:r>
              <w:rPr>
                <w:sz w:val="24"/>
                <w:szCs w:val="24"/>
              </w:rPr>
              <w:t>5</w:t>
            </w:r>
          </w:p>
        </w:tc>
        <w:tc>
          <w:tcPr>
            <w:tcW w:w="2070" w:type="dxa"/>
          </w:tcPr>
          <w:p w:rsidR="00702B67" w:rsidRDefault="002F5A31" w:rsidP="00702B67">
            <w:pPr>
              <w:jc w:val="center"/>
              <w:rPr>
                <w:sz w:val="24"/>
                <w:szCs w:val="24"/>
              </w:rPr>
            </w:pPr>
            <w:r>
              <w:rPr>
                <w:sz w:val="24"/>
                <w:szCs w:val="24"/>
              </w:rPr>
              <w:t>1</w:t>
            </w:r>
          </w:p>
        </w:tc>
        <w:tc>
          <w:tcPr>
            <w:tcW w:w="2062" w:type="dxa"/>
          </w:tcPr>
          <w:p w:rsidR="00702B67" w:rsidRDefault="002F5A31" w:rsidP="00702B67">
            <w:pPr>
              <w:jc w:val="center"/>
              <w:rPr>
                <w:sz w:val="24"/>
                <w:szCs w:val="24"/>
              </w:rPr>
            </w:pPr>
            <w:r>
              <w:rPr>
                <w:sz w:val="24"/>
                <w:szCs w:val="24"/>
              </w:rPr>
              <w:t>2</w:t>
            </w:r>
          </w:p>
        </w:tc>
        <w:tc>
          <w:tcPr>
            <w:tcW w:w="1916" w:type="dxa"/>
          </w:tcPr>
          <w:p w:rsidR="00702B67" w:rsidRDefault="002F5A31" w:rsidP="00702B67">
            <w:pPr>
              <w:jc w:val="center"/>
              <w:rPr>
                <w:sz w:val="24"/>
                <w:szCs w:val="24"/>
              </w:rPr>
            </w:pPr>
            <w:r>
              <w:rPr>
                <w:sz w:val="24"/>
                <w:szCs w:val="24"/>
              </w:rPr>
              <w:t>0</w:t>
            </w:r>
          </w:p>
        </w:tc>
      </w:tr>
      <w:tr w:rsidR="00702B67" w:rsidTr="00702B67">
        <w:tc>
          <w:tcPr>
            <w:tcW w:w="1458" w:type="dxa"/>
          </w:tcPr>
          <w:p w:rsidR="00702B67" w:rsidRDefault="00702B67" w:rsidP="00702B67">
            <w:pPr>
              <w:jc w:val="center"/>
              <w:rPr>
                <w:sz w:val="24"/>
                <w:szCs w:val="24"/>
              </w:rPr>
            </w:pPr>
            <w:r>
              <w:rPr>
                <w:sz w:val="24"/>
                <w:szCs w:val="24"/>
              </w:rPr>
              <w:t>2019</w:t>
            </w:r>
          </w:p>
        </w:tc>
        <w:tc>
          <w:tcPr>
            <w:tcW w:w="2070" w:type="dxa"/>
          </w:tcPr>
          <w:p w:rsidR="00702B67" w:rsidRDefault="002F5A31" w:rsidP="00702B67">
            <w:pPr>
              <w:jc w:val="center"/>
              <w:rPr>
                <w:sz w:val="24"/>
                <w:szCs w:val="24"/>
              </w:rPr>
            </w:pPr>
            <w:r>
              <w:rPr>
                <w:sz w:val="24"/>
                <w:szCs w:val="24"/>
              </w:rPr>
              <w:t>4</w:t>
            </w:r>
          </w:p>
        </w:tc>
        <w:tc>
          <w:tcPr>
            <w:tcW w:w="2070" w:type="dxa"/>
          </w:tcPr>
          <w:p w:rsidR="00702B67" w:rsidRDefault="002F5A31" w:rsidP="00702B67">
            <w:pPr>
              <w:jc w:val="center"/>
              <w:rPr>
                <w:sz w:val="24"/>
                <w:szCs w:val="24"/>
              </w:rPr>
            </w:pPr>
            <w:r>
              <w:rPr>
                <w:sz w:val="24"/>
                <w:szCs w:val="24"/>
              </w:rPr>
              <w:t>1</w:t>
            </w:r>
          </w:p>
        </w:tc>
        <w:tc>
          <w:tcPr>
            <w:tcW w:w="2062" w:type="dxa"/>
          </w:tcPr>
          <w:p w:rsidR="00702B67" w:rsidRDefault="002F5A31" w:rsidP="00702B67">
            <w:pPr>
              <w:jc w:val="center"/>
              <w:rPr>
                <w:sz w:val="24"/>
                <w:szCs w:val="24"/>
              </w:rPr>
            </w:pPr>
            <w:r>
              <w:rPr>
                <w:sz w:val="24"/>
                <w:szCs w:val="24"/>
              </w:rPr>
              <w:t>0</w:t>
            </w:r>
          </w:p>
        </w:tc>
        <w:tc>
          <w:tcPr>
            <w:tcW w:w="1916" w:type="dxa"/>
          </w:tcPr>
          <w:p w:rsidR="00702B67" w:rsidRDefault="002F5A31" w:rsidP="00702B67">
            <w:pPr>
              <w:jc w:val="center"/>
              <w:rPr>
                <w:sz w:val="24"/>
                <w:szCs w:val="24"/>
              </w:rPr>
            </w:pPr>
            <w:r>
              <w:rPr>
                <w:sz w:val="24"/>
                <w:szCs w:val="24"/>
              </w:rPr>
              <w:t>0</w:t>
            </w:r>
          </w:p>
        </w:tc>
      </w:tr>
    </w:tbl>
    <w:p w:rsidR="002F5A31" w:rsidRDefault="002F5A31" w:rsidP="002F5A31">
      <w:pPr>
        <w:spacing w:after="0" w:line="240" w:lineRule="auto"/>
        <w:rPr>
          <w:sz w:val="24"/>
          <w:szCs w:val="24"/>
        </w:rPr>
      </w:pPr>
      <w:r>
        <w:rPr>
          <w:i/>
          <w:sz w:val="24"/>
          <w:szCs w:val="24"/>
          <w:u w:val="single"/>
        </w:rPr>
        <w:t>Source</w:t>
      </w:r>
      <w:r>
        <w:rPr>
          <w:sz w:val="24"/>
          <w:szCs w:val="24"/>
        </w:rPr>
        <w:t>: USDHHS, CDC, TB Genotyping Information Management System (TB GIMS)</w:t>
      </w:r>
    </w:p>
    <w:p w:rsidR="00620779" w:rsidRDefault="00620779" w:rsidP="00B07043">
      <w:pPr>
        <w:spacing w:after="0" w:line="240" w:lineRule="auto"/>
        <w:rPr>
          <w:sz w:val="24"/>
          <w:szCs w:val="24"/>
        </w:rPr>
      </w:pPr>
    </w:p>
    <w:p w:rsidR="00620779" w:rsidRDefault="00620779" w:rsidP="00B07043">
      <w:pPr>
        <w:spacing w:after="0" w:line="240" w:lineRule="auto"/>
        <w:rPr>
          <w:sz w:val="24"/>
          <w:szCs w:val="24"/>
        </w:rPr>
      </w:pPr>
      <w:r>
        <w:rPr>
          <w:b/>
          <w:sz w:val="24"/>
          <w:szCs w:val="24"/>
          <w:u w:val="single"/>
        </w:rPr>
        <w:t>Program Accomplishments/Successes</w:t>
      </w:r>
    </w:p>
    <w:p w:rsidR="009E6CC8" w:rsidRDefault="00620779" w:rsidP="00620779">
      <w:pPr>
        <w:pStyle w:val="ListParagraph"/>
        <w:numPr>
          <w:ilvl w:val="0"/>
          <w:numId w:val="1"/>
        </w:numPr>
        <w:spacing w:after="0" w:line="240" w:lineRule="auto"/>
        <w:rPr>
          <w:sz w:val="24"/>
          <w:szCs w:val="24"/>
        </w:rPr>
      </w:pPr>
      <w:r>
        <w:rPr>
          <w:sz w:val="24"/>
          <w:szCs w:val="24"/>
        </w:rPr>
        <w:t>Program Collaboration and Service Integration (PCSI)—In 2015, the Tennessee Department of Health (TDH) TB Elimination Program, HIV, STD, and Viral Hepatitis Program, Division of Laboratory Services, and the Tennessee Department of Correction (TDOC) began a collaborative initiative to test for TB in</w:t>
      </w:r>
      <w:r w:rsidR="004C3782">
        <w:rPr>
          <w:sz w:val="24"/>
          <w:szCs w:val="24"/>
        </w:rPr>
        <w:t xml:space="preserve">fection (using QuantiFERON Gold In-Tube), HIV, syphilis, chlamydia and gonorrhea in all state inmates upon intake at the two (2) TDOC intake facilities in Tennessee.  Labs are collected at each of the intake facilities and transported to the TDH state lab via a state lab courier.  Results are available electronically and available to public health staff for monitoring.  </w:t>
      </w:r>
      <w:r w:rsidR="00FA03E4">
        <w:rPr>
          <w:sz w:val="24"/>
          <w:szCs w:val="24"/>
        </w:rPr>
        <w:t xml:space="preserve">In 2017, this </w:t>
      </w:r>
    </w:p>
    <w:p w:rsidR="00620779" w:rsidRDefault="00FA03E4" w:rsidP="009E6CC8">
      <w:pPr>
        <w:pStyle w:val="ListParagraph"/>
        <w:spacing w:after="0" w:line="240" w:lineRule="auto"/>
        <w:rPr>
          <w:sz w:val="24"/>
          <w:szCs w:val="24"/>
        </w:rPr>
      </w:pPr>
      <w:r>
        <w:rPr>
          <w:sz w:val="24"/>
          <w:szCs w:val="24"/>
        </w:rPr>
        <w:t xml:space="preserve">collaborative serve was awarded a CDC U.S. TB Elimination Champions.  </w:t>
      </w:r>
      <w:r w:rsidR="004C3782">
        <w:rPr>
          <w:sz w:val="24"/>
          <w:szCs w:val="24"/>
        </w:rPr>
        <w:t>In 2018, opt-out Hepatitis C virus (HCV) testing was added to the intake laboratory panel for all new intakes.</w:t>
      </w:r>
    </w:p>
    <w:p w:rsidR="00112EC1" w:rsidRDefault="00112EC1" w:rsidP="00620779">
      <w:pPr>
        <w:pStyle w:val="ListParagraph"/>
        <w:numPr>
          <w:ilvl w:val="0"/>
          <w:numId w:val="1"/>
        </w:numPr>
        <w:spacing w:after="0" w:line="240" w:lineRule="auto"/>
        <w:rPr>
          <w:sz w:val="24"/>
          <w:szCs w:val="24"/>
        </w:rPr>
      </w:pPr>
      <w:r>
        <w:rPr>
          <w:sz w:val="24"/>
          <w:szCs w:val="24"/>
        </w:rPr>
        <w:t xml:space="preserve">Revised Tennessee TB Elimination Program (TTBEP) TB manual—In 2015, the TTBEP completely revised the existing TB manual.  </w:t>
      </w:r>
      <w:r w:rsidR="00FA03E4">
        <w:rPr>
          <w:sz w:val="24"/>
          <w:szCs w:val="24"/>
        </w:rPr>
        <w:t>The revised manual contains self-contained modules and standards of public health practice for each module.  The standards of public health practice form the standards used during the program’s annual regional TB programmatic assessments that are conducted with each of the regional TB programs throughout the state.</w:t>
      </w:r>
    </w:p>
    <w:p w:rsidR="00170377" w:rsidRDefault="00170377" w:rsidP="00620779">
      <w:pPr>
        <w:pStyle w:val="ListParagraph"/>
        <w:numPr>
          <w:ilvl w:val="0"/>
          <w:numId w:val="1"/>
        </w:numPr>
        <w:spacing w:after="0" w:line="240" w:lineRule="auto"/>
        <w:rPr>
          <w:sz w:val="24"/>
          <w:szCs w:val="24"/>
        </w:rPr>
      </w:pPr>
      <w:r>
        <w:rPr>
          <w:sz w:val="24"/>
          <w:szCs w:val="24"/>
        </w:rPr>
        <w:t>Isoniazid-Rifapentine (3HP) short-course regimen for treatment of TB infection (TBI)—In 2015, the Tennessee TB Elimination Program began offering the 12-week 3HP regimen for the treatment of TB infection.  A programmatic protocol was developed to include inclusion/exclusion criteria, dosage tables, monitoring, and medication delivery.  Initially, all doses of 3HP were required to be given in person via directly observed therapy (DOT) at the local health department.  However, after receiving feedback from regional TB program staff and patients regarding barriers to treatment with this regimen (i.e., in-person DOT), changes were made that allowed for DOT to be administered at sites other than the local health department and/or via electronic DOT (eDOT).</w:t>
      </w:r>
    </w:p>
    <w:p w:rsidR="00AA40FB" w:rsidRDefault="00861081" w:rsidP="00620779">
      <w:pPr>
        <w:pStyle w:val="ListParagraph"/>
        <w:numPr>
          <w:ilvl w:val="0"/>
          <w:numId w:val="1"/>
        </w:numPr>
        <w:spacing w:after="0" w:line="240" w:lineRule="auto"/>
        <w:rPr>
          <w:sz w:val="24"/>
          <w:szCs w:val="24"/>
        </w:rPr>
      </w:pPr>
      <w:r>
        <w:rPr>
          <w:sz w:val="24"/>
          <w:szCs w:val="24"/>
        </w:rPr>
        <w:t xml:space="preserve">Addition of positive interferon gamma release assays (IGRA) and positive tuberculin skin test (TST) results to the Tennessee Reportable Conditions list—In 2017, </w:t>
      </w:r>
      <w:r w:rsidR="0093546F">
        <w:rPr>
          <w:sz w:val="24"/>
          <w:szCs w:val="24"/>
        </w:rPr>
        <w:t>positive IGRA results and positive TST results (for patients &lt;18 years of age) were added to the Tennessee Reportable Conditions list.  Providers now submit reports of positive tests via fax or electronically through the state surveillance system.  Data from these reports are entered into a program-maintained database and provided to regional TB programs upon request.</w:t>
      </w:r>
    </w:p>
    <w:p w:rsidR="00D14A09" w:rsidRDefault="00D14A09" w:rsidP="00D14A09">
      <w:pPr>
        <w:spacing w:after="0" w:line="240" w:lineRule="auto"/>
        <w:rPr>
          <w:sz w:val="24"/>
          <w:szCs w:val="24"/>
        </w:rPr>
      </w:pPr>
    </w:p>
    <w:p w:rsidR="00D14A09" w:rsidRDefault="00D14A09" w:rsidP="00D14A09">
      <w:pPr>
        <w:spacing w:after="0" w:line="240" w:lineRule="auto"/>
        <w:rPr>
          <w:sz w:val="24"/>
          <w:szCs w:val="24"/>
        </w:rPr>
      </w:pPr>
      <w:r>
        <w:rPr>
          <w:b/>
          <w:sz w:val="24"/>
          <w:szCs w:val="24"/>
          <w:u w:val="single"/>
        </w:rPr>
        <w:t xml:space="preserve">Program </w:t>
      </w:r>
      <w:r w:rsidR="004863BF">
        <w:rPr>
          <w:b/>
          <w:sz w:val="24"/>
          <w:szCs w:val="24"/>
          <w:u w:val="single"/>
        </w:rPr>
        <w:t>Barriers/Challenges</w:t>
      </w:r>
    </w:p>
    <w:p w:rsidR="00D14A09" w:rsidRDefault="00FE6A28" w:rsidP="00D14A09">
      <w:pPr>
        <w:pStyle w:val="ListParagraph"/>
        <w:numPr>
          <w:ilvl w:val="0"/>
          <w:numId w:val="9"/>
        </w:numPr>
        <w:spacing w:after="0" w:line="240" w:lineRule="auto"/>
        <w:rPr>
          <w:sz w:val="24"/>
          <w:szCs w:val="24"/>
        </w:rPr>
      </w:pPr>
      <w:r>
        <w:rPr>
          <w:sz w:val="24"/>
          <w:szCs w:val="24"/>
        </w:rPr>
        <w:t>Staffing</w:t>
      </w:r>
    </w:p>
    <w:p w:rsidR="00163B00" w:rsidRDefault="00163B00" w:rsidP="00163B00">
      <w:pPr>
        <w:spacing w:after="0" w:line="240" w:lineRule="auto"/>
        <w:rPr>
          <w:sz w:val="24"/>
          <w:szCs w:val="24"/>
        </w:rPr>
      </w:pPr>
    </w:p>
    <w:p w:rsidR="00163B00" w:rsidRDefault="00163B00" w:rsidP="00163B00">
      <w:pPr>
        <w:spacing w:after="0" w:line="240" w:lineRule="auto"/>
        <w:rPr>
          <w:sz w:val="24"/>
          <w:szCs w:val="24"/>
        </w:rPr>
        <w:sectPr w:rsidR="00163B00" w:rsidSect="006A6419">
          <w:footerReference w:type="default" r:id="rId11"/>
          <w:pgSz w:w="12240" w:h="15840"/>
          <w:pgMar w:top="1440" w:right="1440" w:bottom="1440" w:left="1440" w:header="720" w:footer="720" w:gutter="0"/>
          <w:cols w:space="720"/>
          <w:docGrid w:linePitch="360"/>
        </w:sectPr>
      </w:pPr>
    </w:p>
    <w:p w:rsidR="00AA40FB" w:rsidRDefault="00AA40FB" w:rsidP="00AA40FB">
      <w:pPr>
        <w:spacing w:after="0" w:line="240" w:lineRule="auto"/>
        <w:rPr>
          <w:sz w:val="24"/>
          <w:szCs w:val="24"/>
        </w:rPr>
      </w:pPr>
    </w:p>
    <w:p w:rsidR="00AA40FB" w:rsidRDefault="00AA40FB" w:rsidP="00AA40FB">
      <w:pPr>
        <w:spacing w:after="0" w:line="240" w:lineRule="auto"/>
        <w:rPr>
          <w:b/>
          <w:sz w:val="24"/>
          <w:szCs w:val="24"/>
        </w:rPr>
      </w:pPr>
      <w:r>
        <w:rPr>
          <w:b/>
          <w:sz w:val="24"/>
          <w:szCs w:val="24"/>
        </w:rPr>
        <w:t xml:space="preserve">Table </w:t>
      </w:r>
      <w:r w:rsidR="0041398C">
        <w:rPr>
          <w:b/>
          <w:sz w:val="24"/>
          <w:szCs w:val="24"/>
        </w:rPr>
        <w:t>7</w:t>
      </w:r>
      <w:r>
        <w:rPr>
          <w:b/>
          <w:sz w:val="24"/>
          <w:szCs w:val="24"/>
        </w:rPr>
        <w:t>.  Strategies, Work Plan</w:t>
      </w:r>
      <w:r w:rsidR="00FB7B9F">
        <w:rPr>
          <w:b/>
          <w:sz w:val="24"/>
          <w:szCs w:val="24"/>
        </w:rPr>
        <w:t>,</w:t>
      </w:r>
      <w:r>
        <w:rPr>
          <w:b/>
          <w:sz w:val="24"/>
          <w:szCs w:val="24"/>
        </w:rPr>
        <w:t xml:space="preserve"> and Activities</w:t>
      </w:r>
    </w:p>
    <w:tbl>
      <w:tblPr>
        <w:tblStyle w:val="TableGrid"/>
        <w:tblW w:w="0" w:type="auto"/>
        <w:tblLook w:val="04A0" w:firstRow="1" w:lastRow="0" w:firstColumn="1" w:lastColumn="0" w:noHBand="0" w:noVBand="1"/>
      </w:tblPr>
      <w:tblGrid>
        <w:gridCol w:w="2516"/>
        <w:gridCol w:w="2546"/>
        <w:gridCol w:w="2544"/>
        <w:gridCol w:w="2473"/>
        <w:gridCol w:w="3097"/>
      </w:tblGrid>
      <w:tr w:rsidR="00AA40FB" w:rsidRPr="00AA40FB" w:rsidTr="0082779D">
        <w:tc>
          <w:tcPr>
            <w:tcW w:w="2516" w:type="dxa"/>
            <w:shd w:val="clear" w:color="auto" w:fill="D9D9D9" w:themeFill="background1" w:themeFillShade="D9"/>
            <w:vAlign w:val="center"/>
          </w:tcPr>
          <w:p w:rsidR="00AA40FB" w:rsidRPr="00AA40FB" w:rsidRDefault="00AA40FB" w:rsidP="007E450E">
            <w:pPr>
              <w:jc w:val="center"/>
              <w:rPr>
                <w:b/>
                <w:sz w:val="24"/>
                <w:szCs w:val="24"/>
              </w:rPr>
            </w:pPr>
            <w:r>
              <w:rPr>
                <w:b/>
                <w:sz w:val="24"/>
                <w:szCs w:val="24"/>
              </w:rPr>
              <w:t>Strategy</w:t>
            </w:r>
          </w:p>
        </w:tc>
        <w:tc>
          <w:tcPr>
            <w:tcW w:w="2546" w:type="dxa"/>
            <w:shd w:val="clear" w:color="auto" w:fill="D9D9D9" w:themeFill="background1" w:themeFillShade="D9"/>
            <w:vAlign w:val="center"/>
          </w:tcPr>
          <w:p w:rsidR="00AA40FB" w:rsidRPr="00AA40FB" w:rsidRDefault="00AA40FB" w:rsidP="007E450E">
            <w:pPr>
              <w:jc w:val="center"/>
              <w:rPr>
                <w:b/>
                <w:sz w:val="24"/>
                <w:szCs w:val="24"/>
              </w:rPr>
            </w:pPr>
            <w:r>
              <w:rPr>
                <w:b/>
                <w:sz w:val="24"/>
                <w:szCs w:val="24"/>
              </w:rPr>
              <w:t>Task</w:t>
            </w:r>
          </w:p>
        </w:tc>
        <w:tc>
          <w:tcPr>
            <w:tcW w:w="2544" w:type="dxa"/>
            <w:shd w:val="clear" w:color="auto" w:fill="D9D9D9" w:themeFill="background1" w:themeFillShade="D9"/>
            <w:vAlign w:val="center"/>
          </w:tcPr>
          <w:p w:rsidR="00AA40FB" w:rsidRPr="00AA40FB" w:rsidRDefault="00AA40FB" w:rsidP="007E450E">
            <w:pPr>
              <w:jc w:val="center"/>
              <w:rPr>
                <w:b/>
                <w:sz w:val="24"/>
                <w:szCs w:val="24"/>
              </w:rPr>
            </w:pPr>
            <w:r>
              <w:rPr>
                <w:b/>
                <w:sz w:val="24"/>
                <w:szCs w:val="24"/>
              </w:rPr>
              <w:t>Work Plan</w:t>
            </w:r>
          </w:p>
        </w:tc>
        <w:tc>
          <w:tcPr>
            <w:tcW w:w="2473" w:type="dxa"/>
            <w:shd w:val="clear" w:color="auto" w:fill="D9D9D9" w:themeFill="background1" w:themeFillShade="D9"/>
            <w:vAlign w:val="center"/>
          </w:tcPr>
          <w:p w:rsidR="00AA40FB" w:rsidRPr="00AA40FB" w:rsidRDefault="00AA40FB" w:rsidP="003F233E">
            <w:pPr>
              <w:jc w:val="center"/>
              <w:rPr>
                <w:b/>
                <w:sz w:val="24"/>
                <w:szCs w:val="24"/>
              </w:rPr>
            </w:pPr>
            <w:r>
              <w:rPr>
                <w:b/>
                <w:sz w:val="24"/>
                <w:szCs w:val="24"/>
              </w:rPr>
              <w:t>Activities</w:t>
            </w:r>
            <w:r w:rsidR="00D549D3">
              <w:rPr>
                <w:b/>
                <w:sz w:val="24"/>
                <w:szCs w:val="24"/>
              </w:rPr>
              <w:t xml:space="preserve"> </w:t>
            </w:r>
          </w:p>
        </w:tc>
        <w:tc>
          <w:tcPr>
            <w:tcW w:w="3097" w:type="dxa"/>
            <w:shd w:val="clear" w:color="auto" w:fill="D9D9D9" w:themeFill="background1" w:themeFillShade="D9"/>
            <w:vAlign w:val="center"/>
          </w:tcPr>
          <w:p w:rsidR="00D549D3" w:rsidRDefault="00D549D3" w:rsidP="007E450E">
            <w:pPr>
              <w:jc w:val="center"/>
              <w:rPr>
                <w:b/>
                <w:sz w:val="24"/>
                <w:szCs w:val="24"/>
              </w:rPr>
            </w:pPr>
            <w:r>
              <w:rPr>
                <w:b/>
                <w:sz w:val="24"/>
                <w:szCs w:val="24"/>
              </w:rPr>
              <w:t>Overall Progress &amp;</w:t>
            </w:r>
          </w:p>
          <w:p w:rsidR="00AA40FB" w:rsidRPr="00AA40FB" w:rsidRDefault="00AA40FB" w:rsidP="007E450E">
            <w:pPr>
              <w:jc w:val="center"/>
              <w:rPr>
                <w:b/>
                <w:sz w:val="24"/>
                <w:szCs w:val="24"/>
              </w:rPr>
            </w:pPr>
            <w:r>
              <w:rPr>
                <w:b/>
                <w:sz w:val="24"/>
                <w:szCs w:val="24"/>
              </w:rPr>
              <w:t>2018-2019 Progress</w:t>
            </w:r>
          </w:p>
        </w:tc>
      </w:tr>
      <w:tr w:rsidR="00D30B37" w:rsidTr="0082779D">
        <w:trPr>
          <w:trHeight w:val="937"/>
        </w:trPr>
        <w:tc>
          <w:tcPr>
            <w:tcW w:w="2516" w:type="dxa"/>
            <w:vMerge w:val="restart"/>
            <w:vAlign w:val="center"/>
          </w:tcPr>
          <w:p w:rsidR="00D30B37" w:rsidRDefault="00D30B37" w:rsidP="00AA40FB">
            <w:pPr>
              <w:jc w:val="center"/>
              <w:rPr>
                <w:sz w:val="24"/>
                <w:szCs w:val="24"/>
              </w:rPr>
            </w:pPr>
            <w:r>
              <w:rPr>
                <w:b/>
                <w:sz w:val="24"/>
                <w:szCs w:val="24"/>
                <w:u w:val="single"/>
              </w:rPr>
              <w:t>Strategy 1</w:t>
            </w:r>
            <w:r>
              <w:rPr>
                <w:sz w:val="24"/>
                <w:szCs w:val="24"/>
              </w:rPr>
              <w:t xml:space="preserve">: </w:t>
            </w:r>
          </w:p>
          <w:p w:rsidR="00D30B37" w:rsidRPr="004F31D0" w:rsidRDefault="00D30B37" w:rsidP="00AA40FB">
            <w:pPr>
              <w:jc w:val="center"/>
              <w:rPr>
                <w:sz w:val="24"/>
                <w:szCs w:val="24"/>
              </w:rPr>
            </w:pPr>
            <w:r>
              <w:rPr>
                <w:sz w:val="24"/>
                <w:szCs w:val="24"/>
              </w:rPr>
              <w:t>Improved Case Detection and Management</w:t>
            </w:r>
          </w:p>
        </w:tc>
        <w:tc>
          <w:tcPr>
            <w:tcW w:w="2546" w:type="dxa"/>
            <w:vMerge w:val="restart"/>
            <w:vAlign w:val="center"/>
          </w:tcPr>
          <w:p w:rsidR="00D30B37" w:rsidRPr="004F31D0" w:rsidRDefault="00D30B37" w:rsidP="00D0071D">
            <w:pPr>
              <w:pStyle w:val="ListParagraph"/>
              <w:numPr>
                <w:ilvl w:val="0"/>
                <w:numId w:val="2"/>
              </w:numPr>
              <w:ind w:left="335"/>
              <w:rPr>
                <w:sz w:val="24"/>
                <w:szCs w:val="24"/>
              </w:rPr>
            </w:pPr>
            <w:r>
              <w:rPr>
                <w:sz w:val="24"/>
                <w:szCs w:val="24"/>
              </w:rPr>
              <w:t>Ensure case management and treatment of TB cases</w:t>
            </w:r>
          </w:p>
        </w:tc>
        <w:tc>
          <w:tcPr>
            <w:tcW w:w="2544" w:type="dxa"/>
            <w:vMerge w:val="restart"/>
            <w:vAlign w:val="center"/>
          </w:tcPr>
          <w:p w:rsidR="00D30B37" w:rsidRDefault="00D30B37" w:rsidP="009E6CC8">
            <w:pPr>
              <w:rPr>
                <w:sz w:val="24"/>
                <w:szCs w:val="24"/>
              </w:rPr>
            </w:pPr>
            <w:r>
              <w:rPr>
                <w:sz w:val="24"/>
                <w:szCs w:val="24"/>
              </w:rPr>
              <w:t>Implementation of reviewed TTBEP Manual for all public health regions</w:t>
            </w:r>
          </w:p>
        </w:tc>
        <w:tc>
          <w:tcPr>
            <w:tcW w:w="2473" w:type="dxa"/>
            <w:vMerge w:val="restart"/>
            <w:vAlign w:val="center"/>
          </w:tcPr>
          <w:p w:rsidR="00D30B37" w:rsidRDefault="00D30B37" w:rsidP="0082779D">
            <w:pPr>
              <w:rPr>
                <w:sz w:val="24"/>
                <w:szCs w:val="24"/>
              </w:rPr>
            </w:pPr>
            <w:r>
              <w:rPr>
                <w:sz w:val="24"/>
                <w:szCs w:val="24"/>
              </w:rPr>
              <w:t>Review TB Manual annually and revise as needed.  Provide refresher training</w:t>
            </w:r>
          </w:p>
        </w:tc>
        <w:tc>
          <w:tcPr>
            <w:tcW w:w="3097" w:type="dxa"/>
          </w:tcPr>
          <w:p w:rsidR="00D30B37" w:rsidRPr="00D549D3" w:rsidRDefault="00D30B37" w:rsidP="008B3CF8">
            <w:pPr>
              <w:rPr>
                <w:sz w:val="24"/>
                <w:szCs w:val="24"/>
              </w:rPr>
            </w:pPr>
            <w:r>
              <w:rPr>
                <w:sz w:val="24"/>
                <w:szCs w:val="24"/>
              </w:rPr>
              <w:t xml:space="preserve">The TB Manual was </w:t>
            </w:r>
            <w:r w:rsidR="008B3CF8">
              <w:rPr>
                <w:sz w:val="24"/>
                <w:szCs w:val="24"/>
              </w:rPr>
              <w:t>initially</w:t>
            </w:r>
            <w:r>
              <w:rPr>
                <w:sz w:val="24"/>
                <w:szCs w:val="24"/>
              </w:rPr>
              <w:t xml:space="preserve"> revised in 2015 (see “Program Acco</w:t>
            </w:r>
            <w:r w:rsidR="008B3CF8">
              <w:rPr>
                <w:sz w:val="24"/>
                <w:szCs w:val="24"/>
              </w:rPr>
              <w:t>mplishments/Successes” section).  A timetable for annual revisions was established.</w:t>
            </w:r>
          </w:p>
        </w:tc>
      </w:tr>
      <w:tr w:rsidR="00D30B37" w:rsidTr="0082779D">
        <w:trPr>
          <w:trHeight w:val="935"/>
        </w:trPr>
        <w:tc>
          <w:tcPr>
            <w:tcW w:w="2516" w:type="dxa"/>
            <w:vMerge/>
            <w:vAlign w:val="center"/>
          </w:tcPr>
          <w:p w:rsidR="00D30B37" w:rsidRDefault="00D30B37" w:rsidP="00AA40FB">
            <w:pPr>
              <w:jc w:val="center"/>
              <w:rPr>
                <w:b/>
                <w:sz w:val="24"/>
                <w:szCs w:val="24"/>
                <w:u w:val="single"/>
              </w:rPr>
            </w:pPr>
          </w:p>
        </w:tc>
        <w:tc>
          <w:tcPr>
            <w:tcW w:w="2546" w:type="dxa"/>
            <w:vMerge/>
            <w:vAlign w:val="center"/>
          </w:tcPr>
          <w:p w:rsidR="00D30B37" w:rsidRDefault="00D30B37" w:rsidP="00D0071D">
            <w:pPr>
              <w:pStyle w:val="ListParagraph"/>
              <w:numPr>
                <w:ilvl w:val="0"/>
                <w:numId w:val="2"/>
              </w:numPr>
              <w:ind w:left="335"/>
              <w:rPr>
                <w:sz w:val="24"/>
                <w:szCs w:val="24"/>
              </w:rPr>
            </w:pPr>
          </w:p>
        </w:tc>
        <w:tc>
          <w:tcPr>
            <w:tcW w:w="2544" w:type="dxa"/>
            <w:vMerge/>
            <w:vAlign w:val="center"/>
          </w:tcPr>
          <w:p w:rsidR="00D30B37" w:rsidRDefault="00D30B37" w:rsidP="009E6CC8">
            <w:pPr>
              <w:rPr>
                <w:sz w:val="24"/>
                <w:szCs w:val="24"/>
              </w:rPr>
            </w:pPr>
          </w:p>
        </w:tc>
        <w:tc>
          <w:tcPr>
            <w:tcW w:w="2473" w:type="dxa"/>
            <w:vMerge/>
          </w:tcPr>
          <w:p w:rsidR="00D30B37" w:rsidRDefault="00D30B37" w:rsidP="00AA40FB">
            <w:pPr>
              <w:rPr>
                <w:sz w:val="24"/>
                <w:szCs w:val="24"/>
              </w:rPr>
            </w:pPr>
          </w:p>
        </w:tc>
        <w:tc>
          <w:tcPr>
            <w:tcW w:w="3097" w:type="dxa"/>
          </w:tcPr>
          <w:p w:rsidR="00D30B37" w:rsidRDefault="00D30B37" w:rsidP="00AA40FB">
            <w:pPr>
              <w:rPr>
                <w:sz w:val="24"/>
                <w:szCs w:val="24"/>
              </w:rPr>
            </w:pPr>
            <w:r>
              <w:rPr>
                <w:sz w:val="24"/>
                <w:szCs w:val="24"/>
                <w:u w:val="single"/>
              </w:rPr>
              <w:t>2018</w:t>
            </w:r>
            <w:r>
              <w:rPr>
                <w:sz w:val="24"/>
                <w:szCs w:val="24"/>
              </w:rPr>
              <w:t>: Final revisions were made and the manual was made available in April 2018.</w:t>
            </w:r>
          </w:p>
        </w:tc>
      </w:tr>
      <w:tr w:rsidR="00D30B37" w:rsidTr="0082779D">
        <w:trPr>
          <w:trHeight w:val="935"/>
        </w:trPr>
        <w:tc>
          <w:tcPr>
            <w:tcW w:w="2516" w:type="dxa"/>
            <w:vMerge/>
            <w:vAlign w:val="center"/>
          </w:tcPr>
          <w:p w:rsidR="00D30B37" w:rsidRDefault="00D30B37" w:rsidP="00AA40FB">
            <w:pPr>
              <w:jc w:val="center"/>
              <w:rPr>
                <w:b/>
                <w:sz w:val="24"/>
                <w:szCs w:val="24"/>
                <w:u w:val="single"/>
              </w:rPr>
            </w:pPr>
          </w:p>
        </w:tc>
        <w:tc>
          <w:tcPr>
            <w:tcW w:w="2546" w:type="dxa"/>
            <w:vMerge/>
            <w:vAlign w:val="center"/>
          </w:tcPr>
          <w:p w:rsidR="00D30B37" w:rsidRDefault="00D30B37" w:rsidP="00D0071D">
            <w:pPr>
              <w:pStyle w:val="ListParagraph"/>
              <w:numPr>
                <w:ilvl w:val="0"/>
                <w:numId w:val="2"/>
              </w:numPr>
              <w:ind w:left="335"/>
              <w:rPr>
                <w:sz w:val="24"/>
                <w:szCs w:val="24"/>
              </w:rPr>
            </w:pPr>
          </w:p>
        </w:tc>
        <w:tc>
          <w:tcPr>
            <w:tcW w:w="2544" w:type="dxa"/>
            <w:vMerge/>
            <w:vAlign w:val="center"/>
          </w:tcPr>
          <w:p w:rsidR="00D30B37" w:rsidRDefault="00D30B37" w:rsidP="009E6CC8">
            <w:pPr>
              <w:rPr>
                <w:sz w:val="24"/>
                <w:szCs w:val="24"/>
              </w:rPr>
            </w:pPr>
          </w:p>
        </w:tc>
        <w:tc>
          <w:tcPr>
            <w:tcW w:w="2473" w:type="dxa"/>
            <w:vMerge/>
          </w:tcPr>
          <w:p w:rsidR="00D30B37" w:rsidRDefault="00D30B37" w:rsidP="00AA40FB">
            <w:pPr>
              <w:rPr>
                <w:sz w:val="24"/>
                <w:szCs w:val="24"/>
              </w:rPr>
            </w:pPr>
          </w:p>
        </w:tc>
        <w:tc>
          <w:tcPr>
            <w:tcW w:w="3097" w:type="dxa"/>
          </w:tcPr>
          <w:p w:rsidR="00D30B37" w:rsidRDefault="00D30B37" w:rsidP="00AA40FB">
            <w:pPr>
              <w:rPr>
                <w:sz w:val="24"/>
                <w:szCs w:val="24"/>
              </w:rPr>
            </w:pPr>
            <w:r>
              <w:rPr>
                <w:sz w:val="24"/>
                <w:szCs w:val="24"/>
                <w:u w:val="single"/>
              </w:rPr>
              <w:t>2019</w:t>
            </w:r>
            <w:r>
              <w:rPr>
                <w:sz w:val="24"/>
                <w:szCs w:val="24"/>
              </w:rPr>
              <w:t>: Final revisions were made and the manual was made available in March 2019.</w:t>
            </w:r>
          </w:p>
        </w:tc>
      </w:tr>
      <w:tr w:rsidR="00D30B37" w:rsidTr="0082779D">
        <w:tc>
          <w:tcPr>
            <w:tcW w:w="2516" w:type="dxa"/>
            <w:vMerge/>
            <w:vAlign w:val="center"/>
          </w:tcPr>
          <w:p w:rsidR="00D30B37" w:rsidRDefault="00D30B37" w:rsidP="00AA40FB">
            <w:pPr>
              <w:jc w:val="center"/>
              <w:rPr>
                <w:sz w:val="24"/>
                <w:szCs w:val="24"/>
              </w:rPr>
            </w:pPr>
          </w:p>
        </w:tc>
        <w:tc>
          <w:tcPr>
            <w:tcW w:w="2546" w:type="dxa"/>
            <w:vMerge w:val="restart"/>
            <w:vAlign w:val="center"/>
          </w:tcPr>
          <w:p w:rsidR="00D30B37" w:rsidRPr="004F31D0" w:rsidRDefault="00D30B37" w:rsidP="00D0071D">
            <w:pPr>
              <w:pStyle w:val="ListParagraph"/>
              <w:numPr>
                <w:ilvl w:val="0"/>
                <w:numId w:val="2"/>
              </w:numPr>
              <w:rPr>
                <w:sz w:val="24"/>
                <w:szCs w:val="24"/>
              </w:rPr>
            </w:pPr>
            <w:r>
              <w:rPr>
                <w:sz w:val="24"/>
                <w:szCs w:val="24"/>
              </w:rPr>
              <w:t>Assess adequacy and appropriateness of therapy</w:t>
            </w:r>
          </w:p>
        </w:tc>
        <w:tc>
          <w:tcPr>
            <w:tcW w:w="2544" w:type="dxa"/>
            <w:vAlign w:val="center"/>
          </w:tcPr>
          <w:p w:rsidR="00D30B37" w:rsidRDefault="00D30B37" w:rsidP="009E6CC8">
            <w:pPr>
              <w:rPr>
                <w:sz w:val="24"/>
                <w:szCs w:val="24"/>
              </w:rPr>
            </w:pPr>
            <w:r>
              <w:rPr>
                <w:sz w:val="24"/>
                <w:szCs w:val="24"/>
              </w:rPr>
              <w:t>Review all drug regimens entered into surveillance system</w:t>
            </w:r>
          </w:p>
        </w:tc>
        <w:tc>
          <w:tcPr>
            <w:tcW w:w="2473" w:type="dxa"/>
          </w:tcPr>
          <w:p w:rsidR="00D30B37" w:rsidRDefault="00D30B37" w:rsidP="00AA40FB">
            <w:pPr>
              <w:rPr>
                <w:sz w:val="24"/>
                <w:szCs w:val="24"/>
              </w:rPr>
            </w:pPr>
          </w:p>
        </w:tc>
        <w:tc>
          <w:tcPr>
            <w:tcW w:w="3097" w:type="dxa"/>
          </w:tcPr>
          <w:p w:rsidR="00D30B37" w:rsidRDefault="00D30B37" w:rsidP="00AA40FB">
            <w:pPr>
              <w:rPr>
                <w:sz w:val="24"/>
                <w:szCs w:val="24"/>
              </w:rPr>
            </w:pPr>
          </w:p>
        </w:tc>
      </w:tr>
      <w:tr w:rsidR="00D30B37" w:rsidTr="0082779D">
        <w:tc>
          <w:tcPr>
            <w:tcW w:w="2516" w:type="dxa"/>
            <w:vMerge/>
            <w:vAlign w:val="center"/>
          </w:tcPr>
          <w:p w:rsidR="00D30B37" w:rsidRDefault="00D30B37" w:rsidP="00AA40FB">
            <w:pPr>
              <w:jc w:val="center"/>
              <w:rPr>
                <w:sz w:val="24"/>
                <w:szCs w:val="24"/>
              </w:rPr>
            </w:pPr>
          </w:p>
        </w:tc>
        <w:tc>
          <w:tcPr>
            <w:tcW w:w="2546" w:type="dxa"/>
            <w:vMerge/>
            <w:vAlign w:val="center"/>
          </w:tcPr>
          <w:p w:rsidR="00D30B37" w:rsidRDefault="00D30B37" w:rsidP="00D0071D">
            <w:pPr>
              <w:pStyle w:val="ListParagraph"/>
              <w:ind w:left="360"/>
              <w:rPr>
                <w:sz w:val="24"/>
                <w:szCs w:val="24"/>
              </w:rPr>
            </w:pPr>
          </w:p>
        </w:tc>
        <w:tc>
          <w:tcPr>
            <w:tcW w:w="2544" w:type="dxa"/>
            <w:vAlign w:val="center"/>
          </w:tcPr>
          <w:p w:rsidR="00D30B37" w:rsidRDefault="00D30B37" w:rsidP="009E6CC8">
            <w:pPr>
              <w:rPr>
                <w:sz w:val="24"/>
                <w:szCs w:val="24"/>
              </w:rPr>
            </w:pPr>
            <w:r>
              <w:rPr>
                <w:sz w:val="24"/>
                <w:szCs w:val="24"/>
              </w:rPr>
              <w:t>Reiterate use of therapeutic drug monitoring (TDM) on patients with risk factors for malabsorption and provide guidance on use of TDM</w:t>
            </w:r>
          </w:p>
        </w:tc>
        <w:tc>
          <w:tcPr>
            <w:tcW w:w="2473" w:type="dxa"/>
          </w:tcPr>
          <w:p w:rsidR="00D30B37" w:rsidRDefault="00D30B37" w:rsidP="00AA40FB">
            <w:pPr>
              <w:rPr>
                <w:sz w:val="24"/>
                <w:szCs w:val="24"/>
              </w:rPr>
            </w:pPr>
            <w:r>
              <w:rPr>
                <w:sz w:val="24"/>
                <w:szCs w:val="24"/>
              </w:rPr>
              <w:t>Guidance for the use of TDM and examples of situations in which TDM should be useful were included in the TTBEP Manual.</w:t>
            </w:r>
          </w:p>
        </w:tc>
        <w:tc>
          <w:tcPr>
            <w:tcW w:w="3097" w:type="dxa"/>
          </w:tcPr>
          <w:p w:rsidR="00D30B37" w:rsidRDefault="00D30B37" w:rsidP="00AA40FB">
            <w:pPr>
              <w:rPr>
                <w:sz w:val="24"/>
                <w:szCs w:val="24"/>
              </w:rPr>
            </w:pPr>
            <w:r>
              <w:rPr>
                <w:sz w:val="24"/>
                <w:szCs w:val="24"/>
              </w:rPr>
              <w:t>In 2018 – 2019, the total percentage of patients that received TDMs with the following risk factors was:</w:t>
            </w:r>
          </w:p>
          <w:p w:rsidR="00D30B37" w:rsidRDefault="00D30B37" w:rsidP="00AA40FB">
            <w:pPr>
              <w:rPr>
                <w:sz w:val="24"/>
                <w:szCs w:val="24"/>
              </w:rPr>
            </w:pPr>
            <w:r>
              <w:rPr>
                <w:sz w:val="24"/>
                <w:szCs w:val="24"/>
              </w:rPr>
              <w:t>Diabetes mellitus: 71.1%</w:t>
            </w:r>
          </w:p>
          <w:p w:rsidR="00D30B37" w:rsidRDefault="00D30B37" w:rsidP="00AA40FB">
            <w:pPr>
              <w:rPr>
                <w:sz w:val="24"/>
                <w:szCs w:val="24"/>
              </w:rPr>
            </w:pPr>
            <w:r>
              <w:rPr>
                <w:sz w:val="24"/>
                <w:szCs w:val="24"/>
              </w:rPr>
              <w:t>Excessive alcohol use: 72.1%</w:t>
            </w:r>
          </w:p>
          <w:p w:rsidR="00D30B37" w:rsidRDefault="00D30B37" w:rsidP="00AA40FB">
            <w:pPr>
              <w:rPr>
                <w:sz w:val="24"/>
                <w:szCs w:val="24"/>
              </w:rPr>
            </w:pPr>
            <w:r>
              <w:rPr>
                <w:sz w:val="24"/>
                <w:szCs w:val="24"/>
              </w:rPr>
              <w:t>Immunosuppression: 46.2%</w:t>
            </w:r>
          </w:p>
          <w:p w:rsidR="00D30B37" w:rsidRDefault="00D30B37" w:rsidP="00AA40FB">
            <w:pPr>
              <w:rPr>
                <w:sz w:val="24"/>
                <w:szCs w:val="24"/>
              </w:rPr>
            </w:pPr>
            <w:r>
              <w:rPr>
                <w:sz w:val="24"/>
                <w:szCs w:val="24"/>
              </w:rPr>
              <w:t>Injecting drug use: 57.1%</w:t>
            </w:r>
          </w:p>
          <w:p w:rsidR="00D30B37" w:rsidRDefault="00D30B37" w:rsidP="00AA40FB">
            <w:pPr>
              <w:rPr>
                <w:sz w:val="24"/>
                <w:szCs w:val="24"/>
              </w:rPr>
            </w:pPr>
            <w:r>
              <w:rPr>
                <w:sz w:val="24"/>
                <w:szCs w:val="24"/>
              </w:rPr>
              <w:t>Non-injecting drug use: 67.7%</w:t>
            </w:r>
          </w:p>
          <w:p w:rsidR="00D30B37" w:rsidRDefault="00D30B37" w:rsidP="00AA40FB">
            <w:pPr>
              <w:rPr>
                <w:sz w:val="24"/>
                <w:szCs w:val="24"/>
              </w:rPr>
            </w:pPr>
            <w:r>
              <w:rPr>
                <w:sz w:val="24"/>
                <w:szCs w:val="24"/>
              </w:rPr>
              <w:t>HIV-positive: 63.6%</w:t>
            </w:r>
          </w:p>
          <w:p w:rsidR="00D30B37" w:rsidRDefault="00D30B37" w:rsidP="00AA40FB">
            <w:pPr>
              <w:rPr>
                <w:sz w:val="24"/>
                <w:szCs w:val="24"/>
              </w:rPr>
            </w:pPr>
            <w:r>
              <w:rPr>
                <w:sz w:val="24"/>
                <w:szCs w:val="24"/>
              </w:rPr>
              <w:t>End-stage renal disease: 50.0%</w:t>
            </w:r>
          </w:p>
        </w:tc>
      </w:tr>
      <w:tr w:rsidR="00D30B37" w:rsidTr="0082779D">
        <w:tc>
          <w:tcPr>
            <w:tcW w:w="2516" w:type="dxa"/>
            <w:vMerge/>
            <w:vAlign w:val="center"/>
          </w:tcPr>
          <w:p w:rsidR="00D30B37" w:rsidRDefault="00D30B37" w:rsidP="00AA40FB">
            <w:pPr>
              <w:jc w:val="center"/>
              <w:rPr>
                <w:sz w:val="24"/>
                <w:szCs w:val="24"/>
              </w:rPr>
            </w:pPr>
          </w:p>
        </w:tc>
        <w:tc>
          <w:tcPr>
            <w:tcW w:w="2546" w:type="dxa"/>
            <w:vMerge/>
            <w:vAlign w:val="center"/>
          </w:tcPr>
          <w:p w:rsidR="00D30B37" w:rsidRDefault="00D30B37" w:rsidP="00D0071D">
            <w:pPr>
              <w:pStyle w:val="ListParagraph"/>
              <w:ind w:left="360"/>
              <w:rPr>
                <w:sz w:val="24"/>
                <w:szCs w:val="24"/>
              </w:rPr>
            </w:pPr>
          </w:p>
        </w:tc>
        <w:tc>
          <w:tcPr>
            <w:tcW w:w="2544" w:type="dxa"/>
            <w:vAlign w:val="center"/>
          </w:tcPr>
          <w:p w:rsidR="00D30B37" w:rsidRDefault="00D30B37" w:rsidP="009E6CC8">
            <w:pPr>
              <w:rPr>
                <w:sz w:val="24"/>
                <w:szCs w:val="24"/>
              </w:rPr>
            </w:pPr>
            <w:r>
              <w:rPr>
                <w:sz w:val="24"/>
                <w:szCs w:val="24"/>
              </w:rPr>
              <w:t>Regional notification to central office nurse consultants of patients placed on non-standard regimen</w:t>
            </w:r>
          </w:p>
        </w:tc>
        <w:tc>
          <w:tcPr>
            <w:tcW w:w="2473" w:type="dxa"/>
          </w:tcPr>
          <w:p w:rsidR="00D30B37" w:rsidRDefault="00D30B37" w:rsidP="00AA40FB">
            <w:pPr>
              <w:rPr>
                <w:sz w:val="24"/>
                <w:szCs w:val="24"/>
              </w:rPr>
            </w:pPr>
            <w:r>
              <w:rPr>
                <w:sz w:val="24"/>
                <w:szCs w:val="24"/>
              </w:rPr>
              <w:t>Standard IV-18 in the 2019 TTBEP Manual states: “For each patient with suspected or confirmed TB disease placed on a non-standard regimen, the regional TB program provides documentation of the TB clinician’s order and rationale to TTBEP Central Office (C.O.) within two (2) business days.</w:t>
            </w:r>
          </w:p>
        </w:tc>
        <w:tc>
          <w:tcPr>
            <w:tcW w:w="3097" w:type="dxa"/>
          </w:tcPr>
          <w:p w:rsidR="00D30B37" w:rsidRDefault="00D30B37" w:rsidP="00AA40FB">
            <w:pPr>
              <w:rPr>
                <w:sz w:val="24"/>
                <w:szCs w:val="24"/>
              </w:rPr>
            </w:pPr>
          </w:p>
        </w:tc>
      </w:tr>
      <w:tr w:rsidR="00D30B37" w:rsidTr="0082779D">
        <w:trPr>
          <w:trHeight w:val="892"/>
        </w:trPr>
        <w:tc>
          <w:tcPr>
            <w:tcW w:w="2516" w:type="dxa"/>
            <w:vMerge/>
            <w:vAlign w:val="center"/>
          </w:tcPr>
          <w:p w:rsidR="00D30B37" w:rsidRDefault="00D30B37" w:rsidP="00AA40FB">
            <w:pPr>
              <w:jc w:val="center"/>
              <w:rPr>
                <w:sz w:val="24"/>
                <w:szCs w:val="24"/>
              </w:rPr>
            </w:pPr>
          </w:p>
        </w:tc>
        <w:tc>
          <w:tcPr>
            <w:tcW w:w="2546" w:type="dxa"/>
            <w:vMerge w:val="restart"/>
            <w:vAlign w:val="center"/>
          </w:tcPr>
          <w:p w:rsidR="00D30B37" w:rsidRPr="004F31D0" w:rsidRDefault="00D30B37" w:rsidP="00D0071D">
            <w:pPr>
              <w:pStyle w:val="ListParagraph"/>
              <w:numPr>
                <w:ilvl w:val="0"/>
                <w:numId w:val="2"/>
              </w:numPr>
              <w:rPr>
                <w:sz w:val="24"/>
                <w:szCs w:val="24"/>
              </w:rPr>
            </w:pPr>
            <w:r>
              <w:rPr>
                <w:sz w:val="24"/>
                <w:szCs w:val="24"/>
              </w:rPr>
              <w:t>Seek expert consultation</w:t>
            </w:r>
          </w:p>
        </w:tc>
        <w:tc>
          <w:tcPr>
            <w:tcW w:w="2544" w:type="dxa"/>
            <w:vMerge w:val="restart"/>
            <w:vAlign w:val="center"/>
          </w:tcPr>
          <w:p w:rsidR="00D30B37" w:rsidRDefault="00D30B37" w:rsidP="009E6CC8">
            <w:pPr>
              <w:rPr>
                <w:sz w:val="24"/>
                <w:szCs w:val="24"/>
              </w:rPr>
            </w:pPr>
            <w:r>
              <w:rPr>
                <w:sz w:val="24"/>
                <w:szCs w:val="24"/>
              </w:rPr>
              <w:t>Clarify circumstances which warrant seeking expert consultation with state TB program, Southeastern National TB Center (SNTC), and CDC</w:t>
            </w:r>
          </w:p>
        </w:tc>
        <w:tc>
          <w:tcPr>
            <w:tcW w:w="2473" w:type="dxa"/>
            <w:vMerge w:val="restart"/>
          </w:tcPr>
          <w:p w:rsidR="00D30B37" w:rsidRDefault="00D30B37" w:rsidP="00AA40FB">
            <w:pPr>
              <w:rPr>
                <w:sz w:val="24"/>
                <w:szCs w:val="24"/>
              </w:rPr>
            </w:pPr>
          </w:p>
        </w:tc>
        <w:tc>
          <w:tcPr>
            <w:tcW w:w="3097" w:type="dxa"/>
          </w:tcPr>
          <w:p w:rsidR="00D30B37" w:rsidRPr="00CA7532" w:rsidRDefault="00D30B37" w:rsidP="0082779D">
            <w:pPr>
              <w:rPr>
                <w:sz w:val="24"/>
                <w:szCs w:val="24"/>
              </w:rPr>
            </w:pPr>
            <w:r>
              <w:rPr>
                <w:sz w:val="24"/>
                <w:szCs w:val="24"/>
              </w:rPr>
              <w:t xml:space="preserve">In 2018, the TTBEP had two (2) consultations with SNTC.  </w:t>
            </w:r>
          </w:p>
        </w:tc>
      </w:tr>
      <w:tr w:rsidR="00D30B37" w:rsidTr="0082779D">
        <w:trPr>
          <w:trHeight w:val="892"/>
        </w:trPr>
        <w:tc>
          <w:tcPr>
            <w:tcW w:w="2516" w:type="dxa"/>
            <w:vMerge/>
            <w:vAlign w:val="center"/>
          </w:tcPr>
          <w:p w:rsidR="00D30B37" w:rsidRDefault="00D30B37" w:rsidP="00AA40FB">
            <w:pPr>
              <w:jc w:val="center"/>
              <w:rPr>
                <w:sz w:val="24"/>
                <w:szCs w:val="24"/>
              </w:rPr>
            </w:pPr>
          </w:p>
        </w:tc>
        <w:tc>
          <w:tcPr>
            <w:tcW w:w="2546" w:type="dxa"/>
            <w:vMerge/>
            <w:vAlign w:val="center"/>
          </w:tcPr>
          <w:p w:rsidR="00D30B37" w:rsidRDefault="00D30B37" w:rsidP="00D0071D">
            <w:pPr>
              <w:pStyle w:val="ListParagraph"/>
              <w:numPr>
                <w:ilvl w:val="0"/>
                <w:numId w:val="2"/>
              </w:numPr>
              <w:rPr>
                <w:sz w:val="24"/>
                <w:szCs w:val="24"/>
              </w:rPr>
            </w:pPr>
          </w:p>
        </w:tc>
        <w:tc>
          <w:tcPr>
            <w:tcW w:w="2544" w:type="dxa"/>
            <w:vMerge/>
            <w:vAlign w:val="center"/>
          </w:tcPr>
          <w:p w:rsidR="00D30B37" w:rsidRDefault="00D30B37" w:rsidP="009E6CC8">
            <w:pPr>
              <w:rPr>
                <w:sz w:val="24"/>
                <w:szCs w:val="24"/>
              </w:rPr>
            </w:pPr>
          </w:p>
        </w:tc>
        <w:tc>
          <w:tcPr>
            <w:tcW w:w="2473" w:type="dxa"/>
            <w:vMerge/>
          </w:tcPr>
          <w:p w:rsidR="00D30B37" w:rsidRDefault="00D30B37" w:rsidP="00AA40FB">
            <w:pPr>
              <w:rPr>
                <w:sz w:val="24"/>
                <w:szCs w:val="24"/>
              </w:rPr>
            </w:pPr>
          </w:p>
        </w:tc>
        <w:tc>
          <w:tcPr>
            <w:tcW w:w="3097" w:type="dxa"/>
          </w:tcPr>
          <w:p w:rsidR="00D30B37" w:rsidRDefault="00D30B37" w:rsidP="00AA40FB">
            <w:pPr>
              <w:rPr>
                <w:sz w:val="24"/>
                <w:szCs w:val="24"/>
              </w:rPr>
            </w:pPr>
            <w:r>
              <w:rPr>
                <w:sz w:val="24"/>
                <w:szCs w:val="24"/>
              </w:rPr>
              <w:t>In 2019, there were 29 consultations between the TTBEP and SNTC as of 10/28/19.</w:t>
            </w:r>
          </w:p>
        </w:tc>
      </w:tr>
      <w:tr w:rsidR="00D30B37" w:rsidTr="0082779D">
        <w:tc>
          <w:tcPr>
            <w:tcW w:w="2516" w:type="dxa"/>
            <w:vMerge/>
            <w:vAlign w:val="center"/>
          </w:tcPr>
          <w:p w:rsidR="00D30B37" w:rsidRDefault="00D30B37" w:rsidP="00AA40FB">
            <w:pPr>
              <w:jc w:val="center"/>
              <w:rPr>
                <w:sz w:val="24"/>
                <w:szCs w:val="24"/>
              </w:rPr>
            </w:pPr>
          </w:p>
        </w:tc>
        <w:tc>
          <w:tcPr>
            <w:tcW w:w="2546" w:type="dxa"/>
            <w:vAlign w:val="center"/>
          </w:tcPr>
          <w:p w:rsidR="00D30B37" w:rsidRPr="004F31D0" w:rsidRDefault="00D30B37" w:rsidP="00D0071D">
            <w:pPr>
              <w:pStyle w:val="ListParagraph"/>
              <w:numPr>
                <w:ilvl w:val="0"/>
                <w:numId w:val="2"/>
              </w:numPr>
              <w:rPr>
                <w:sz w:val="24"/>
                <w:szCs w:val="24"/>
              </w:rPr>
            </w:pPr>
            <w:r>
              <w:rPr>
                <w:sz w:val="24"/>
                <w:szCs w:val="24"/>
              </w:rPr>
              <w:t>Collaborate with HIV/AIDS programs</w:t>
            </w:r>
          </w:p>
        </w:tc>
        <w:tc>
          <w:tcPr>
            <w:tcW w:w="2544" w:type="dxa"/>
            <w:vAlign w:val="center"/>
          </w:tcPr>
          <w:p w:rsidR="00D30B37" w:rsidRDefault="00D30B37" w:rsidP="009E6CC8">
            <w:pPr>
              <w:rPr>
                <w:sz w:val="24"/>
                <w:szCs w:val="24"/>
              </w:rPr>
            </w:pPr>
            <w:r>
              <w:rPr>
                <w:sz w:val="24"/>
                <w:szCs w:val="24"/>
              </w:rPr>
              <w:t xml:space="preserve">Provide cross-match of TB/HIV co-infected patients to HIV program semi-annually </w:t>
            </w:r>
          </w:p>
          <w:p w:rsidR="008B3CF8" w:rsidRDefault="008B3CF8" w:rsidP="009E6CC8">
            <w:pPr>
              <w:rPr>
                <w:sz w:val="24"/>
                <w:szCs w:val="24"/>
              </w:rPr>
            </w:pPr>
          </w:p>
        </w:tc>
        <w:tc>
          <w:tcPr>
            <w:tcW w:w="2473" w:type="dxa"/>
          </w:tcPr>
          <w:p w:rsidR="00D30B37" w:rsidRDefault="00D30B37" w:rsidP="00AA40FB">
            <w:pPr>
              <w:rPr>
                <w:sz w:val="24"/>
                <w:szCs w:val="24"/>
              </w:rPr>
            </w:pPr>
          </w:p>
        </w:tc>
        <w:tc>
          <w:tcPr>
            <w:tcW w:w="3097" w:type="dxa"/>
          </w:tcPr>
          <w:p w:rsidR="00D30B37" w:rsidRDefault="00D30B37" w:rsidP="00AA40FB">
            <w:pPr>
              <w:rPr>
                <w:sz w:val="24"/>
                <w:szCs w:val="24"/>
              </w:rPr>
            </w:pPr>
          </w:p>
        </w:tc>
      </w:tr>
      <w:tr w:rsidR="00D30B37" w:rsidTr="0082779D">
        <w:tc>
          <w:tcPr>
            <w:tcW w:w="2516" w:type="dxa"/>
            <w:vMerge/>
            <w:vAlign w:val="center"/>
          </w:tcPr>
          <w:p w:rsidR="00D30B37" w:rsidRDefault="00D30B37" w:rsidP="00AA40FB">
            <w:pPr>
              <w:jc w:val="center"/>
              <w:rPr>
                <w:sz w:val="24"/>
                <w:szCs w:val="24"/>
              </w:rPr>
            </w:pPr>
          </w:p>
        </w:tc>
        <w:tc>
          <w:tcPr>
            <w:tcW w:w="2546" w:type="dxa"/>
            <w:vAlign w:val="center"/>
          </w:tcPr>
          <w:p w:rsidR="00D30B37" w:rsidRPr="004F31D0" w:rsidRDefault="00D30B37" w:rsidP="00D0071D">
            <w:pPr>
              <w:pStyle w:val="ListParagraph"/>
              <w:numPr>
                <w:ilvl w:val="0"/>
                <w:numId w:val="2"/>
              </w:numPr>
              <w:rPr>
                <w:sz w:val="24"/>
                <w:szCs w:val="24"/>
              </w:rPr>
            </w:pPr>
            <w:r>
              <w:rPr>
                <w:sz w:val="24"/>
                <w:szCs w:val="24"/>
              </w:rPr>
              <w:t>Collaborate with external partners</w:t>
            </w:r>
          </w:p>
        </w:tc>
        <w:tc>
          <w:tcPr>
            <w:tcW w:w="2544" w:type="dxa"/>
            <w:vAlign w:val="center"/>
          </w:tcPr>
          <w:p w:rsidR="00D30B37" w:rsidRDefault="00D30B37" w:rsidP="004217A3">
            <w:pPr>
              <w:rPr>
                <w:sz w:val="24"/>
                <w:szCs w:val="24"/>
              </w:rPr>
            </w:pPr>
            <w:r>
              <w:rPr>
                <w:sz w:val="24"/>
                <w:szCs w:val="24"/>
              </w:rPr>
              <w:t>Identify a liaison to collaborate with partners that serve high-risk populations (e.g., corrections, community health centers, A&amp;D facilities, homeless shelters, etc.)</w:t>
            </w:r>
          </w:p>
        </w:tc>
        <w:tc>
          <w:tcPr>
            <w:tcW w:w="2473" w:type="dxa"/>
          </w:tcPr>
          <w:p w:rsidR="00D30B37" w:rsidRDefault="00D30B37" w:rsidP="00AA40FB">
            <w:pPr>
              <w:rPr>
                <w:sz w:val="24"/>
                <w:szCs w:val="24"/>
              </w:rPr>
            </w:pPr>
          </w:p>
        </w:tc>
        <w:tc>
          <w:tcPr>
            <w:tcW w:w="3097" w:type="dxa"/>
          </w:tcPr>
          <w:p w:rsidR="00D30B37" w:rsidRDefault="00D30B37" w:rsidP="00AA40FB">
            <w:pPr>
              <w:rPr>
                <w:sz w:val="24"/>
                <w:szCs w:val="24"/>
              </w:rPr>
            </w:pPr>
          </w:p>
        </w:tc>
      </w:tr>
      <w:tr w:rsidR="00D30B37" w:rsidTr="0082779D">
        <w:tc>
          <w:tcPr>
            <w:tcW w:w="2516" w:type="dxa"/>
            <w:vMerge/>
            <w:vAlign w:val="center"/>
          </w:tcPr>
          <w:p w:rsidR="00D30B37" w:rsidRDefault="00D30B37" w:rsidP="00AA40FB">
            <w:pPr>
              <w:jc w:val="center"/>
              <w:rPr>
                <w:sz w:val="24"/>
                <w:szCs w:val="24"/>
              </w:rPr>
            </w:pPr>
          </w:p>
        </w:tc>
        <w:tc>
          <w:tcPr>
            <w:tcW w:w="2546" w:type="dxa"/>
            <w:vAlign w:val="center"/>
          </w:tcPr>
          <w:p w:rsidR="00D30B37" w:rsidRPr="004F31D0" w:rsidRDefault="00D30B37" w:rsidP="00D0071D">
            <w:pPr>
              <w:pStyle w:val="ListParagraph"/>
              <w:numPr>
                <w:ilvl w:val="0"/>
                <w:numId w:val="2"/>
              </w:numPr>
              <w:rPr>
                <w:sz w:val="24"/>
                <w:szCs w:val="24"/>
              </w:rPr>
            </w:pPr>
            <w:r>
              <w:rPr>
                <w:sz w:val="24"/>
                <w:szCs w:val="24"/>
              </w:rPr>
              <w:t>Binational referral</w:t>
            </w:r>
          </w:p>
        </w:tc>
        <w:tc>
          <w:tcPr>
            <w:tcW w:w="2544" w:type="dxa"/>
            <w:vAlign w:val="center"/>
          </w:tcPr>
          <w:p w:rsidR="00D30B37" w:rsidRDefault="00D30B37" w:rsidP="004217A3">
            <w:pPr>
              <w:rPr>
                <w:sz w:val="24"/>
                <w:szCs w:val="24"/>
              </w:rPr>
            </w:pPr>
            <w:r>
              <w:rPr>
                <w:sz w:val="24"/>
                <w:szCs w:val="24"/>
              </w:rPr>
              <w:t>Provide binational referral toolkit to all regional TB program managers</w:t>
            </w:r>
          </w:p>
        </w:tc>
        <w:tc>
          <w:tcPr>
            <w:tcW w:w="2473" w:type="dxa"/>
          </w:tcPr>
          <w:p w:rsidR="00D30B37" w:rsidRDefault="00D30B37" w:rsidP="00AA40FB">
            <w:pPr>
              <w:rPr>
                <w:sz w:val="24"/>
                <w:szCs w:val="24"/>
              </w:rPr>
            </w:pPr>
          </w:p>
        </w:tc>
        <w:tc>
          <w:tcPr>
            <w:tcW w:w="3097" w:type="dxa"/>
          </w:tcPr>
          <w:p w:rsidR="00D30B37" w:rsidRDefault="00D30B37" w:rsidP="00AA40FB">
            <w:pPr>
              <w:rPr>
                <w:sz w:val="24"/>
                <w:szCs w:val="24"/>
              </w:rPr>
            </w:pPr>
          </w:p>
        </w:tc>
      </w:tr>
      <w:tr w:rsidR="00D30B37" w:rsidTr="00D30B37">
        <w:trPr>
          <w:trHeight w:val="1148"/>
        </w:trPr>
        <w:tc>
          <w:tcPr>
            <w:tcW w:w="2516" w:type="dxa"/>
            <w:vMerge/>
            <w:vAlign w:val="center"/>
          </w:tcPr>
          <w:p w:rsidR="00D30B37" w:rsidRDefault="00D30B37" w:rsidP="00AA40FB">
            <w:pPr>
              <w:jc w:val="center"/>
              <w:rPr>
                <w:sz w:val="24"/>
                <w:szCs w:val="24"/>
              </w:rPr>
            </w:pPr>
          </w:p>
        </w:tc>
        <w:tc>
          <w:tcPr>
            <w:tcW w:w="2546" w:type="dxa"/>
            <w:vMerge w:val="restart"/>
            <w:vAlign w:val="center"/>
          </w:tcPr>
          <w:p w:rsidR="00D30B37" w:rsidRPr="004F31D0" w:rsidRDefault="00D30B37" w:rsidP="00D0071D">
            <w:pPr>
              <w:pStyle w:val="ListParagraph"/>
              <w:numPr>
                <w:ilvl w:val="0"/>
                <w:numId w:val="2"/>
              </w:numPr>
              <w:rPr>
                <w:sz w:val="24"/>
                <w:szCs w:val="24"/>
              </w:rPr>
            </w:pPr>
            <w:r>
              <w:rPr>
                <w:sz w:val="24"/>
                <w:szCs w:val="24"/>
              </w:rPr>
              <w:t>Partner with DGMQ</w:t>
            </w:r>
          </w:p>
        </w:tc>
        <w:tc>
          <w:tcPr>
            <w:tcW w:w="2544" w:type="dxa"/>
            <w:vMerge w:val="restart"/>
            <w:vAlign w:val="center"/>
          </w:tcPr>
          <w:p w:rsidR="00D30B37" w:rsidRDefault="00D30B37" w:rsidP="00D0071D">
            <w:pPr>
              <w:rPr>
                <w:sz w:val="24"/>
                <w:szCs w:val="24"/>
              </w:rPr>
            </w:pPr>
            <w:r>
              <w:rPr>
                <w:sz w:val="24"/>
                <w:szCs w:val="24"/>
              </w:rPr>
              <w:t>Develop evaluation for TATs for B-notifications</w:t>
            </w:r>
          </w:p>
        </w:tc>
        <w:tc>
          <w:tcPr>
            <w:tcW w:w="2473" w:type="dxa"/>
            <w:vMerge w:val="restart"/>
          </w:tcPr>
          <w:p w:rsidR="00D30B37" w:rsidRDefault="00D30B37" w:rsidP="00AA40FB">
            <w:pPr>
              <w:rPr>
                <w:sz w:val="24"/>
                <w:szCs w:val="24"/>
              </w:rPr>
            </w:pPr>
            <w:r>
              <w:rPr>
                <w:sz w:val="24"/>
                <w:szCs w:val="24"/>
              </w:rPr>
              <w:t>Developed a state-maintained database for B-notifications received with corresponding dates notifications received and dates of evaluation initiation and completion.</w:t>
            </w:r>
          </w:p>
        </w:tc>
        <w:tc>
          <w:tcPr>
            <w:tcW w:w="3097" w:type="dxa"/>
          </w:tcPr>
          <w:p w:rsidR="00D30B37" w:rsidRDefault="00B143DA" w:rsidP="00AA40FB">
            <w:pPr>
              <w:rPr>
                <w:sz w:val="24"/>
                <w:szCs w:val="24"/>
              </w:rPr>
            </w:pPr>
            <w:r>
              <w:rPr>
                <w:sz w:val="24"/>
                <w:szCs w:val="24"/>
              </w:rPr>
              <w:t>In 2018, the TTBEP received 144 B-notifications.  Of those, 77 (</w:t>
            </w:r>
            <w:r w:rsidR="00B247F7">
              <w:rPr>
                <w:sz w:val="24"/>
                <w:szCs w:val="24"/>
              </w:rPr>
              <w:t>53.5%) initiated an evaluation within 30 days of receipt of notification.</w:t>
            </w:r>
          </w:p>
        </w:tc>
      </w:tr>
      <w:tr w:rsidR="00D30B37" w:rsidTr="0082779D">
        <w:trPr>
          <w:trHeight w:val="1148"/>
        </w:trPr>
        <w:tc>
          <w:tcPr>
            <w:tcW w:w="2516" w:type="dxa"/>
            <w:vMerge/>
            <w:vAlign w:val="center"/>
          </w:tcPr>
          <w:p w:rsidR="00D30B37" w:rsidRDefault="00D30B37" w:rsidP="00AA40FB">
            <w:pPr>
              <w:jc w:val="center"/>
              <w:rPr>
                <w:sz w:val="24"/>
                <w:szCs w:val="24"/>
              </w:rPr>
            </w:pPr>
          </w:p>
        </w:tc>
        <w:tc>
          <w:tcPr>
            <w:tcW w:w="2546" w:type="dxa"/>
            <w:vMerge/>
            <w:vAlign w:val="center"/>
          </w:tcPr>
          <w:p w:rsidR="00D30B37" w:rsidRDefault="00D30B37" w:rsidP="00D0071D">
            <w:pPr>
              <w:pStyle w:val="ListParagraph"/>
              <w:numPr>
                <w:ilvl w:val="0"/>
                <w:numId w:val="2"/>
              </w:numPr>
              <w:rPr>
                <w:sz w:val="24"/>
                <w:szCs w:val="24"/>
              </w:rPr>
            </w:pPr>
          </w:p>
        </w:tc>
        <w:tc>
          <w:tcPr>
            <w:tcW w:w="2544" w:type="dxa"/>
            <w:vMerge/>
            <w:vAlign w:val="center"/>
          </w:tcPr>
          <w:p w:rsidR="00D30B37" w:rsidRDefault="00D30B37" w:rsidP="00D0071D">
            <w:pPr>
              <w:rPr>
                <w:sz w:val="24"/>
                <w:szCs w:val="24"/>
              </w:rPr>
            </w:pPr>
          </w:p>
        </w:tc>
        <w:tc>
          <w:tcPr>
            <w:tcW w:w="2473" w:type="dxa"/>
            <w:vMerge/>
          </w:tcPr>
          <w:p w:rsidR="00D30B37" w:rsidRDefault="00D30B37" w:rsidP="00AA40FB">
            <w:pPr>
              <w:rPr>
                <w:sz w:val="24"/>
                <w:szCs w:val="24"/>
              </w:rPr>
            </w:pPr>
          </w:p>
        </w:tc>
        <w:tc>
          <w:tcPr>
            <w:tcW w:w="3097" w:type="dxa"/>
          </w:tcPr>
          <w:p w:rsidR="00D30B37" w:rsidRDefault="00AA0B4C" w:rsidP="00AA40FB">
            <w:pPr>
              <w:rPr>
                <w:sz w:val="24"/>
                <w:szCs w:val="24"/>
              </w:rPr>
            </w:pPr>
            <w:r>
              <w:rPr>
                <w:sz w:val="24"/>
                <w:szCs w:val="24"/>
              </w:rPr>
              <w:t>&lt;Enter 2019&gt;</w:t>
            </w:r>
          </w:p>
        </w:tc>
      </w:tr>
      <w:tr w:rsidR="00393249" w:rsidTr="00BA5387">
        <w:tc>
          <w:tcPr>
            <w:tcW w:w="2516" w:type="dxa"/>
            <w:vMerge/>
            <w:vAlign w:val="center"/>
          </w:tcPr>
          <w:p w:rsidR="00393249" w:rsidRDefault="00393249" w:rsidP="00AA40FB">
            <w:pPr>
              <w:jc w:val="center"/>
              <w:rPr>
                <w:sz w:val="24"/>
                <w:szCs w:val="24"/>
              </w:rPr>
            </w:pPr>
          </w:p>
        </w:tc>
        <w:tc>
          <w:tcPr>
            <w:tcW w:w="2546" w:type="dxa"/>
            <w:vMerge/>
          </w:tcPr>
          <w:p w:rsidR="00393249" w:rsidRDefault="00393249" w:rsidP="00D0071D">
            <w:pPr>
              <w:pStyle w:val="ListParagraph"/>
              <w:ind w:left="360"/>
              <w:rPr>
                <w:sz w:val="24"/>
                <w:szCs w:val="24"/>
              </w:rPr>
            </w:pPr>
          </w:p>
        </w:tc>
        <w:tc>
          <w:tcPr>
            <w:tcW w:w="2544" w:type="dxa"/>
            <w:vAlign w:val="center"/>
          </w:tcPr>
          <w:p w:rsidR="00393249" w:rsidRDefault="00393249" w:rsidP="00D0071D">
            <w:pPr>
              <w:rPr>
                <w:sz w:val="24"/>
                <w:szCs w:val="24"/>
              </w:rPr>
            </w:pPr>
            <w:r>
              <w:rPr>
                <w:sz w:val="24"/>
                <w:szCs w:val="24"/>
              </w:rPr>
              <w:t>Clarify criteria for “Do Not Board” in updated TB Manual</w:t>
            </w:r>
          </w:p>
        </w:tc>
        <w:tc>
          <w:tcPr>
            <w:tcW w:w="5570" w:type="dxa"/>
            <w:gridSpan w:val="2"/>
          </w:tcPr>
          <w:p w:rsidR="00393249" w:rsidRDefault="00393249" w:rsidP="00AA40FB">
            <w:pPr>
              <w:rPr>
                <w:sz w:val="24"/>
                <w:szCs w:val="24"/>
              </w:rPr>
            </w:pPr>
            <w:r>
              <w:rPr>
                <w:sz w:val="24"/>
                <w:szCs w:val="24"/>
              </w:rPr>
              <w:t>Because the TTBEP central office (C.O.) staff work with DGMQ for all cases placed on the “Do Not Board” list, it was decided not to include this information for regional TB programs in the TB Manual.</w:t>
            </w:r>
          </w:p>
        </w:tc>
      </w:tr>
      <w:tr w:rsidR="00D30B37" w:rsidTr="0082779D">
        <w:tc>
          <w:tcPr>
            <w:tcW w:w="2516" w:type="dxa"/>
            <w:vMerge/>
            <w:vAlign w:val="center"/>
          </w:tcPr>
          <w:p w:rsidR="00D30B37" w:rsidRDefault="00D30B37" w:rsidP="00AA40FB">
            <w:pPr>
              <w:jc w:val="center"/>
              <w:rPr>
                <w:sz w:val="24"/>
                <w:szCs w:val="24"/>
              </w:rPr>
            </w:pPr>
          </w:p>
        </w:tc>
        <w:tc>
          <w:tcPr>
            <w:tcW w:w="2546" w:type="dxa"/>
            <w:vAlign w:val="center"/>
          </w:tcPr>
          <w:p w:rsidR="00D30B37" w:rsidRDefault="00D30B37" w:rsidP="00D0071D">
            <w:pPr>
              <w:pStyle w:val="ListParagraph"/>
              <w:numPr>
                <w:ilvl w:val="0"/>
                <w:numId w:val="2"/>
              </w:numPr>
              <w:rPr>
                <w:sz w:val="24"/>
                <w:szCs w:val="24"/>
              </w:rPr>
            </w:pPr>
            <w:r>
              <w:rPr>
                <w:sz w:val="24"/>
                <w:szCs w:val="24"/>
              </w:rPr>
              <w:t>Evaluate case management</w:t>
            </w:r>
          </w:p>
        </w:tc>
        <w:tc>
          <w:tcPr>
            <w:tcW w:w="2544" w:type="dxa"/>
            <w:vAlign w:val="center"/>
          </w:tcPr>
          <w:p w:rsidR="00D30B37" w:rsidRDefault="00D30B37" w:rsidP="00D0071D">
            <w:pPr>
              <w:rPr>
                <w:sz w:val="24"/>
                <w:szCs w:val="24"/>
              </w:rPr>
            </w:pPr>
            <w:r>
              <w:rPr>
                <w:sz w:val="24"/>
                <w:szCs w:val="24"/>
              </w:rPr>
              <w:t>Perform systematic annual programmatic assessments of TB cases and TBI cases</w:t>
            </w:r>
          </w:p>
        </w:tc>
        <w:tc>
          <w:tcPr>
            <w:tcW w:w="2473" w:type="dxa"/>
          </w:tcPr>
          <w:p w:rsidR="00D30B37" w:rsidRDefault="00D30B37" w:rsidP="00AA40FB">
            <w:pPr>
              <w:rPr>
                <w:sz w:val="24"/>
                <w:szCs w:val="24"/>
              </w:rPr>
            </w:pPr>
          </w:p>
        </w:tc>
        <w:tc>
          <w:tcPr>
            <w:tcW w:w="3097" w:type="dxa"/>
          </w:tcPr>
          <w:p w:rsidR="00D30B37" w:rsidRDefault="00D30B37" w:rsidP="00AA40FB">
            <w:pPr>
              <w:rPr>
                <w:sz w:val="24"/>
                <w:szCs w:val="24"/>
              </w:rPr>
            </w:pPr>
          </w:p>
        </w:tc>
      </w:tr>
      <w:tr w:rsidR="00D30B37" w:rsidTr="0082779D">
        <w:tc>
          <w:tcPr>
            <w:tcW w:w="2516" w:type="dxa"/>
            <w:vMerge/>
            <w:vAlign w:val="center"/>
          </w:tcPr>
          <w:p w:rsidR="00D30B37" w:rsidRDefault="00D30B37" w:rsidP="00AA40FB">
            <w:pPr>
              <w:jc w:val="center"/>
              <w:rPr>
                <w:sz w:val="24"/>
                <w:szCs w:val="24"/>
              </w:rPr>
            </w:pPr>
          </w:p>
        </w:tc>
        <w:tc>
          <w:tcPr>
            <w:tcW w:w="2546" w:type="dxa"/>
            <w:vAlign w:val="center"/>
          </w:tcPr>
          <w:p w:rsidR="00D30B37" w:rsidRDefault="00D30B37" w:rsidP="00D0071D">
            <w:pPr>
              <w:pStyle w:val="ListParagraph"/>
              <w:numPr>
                <w:ilvl w:val="0"/>
                <w:numId w:val="2"/>
              </w:numPr>
              <w:rPr>
                <w:sz w:val="24"/>
                <w:szCs w:val="24"/>
              </w:rPr>
            </w:pPr>
            <w:r>
              <w:rPr>
                <w:sz w:val="24"/>
                <w:szCs w:val="24"/>
              </w:rPr>
              <w:t>TB elimination advisory committee</w:t>
            </w:r>
          </w:p>
        </w:tc>
        <w:tc>
          <w:tcPr>
            <w:tcW w:w="2544" w:type="dxa"/>
            <w:vAlign w:val="center"/>
          </w:tcPr>
          <w:p w:rsidR="00D30B37" w:rsidRDefault="00D30B37" w:rsidP="00D0071D">
            <w:pPr>
              <w:rPr>
                <w:sz w:val="24"/>
                <w:szCs w:val="24"/>
              </w:rPr>
            </w:pPr>
            <w:r>
              <w:rPr>
                <w:sz w:val="24"/>
                <w:szCs w:val="24"/>
              </w:rPr>
              <w:t>Establish a TB medical advisory committee</w:t>
            </w:r>
          </w:p>
        </w:tc>
        <w:tc>
          <w:tcPr>
            <w:tcW w:w="2473" w:type="dxa"/>
          </w:tcPr>
          <w:p w:rsidR="00D30B37" w:rsidRDefault="00D30B37" w:rsidP="00AA40FB">
            <w:pPr>
              <w:rPr>
                <w:sz w:val="24"/>
                <w:szCs w:val="24"/>
              </w:rPr>
            </w:pPr>
          </w:p>
        </w:tc>
        <w:tc>
          <w:tcPr>
            <w:tcW w:w="3097" w:type="dxa"/>
          </w:tcPr>
          <w:p w:rsidR="00D30B37" w:rsidRDefault="00D30B37" w:rsidP="00AA40FB">
            <w:pPr>
              <w:rPr>
                <w:sz w:val="24"/>
                <w:szCs w:val="24"/>
              </w:rPr>
            </w:pPr>
          </w:p>
        </w:tc>
      </w:tr>
      <w:tr w:rsidR="00883440" w:rsidTr="0082779D">
        <w:tc>
          <w:tcPr>
            <w:tcW w:w="2516" w:type="dxa"/>
            <w:vMerge w:val="restart"/>
            <w:vAlign w:val="center"/>
          </w:tcPr>
          <w:p w:rsidR="00883440" w:rsidRDefault="00883440" w:rsidP="00702B67">
            <w:pPr>
              <w:jc w:val="center"/>
              <w:rPr>
                <w:sz w:val="24"/>
                <w:szCs w:val="24"/>
              </w:rPr>
            </w:pPr>
            <w:r>
              <w:rPr>
                <w:b/>
                <w:sz w:val="24"/>
                <w:szCs w:val="24"/>
                <w:u w:val="single"/>
              </w:rPr>
              <w:t>Strategy 2</w:t>
            </w:r>
            <w:r>
              <w:rPr>
                <w:sz w:val="24"/>
                <w:szCs w:val="24"/>
              </w:rPr>
              <w:t xml:space="preserve">: </w:t>
            </w:r>
          </w:p>
          <w:p w:rsidR="00883440" w:rsidRPr="004F31D0" w:rsidRDefault="00883440" w:rsidP="00702B67">
            <w:pPr>
              <w:jc w:val="center"/>
              <w:rPr>
                <w:sz w:val="24"/>
                <w:szCs w:val="24"/>
              </w:rPr>
            </w:pPr>
            <w:r>
              <w:rPr>
                <w:sz w:val="24"/>
                <w:szCs w:val="24"/>
              </w:rPr>
              <w:t>Surveillance of TB Cases and Case Reporting</w:t>
            </w:r>
          </w:p>
        </w:tc>
        <w:tc>
          <w:tcPr>
            <w:tcW w:w="2546" w:type="dxa"/>
            <w:vAlign w:val="center"/>
          </w:tcPr>
          <w:p w:rsidR="00883440" w:rsidRPr="004F31D0" w:rsidRDefault="00883440" w:rsidP="00D0071D">
            <w:pPr>
              <w:pStyle w:val="ListParagraph"/>
              <w:numPr>
                <w:ilvl w:val="0"/>
                <w:numId w:val="3"/>
              </w:numPr>
              <w:ind w:left="335"/>
              <w:rPr>
                <w:sz w:val="24"/>
                <w:szCs w:val="24"/>
              </w:rPr>
            </w:pPr>
            <w:r>
              <w:rPr>
                <w:sz w:val="24"/>
                <w:szCs w:val="24"/>
              </w:rPr>
              <w:t>Report complete data on RVCT</w:t>
            </w:r>
          </w:p>
        </w:tc>
        <w:tc>
          <w:tcPr>
            <w:tcW w:w="2544" w:type="dxa"/>
            <w:vAlign w:val="center"/>
          </w:tcPr>
          <w:p w:rsidR="00883440" w:rsidRDefault="00D0071D" w:rsidP="00D0071D">
            <w:pPr>
              <w:rPr>
                <w:sz w:val="24"/>
                <w:szCs w:val="24"/>
              </w:rPr>
            </w:pPr>
            <w:r>
              <w:rPr>
                <w:sz w:val="24"/>
                <w:szCs w:val="24"/>
              </w:rPr>
              <w:t>Perform RVCT data quality assurance on all TB cases with a closed investigation</w:t>
            </w:r>
          </w:p>
        </w:tc>
        <w:tc>
          <w:tcPr>
            <w:tcW w:w="2473" w:type="dxa"/>
          </w:tcPr>
          <w:p w:rsidR="00883440" w:rsidRDefault="00883440" w:rsidP="00AA40FB">
            <w:pPr>
              <w:rPr>
                <w:sz w:val="24"/>
                <w:szCs w:val="24"/>
              </w:rPr>
            </w:pPr>
          </w:p>
        </w:tc>
        <w:tc>
          <w:tcPr>
            <w:tcW w:w="3097" w:type="dxa"/>
          </w:tcPr>
          <w:p w:rsidR="00883440" w:rsidRDefault="00883440" w:rsidP="00AA40FB">
            <w:pPr>
              <w:rPr>
                <w:sz w:val="24"/>
                <w:szCs w:val="24"/>
              </w:rPr>
            </w:pPr>
          </w:p>
        </w:tc>
      </w:tr>
      <w:tr w:rsidR="00D0071D" w:rsidTr="0082779D">
        <w:tc>
          <w:tcPr>
            <w:tcW w:w="2516" w:type="dxa"/>
            <w:vMerge/>
            <w:vAlign w:val="center"/>
          </w:tcPr>
          <w:p w:rsidR="00D0071D" w:rsidRDefault="00D0071D" w:rsidP="00702B67">
            <w:pPr>
              <w:jc w:val="center"/>
              <w:rPr>
                <w:b/>
                <w:sz w:val="24"/>
                <w:szCs w:val="24"/>
                <w:u w:val="single"/>
              </w:rPr>
            </w:pPr>
          </w:p>
        </w:tc>
        <w:tc>
          <w:tcPr>
            <w:tcW w:w="2546" w:type="dxa"/>
            <w:vAlign w:val="center"/>
          </w:tcPr>
          <w:p w:rsidR="00D0071D" w:rsidRDefault="00D0071D" w:rsidP="00D0071D">
            <w:pPr>
              <w:pStyle w:val="ListParagraph"/>
              <w:numPr>
                <w:ilvl w:val="0"/>
                <w:numId w:val="3"/>
              </w:numPr>
              <w:ind w:left="335"/>
              <w:rPr>
                <w:sz w:val="24"/>
                <w:szCs w:val="24"/>
              </w:rPr>
            </w:pPr>
            <w:r>
              <w:rPr>
                <w:sz w:val="24"/>
                <w:szCs w:val="24"/>
              </w:rPr>
              <w:t>Complete follow-up 1 and 2 forms</w:t>
            </w:r>
          </w:p>
        </w:tc>
        <w:tc>
          <w:tcPr>
            <w:tcW w:w="2544" w:type="dxa"/>
            <w:vAlign w:val="center"/>
          </w:tcPr>
          <w:p w:rsidR="00D0071D" w:rsidRDefault="00D0071D" w:rsidP="00702B67">
            <w:pPr>
              <w:rPr>
                <w:sz w:val="24"/>
                <w:szCs w:val="24"/>
              </w:rPr>
            </w:pPr>
            <w:r>
              <w:rPr>
                <w:sz w:val="24"/>
                <w:szCs w:val="24"/>
              </w:rPr>
              <w:t>Perform RVCT data quality assurance on all TB cases with a closed investigation</w:t>
            </w:r>
          </w:p>
        </w:tc>
        <w:tc>
          <w:tcPr>
            <w:tcW w:w="2473" w:type="dxa"/>
          </w:tcPr>
          <w:p w:rsidR="00D0071D" w:rsidRDefault="00D0071D" w:rsidP="00AA40FB">
            <w:pPr>
              <w:rPr>
                <w:sz w:val="24"/>
                <w:szCs w:val="24"/>
              </w:rPr>
            </w:pPr>
          </w:p>
        </w:tc>
        <w:tc>
          <w:tcPr>
            <w:tcW w:w="3097" w:type="dxa"/>
          </w:tcPr>
          <w:p w:rsidR="00D0071D" w:rsidRDefault="00D0071D" w:rsidP="00AA40FB">
            <w:pPr>
              <w:rPr>
                <w:sz w:val="24"/>
                <w:szCs w:val="24"/>
              </w:rPr>
            </w:pPr>
          </w:p>
        </w:tc>
      </w:tr>
      <w:tr w:rsidR="00D0071D" w:rsidTr="0082779D">
        <w:tc>
          <w:tcPr>
            <w:tcW w:w="2516" w:type="dxa"/>
            <w:vMerge/>
            <w:vAlign w:val="center"/>
          </w:tcPr>
          <w:p w:rsidR="00D0071D" w:rsidRDefault="00D0071D" w:rsidP="004F31D0">
            <w:pPr>
              <w:rPr>
                <w:b/>
                <w:sz w:val="24"/>
                <w:szCs w:val="24"/>
                <w:u w:val="single"/>
              </w:rPr>
            </w:pPr>
          </w:p>
        </w:tc>
        <w:tc>
          <w:tcPr>
            <w:tcW w:w="2546" w:type="dxa"/>
            <w:vAlign w:val="center"/>
          </w:tcPr>
          <w:p w:rsidR="00D0071D" w:rsidRDefault="00D0071D" w:rsidP="00BA0603">
            <w:pPr>
              <w:pStyle w:val="ListParagraph"/>
              <w:numPr>
                <w:ilvl w:val="0"/>
                <w:numId w:val="3"/>
              </w:numPr>
              <w:ind w:left="335"/>
              <w:rPr>
                <w:sz w:val="24"/>
                <w:szCs w:val="24"/>
              </w:rPr>
            </w:pPr>
            <w:r>
              <w:rPr>
                <w:sz w:val="24"/>
                <w:szCs w:val="24"/>
              </w:rPr>
              <w:t>Genotyping and linkage to surveillance data</w:t>
            </w:r>
          </w:p>
          <w:p w:rsidR="00D0071D" w:rsidRDefault="00D0071D" w:rsidP="00BA0603">
            <w:pPr>
              <w:pStyle w:val="ListParagraph"/>
              <w:ind w:left="335"/>
              <w:rPr>
                <w:sz w:val="24"/>
                <w:szCs w:val="24"/>
              </w:rPr>
            </w:pPr>
          </w:p>
        </w:tc>
        <w:tc>
          <w:tcPr>
            <w:tcW w:w="2544" w:type="dxa"/>
            <w:vAlign w:val="center"/>
          </w:tcPr>
          <w:p w:rsidR="00D0071D" w:rsidRDefault="00D0071D" w:rsidP="00D0071D">
            <w:pPr>
              <w:rPr>
                <w:sz w:val="24"/>
                <w:szCs w:val="24"/>
              </w:rPr>
            </w:pPr>
            <w:r>
              <w:rPr>
                <w:sz w:val="24"/>
                <w:szCs w:val="24"/>
              </w:rPr>
              <w:t xml:space="preserve">Request access to TB GIMS for additional TTBEP central office and train on use and functionality </w:t>
            </w:r>
          </w:p>
        </w:tc>
        <w:tc>
          <w:tcPr>
            <w:tcW w:w="2473" w:type="dxa"/>
          </w:tcPr>
          <w:p w:rsidR="00D0071D" w:rsidRDefault="00D0071D" w:rsidP="00AA40FB">
            <w:pPr>
              <w:rPr>
                <w:sz w:val="24"/>
                <w:szCs w:val="24"/>
              </w:rPr>
            </w:pPr>
          </w:p>
        </w:tc>
        <w:tc>
          <w:tcPr>
            <w:tcW w:w="3097" w:type="dxa"/>
          </w:tcPr>
          <w:p w:rsidR="00D0071D" w:rsidRDefault="00D0071D" w:rsidP="00AA40FB">
            <w:pPr>
              <w:rPr>
                <w:sz w:val="24"/>
                <w:szCs w:val="24"/>
              </w:rPr>
            </w:pPr>
          </w:p>
        </w:tc>
      </w:tr>
      <w:tr w:rsidR="007E450E" w:rsidTr="0082779D">
        <w:tc>
          <w:tcPr>
            <w:tcW w:w="2516" w:type="dxa"/>
            <w:vAlign w:val="center"/>
          </w:tcPr>
          <w:p w:rsidR="007E450E" w:rsidRPr="004F31D0" w:rsidRDefault="007E450E" w:rsidP="00702B67">
            <w:pPr>
              <w:jc w:val="center"/>
              <w:rPr>
                <w:sz w:val="24"/>
                <w:szCs w:val="24"/>
              </w:rPr>
            </w:pPr>
          </w:p>
        </w:tc>
        <w:tc>
          <w:tcPr>
            <w:tcW w:w="2546" w:type="dxa"/>
            <w:vAlign w:val="center"/>
          </w:tcPr>
          <w:p w:rsidR="007E450E" w:rsidRDefault="007E450E" w:rsidP="00BA0603">
            <w:pPr>
              <w:pStyle w:val="ListParagraph"/>
              <w:numPr>
                <w:ilvl w:val="0"/>
                <w:numId w:val="3"/>
              </w:numPr>
              <w:ind w:left="335"/>
              <w:rPr>
                <w:sz w:val="24"/>
                <w:szCs w:val="24"/>
              </w:rPr>
            </w:pPr>
            <w:r>
              <w:rPr>
                <w:sz w:val="24"/>
                <w:szCs w:val="24"/>
              </w:rPr>
              <w:t>Notify CDC of large outbreaks</w:t>
            </w:r>
          </w:p>
        </w:tc>
        <w:tc>
          <w:tcPr>
            <w:tcW w:w="2544" w:type="dxa"/>
            <w:vAlign w:val="center"/>
          </w:tcPr>
          <w:p w:rsidR="007E450E" w:rsidRDefault="007E450E" w:rsidP="00D0071D">
            <w:pPr>
              <w:rPr>
                <w:sz w:val="24"/>
                <w:szCs w:val="24"/>
              </w:rPr>
            </w:pPr>
            <w:r>
              <w:rPr>
                <w:sz w:val="24"/>
                <w:szCs w:val="24"/>
              </w:rPr>
              <w:t>Review existing genotype clusters and work in a timely manner with CDC to identify large outbreaks</w:t>
            </w:r>
          </w:p>
        </w:tc>
        <w:tc>
          <w:tcPr>
            <w:tcW w:w="2473" w:type="dxa"/>
          </w:tcPr>
          <w:p w:rsidR="007E450E" w:rsidRDefault="007E450E" w:rsidP="00AA40FB">
            <w:pPr>
              <w:rPr>
                <w:sz w:val="24"/>
                <w:szCs w:val="24"/>
              </w:rPr>
            </w:pPr>
          </w:p>
        </w:tc>
        <w:tc>
          <w:tcPr>
            <w:tcW w:w="3097" w:type="dxa"/>
          </w:tcPr>
          <w:p w:rsidR="007E450E" w:rsidRDefault="007E450E" w:rsidP="00AA40FB">
            <w:pPr>
              <w:rPr>
                <w:sz w:val="24"/>
                <w:szCs w:val="24"/>
              </w:rPr>
            </w:pPr>
          </w:p>
        </w:tc>
      </w:tr>
      <w:tr w:rsidR="007E450E" w:rsidTr="0082779D">
        <w:tc>
          <w:tcPr>
            <w:tcW w:w="2516" w:type="dxa"/>
            <w:vAlign w:val="center"/>
          </w:tcPr>
          <w:p w:rsidR="007E450E" w:rsidRDefault="007E450E" w:rsidP="00702B67">
            <w:pPr>
              <w:jc w:val="center"/>
              <w:rPr>
                <w:b/>
                <w:sz w:val="24"/>
                <w:szCs w:val="24"/>
                <w:u w:val="single"/>
              </w:rPr>
            </w:pPr>
          </w:p>
        </w:tc>
        <w:tc>
          <w:tcPr>
            <w:tcW w:w="2546" w:type="dxa"/>
            <w:vAlign w:val="center"/>
          </w:tcPr>
          <w:p w:rsidR="007E450E" w:rsidRDefault="007E450E" w:rsidP="00BA0603">
            <w:pPr>
              <w:pStyle w:val="ListParagraph"/>
              <w:numPr>
                <w:ilvl w:val="0"/>
                <w:numId w:val="3"/>
              </w:numPr>
              <w:ind w:left="335"/>
              <w:rPr>
                <w:sz w:val="24"/>
                <w:szCs w:val="24"/>
              </w:rPr>
            </w:pPr>
            <w:r>
              <w:rPr>
                <w:sz w:val="24"/>
                <w:szCs w:val="24"/>
              </w:rPr>
              <w:t>Liaison with reporting sources</w:t>
            </w:r>
          </w:p>
        </w:tc>
        <w:tc>
          <w:tcPr>
            <w:tcW w:w="2544" w:type="dxa"/>
            <w:vAlign w:val="center"/>
          </w:tcPr>
          <w:p w:rsidR="007E450E" w:rsidRDefault="007E450E" w:rsidP="00D0071D">
            <w:pPr>
              <w:rPr>
                <w:sz w:val="24"/>
                <w:szCs w:val="24"/>
              </w:rPr>
            </w:pPr>
            <w:r>
              <w:rPr>
                <w:sz w:val="24"/>
                <w:szCs w:val="24"/>
              </w:rPr>
              <w:t xml:space="preserve">Identify reporting entities </w:t>
            </w:r>
          </w:p>
        </w:tc>
        <w:tc>
          <w:tcPr>
            <w:tcW w:w="2473" w:type="dxa"/>
          </w:tcPr>
          <w:p w:rsidR="007E450E" w:rsidRDefault="007E450E" w:rsidP="00AA40FB">
            <w:pPr>
              <w:rPr>
                <w:sz w:val="24"/>
                <w:szCs w:val="24"/>
              </w:rPr>
            </w:pPr>
          </w:p>
        </w:tc>
        <w:tc>
          <w:tcPr>
            <w:tcW w:w="3097" w:type="dxa"/>
          </w:tcPr>
          <w:p w:rsidR="007E450E" w:rsidRDefault="007E450E" w:rsidP="00AA40FB">
            <w:pPr>
              <w:rPr>
                <w:sz w:val="24"/>
                <w:szCs w:val="24"/>
              </w:rPr>
            </w:pPr>
          </w:p>
        </w:tc>
      </w:tr>
      <w:tr w:rsidR="007E450E" w:rsidTr="0082779D">
        <w:tc>
          <w:tcPr>
            <w:tcW w:w="2516" w:type="dxa"/>
            <w:vAlign w:val="center"/>
          </w:tcPr>
          <w:p w:rsidR="007E450E" w:rsidRDefault="007E450E" w:rsidP="00702B67">
            <w:pPr>
              <w:jc w:val="center"/>
              <w:rPr>
                <w:b/>
                <w:sz w:val="24"/>
                <w:szCs w:val="24"/>
                <w:u w:val="single"/>
              </w:rPr>
            </w:pPr>
          </w:p>
        </w:tc>
        <w:tc>
          <w:tcPr>
            <w:tcW w:w="2546" w:type="dxa"/>
            <w:vAlign w:val="center"/>
          </w:tcPr>
          <w:p w:rsidR="007E450E" w:rsidRDefault="007E450E" w:rsidP="00BA0603">
            <w:pPr>
              <w:pStyle w:val="ListParagraph"/>
              <w:numPr>
                <w:ilvl w:val="0"/>
                <w:numId w:val="3"/>
              </w:numPr>
              <w:ind w:left="335"/>
              <w:rPr>
                <w:sz w:val="24"/>
                <w:szCs w:val="24"/>
              </w:rPr>
            </w:pPr>
            <w:r>
              <w:rPr>
                <w:sz w:val="24"/>
                <w:szCs w:val="24"/>
              </w:rPr>
              <w:t>Active surveillance</w:t>
            </w:r>
          </w:p>
        </w:tc>
        <w:tc>
          <w:tcPr>
            <w:tcW w:w="2544" w:type="dxa"/>
            <w:vAlign w:val="center"/>
          </w:tcPr>
          <w:p w:rsidR="007E450E" w:rsidRDefault="007E450E" w:rsidP="00D0071D">
            <w:pPr>
              <w:rPr>
                <w:sz w:val="24"/>
                <w:szCs w:val="24"/>
              </w:rPr>
            </w:pPr>
            <w:r>
              <w:rPr>
                <w:sz w:val="24"/>
                <w:szCs w:val="24"/>
              </w:rPr>
              <w:t>Assess the feasibility of conducting active surveillance activities with reporting entities</w:t>
            </w:r>
          </w:p>
          <w:p w:rsidR="007E450E" w:rsidRDefault="007E450E" w:rsidP="00D0071D">
            <w:pPr>
              <w:rPr>
                <w:sz w:val="24"/>
                <w:szCs w:val="24"/>
              </w:rPr>
            </w:pPr>
          </w:p>
          <w:p w:rsidR="007E450E" w:rsidRDefault="007E450E" w:rsidP="00D0071D">
            <w:pPr>
              <w:rPr>
                <w:sz w:val="24"/>
                <w:szCs w:val="24"/>
              </w:rPr>
            </w:pPr>
          </w:p>
          <w:p w:rsidR="007E450E" w:rsidRDefault="007E450E" w:rsidP="00D0071D">
            <w:pPr>
              <w:rPr>
                <w:sz w:val="24"/>
                <w:szCs w:val="24"/>
              </w:rPr>
            </w:pPr>
          </w:p>
        </w:tc>
        <w:tc>
          <w:tcPr>
            <w:tcW w:w="2473" w:type="dxa"/>
          </w:tcPr>
          <w:p w:rsidR="007E450E" w:rsidRDefault="007E450E" w:rsidP="00AA40FB">
            <w:pPr>
              <w:rPr>
                <w:sz w:val="24"/>
                <w:szCs w:val="24"/>
              </w:rPr>
            </w:pPr>
          </w:p>
        </w:tc>
        <w:tc>
          <w:tcPr>
            <w:tcW w:w="3097" w:type="dxa"/>
          </w:tcPr>
          <w:p w:rsidR="007E450E" w:rsidRDefault="007E450E" w:rsidP="00AA40FB">
            <w:pPr>
              <w:rPr>
                <w:sz w:val="24"/>
                <w:szCs w:val="24"/>
              </w:rPr>
            </w:pPr>
          </w:p>
        </w:tc>
      </w:tr>
      <w:tr w:rsidR="007E450E" w:rsidTr="0082779D">
        <w:tc>
          <w:tcPr>
            <w:tcW w:w="2516" w:type="dxa"/>
            <w:vAlign w:val="center"/>
          </w:tcPr>
          <w:p w:rsidR="007E450E" w:rsidRDefault="007E450E" w:rsidP="00702B67">
            <w:pPr>
              <w:jc w:val="center"/>
              <w:rPr>
                <w:b/>
                <w:sz w:val="24"/>
                <w:szCs w:val="24"/>
                <w:u w:val="single"/>
              </w:rPr>
            </w:pPr>
          </w:p>
        </w:tc>
        <w:tc>
          <w:tcPr>
            <w:tcW w:w="2546" w:type="dxa"/>
            <w:vAlign w:val="center"/>
          </w:tcPr>
          <w:p w:rsidR="007E450E" w:rsidRDefault="007E450E" w:rsidP="00BA0603">
            <w:pPr>
              <w:pStyle w:val="ListParagraph"/>
              <w:numPr>
                <w:ilvl w:val="0"/>
                <w:numId w:val="3"/>
              </w:numPr>
              <w:ind w:left="335"/>
              <w:rPr>
                <w:sz w:val="24"/>
                <w:szCs w:val="24"/>
              </w:rPr>
            </w:pPr>
            <w:r>
              <w:rPr>
                <w:sz w:val="24"/>
                <w:szCs w:val="24"/>
              </w:rPr>
              <w:t>Complete, accurate, and timely reporting and counting of cases</w:t>
            </w:r>
          </w:p>
        </w:tc>
        <w:tc>
          <w:tcPr>
            <w:tcW w:w="2544" w:type="dxa"/>
            <w:vAlign w:val="center"/>
          </w:tcPr>
          <w:p w:rsidR="007E450E" w:rsidRDefault="007E450E" w:rsidP="00D0071D">
            <w:pPr>
              <w:rPr>
                <w:sz w:val="24"/>
                <w:szCs w:val="24"/>
              </w:rPr>
            </w:pPr>
            <w:r>
              <w:rPr>
                <w:sz w:val="24"/>
                <w:szCs w:val="24"/>
              </w:rPr>
              <w:t>Identify all TB cases that were reported by and outside provider (e.g., hospital, private physician office, correctional facility, etc.)</w:t>
            </w:r>
          </w:p>
        </w:tc>
        <w:tc>
          <w:tcPr>
            <w:tcW w:w="2473" w:type="dxa"/>
          </w:tcPr>
          <w:p w:rsidR="007E450E" w:rsidRDefault="007E450E" w:rsidP="00AA40FB">
            <w:pPr>
              <w:rPr>
                <w:sz w:val="24"/>
                <w:szCs w:val="24"/>
              </w:rPr>
            </w:pPr>
          </w:p>
        </w:tc>
        <w:tc>
          <w:tcPr>
            <w:tcW w:w="3097" w:type="dxa"/>
          </w:tcPr>
          <w:p w:rsidR="007E450E" w:rsidRDefault="007E450E" w:rsidP="00AA40FB">
            <w:pPr>
              <w:rPr>
                <w:sz w:val="24"/>
                <w:szCs w:val="24"/>
              </w:rPr>
            </w:pPr>
          </w:p>
        </w:tc>
      </w:tr>
      <w:tr w:rsidR="007E450E" w:rsidTr="0082779D">
        <w:tc>
          <w:tcPr>
            <w:tcW w:w="2516" w:type="dxa"/>
            <w:vAlign w:val="center"/>
          </w:tcPr>
          <w:p w:rsidR="007E450E" w:rsidRDefault="007E450E" w:rsidP="00702B67">
            <w:pPr>
              <w:jc w:val="center"/>
              <w:rPr>
                <w:b/>
                <w:sz w:val="24"/>
                <w:szCs w:val="24"/>
                <w:u w:val="single"/>
              </w:rPr>
            </w:pPr>
          </w:p>
        </w:tc>
        <w:tc>
          <w:tcPr>
            <w:tcW w:w="2546" w:type="dxa"/>
            <w:vAlign w:val="center"/>
          </w:tcPr>
          <w:p w:rsidR="007E450E" w:rsidRDefault="007E450E" w:rsidP="00BA0603">
            <w:pPr>
              <w:pStyle w:val="ListParagraph"/>
              <w:numPr>
                <w:ilvl w:val="0"/>
                <w:numId w:val="3"/>
              </w:numPr>
              <w:ind w:left="335"/>
              <w:rPr>
                <w:sz w:val="24"/>
                <w:szCs w:val="24"/>
              </w:rPr>
            </w:pPr>
            <w:r>
              <w:rPr>
                <w:sz w:val="24"/>
                <w:szCs w:val="24"/>
              </w:rPr>
              <w:t>HIV testing for all TB cases</w:t>
            </w:r>
          </w:p>
        </w:tc>
        <w:tc>
          <w:tcPr>
            <w:tcW w:w="2544" w:type="dxa"/>
            <w:vAlign w:val="center"/>
          </w:tcPr>
          <w:p w:rsidR="007E450E" w:rsidRDefault="007E450E" w:rsidP="00D0071D">
            <w:pPr>
              <w:rPr>
                <w:sz w:val="24"/>
                <w:szCs w:val="24"/>
              </w:rPr>
            </w:pPr>
            <w:r>
              <w:rPr>
                <w:sz w:val="24"/>
                <w:szCs w:val="24"/>
              </w:rPr>
              <w:t>Review HIV status of all cases at time of case counting, and notify central office nurse consultants of any unknown HIV results</w:t>
            </w:r>
          </w:p>
        </w:tc>
        <w:tc>
          <w:tcPr>
            <w:tcW w:w="2473" w:type="dxa"/>
          </w:tcPr>
          <w:p w:rsidR="007E450E" w:rsidRDefault="007E450E" w:rsidP="00AA40FB">
            <w:pPr>
              <w:rPr>
                <w:sz w:val="24"/>
                <w:szCs w:val="24"/>
              </w:rPr>
            </w:pPr>
          </w:p>
        </w:tc>
        <w:tc>
          <w:tcPr>
            <w:tcW w:w="3097" w:type="dxa"/>
          </w:tcPr>
          <w:p w:rsidR="007E450E" w:rsidRDefault="007E450E" w:rsidP="00AA40FB">
            <w:pPr>
              <w:rPr>
                <w:sz w:val="24"/>
                <w:szCs w:val="24"/>
              </w:rPr>
            </w:pPr>
          </w:p>
        </w:tc>
      </w:tr>
      <w:tr w:rsidR="007E450E" w:rsidTr="0082779D">
        <w:tc>
          <w:tcPr>
            <w:tcW w:w="2516" w:type="dxa"/>
            <w:vAlign w:val="center"/>
          </w:tcPr>
          <w:p w:rsidR="007E450E" w:rsidRDefault="007E450E" w:rsidP="00702B67">
            <w:pPr>
              <w:jc w:val="center"/>
              <w:rPr>
                <w:b/>
                <w:sz w:val="24"/>
                <w:szCs w:val="24"/>
                <w:u w:val="single"/>
              </w:rPr>
            </w:pPr>
          </w:p>
        </w:tc>
        <w:tc>
          <w:tcPr>
            <w:tcW w:w="2546" w:type="dxa"/>
            <w:vAlign w:val="center"/>
          </w:tcPr>
          <w:p w:rsidR="007E450E" w:rsidRDefault="007E450E" w:rsidP="00BA0603">
            <w:pPr>
              <w:pStyle w:val="ListParagraph"/>
              <w:numPr>
                <w:ilvl w:val="0"/>
                <w:numId w:val="3"/>
              </w:numPr>
              <w:ind w:left="335"/>
              <w:rPr>
                <w:sz w:val="24"/>
                <w:szCs w:val="24"/>
              </w:rPr>
            </w:pPr>
            <w:r>
              <w:rPr>
                <w:sz w:val="24"/>
                <w:szCs w:val="24"/>
              </w:rPr>
              <w:t>Data security and confidentiality</w:t>
            </w:r>
          </w:p>
        </w:tc>
        <w:tc>
          <w:tcPr>
            <w:tcW w:w="2544" w:type="dxa"/>
            <w:vAlign w:val="center"/>
          </w:tcPr>
          <w:p w:rsidR="007E450E" w:rsidRDefault="007E450E" w:rsidP="00BA0603">
            <w:pPr>
              <w:rPr>
                <w:sz w:val="24"/>
                <w:szCs w:val="24"/>
              </w:rPr>
            </w:pPr>
            <w:r>
              <w:rPr>
                <w:sz w:val="24"/>
                <w:szCs w:val="24"/>
              </w:rPr>
              <w:t>Implement data security and confidentiality guidelines according to NCHHSTP guidance</w:t>
            </w:r>
          </w:p>
        </w:tc>
        <w:tc>
          <w:tcPr>
            <w:tcW w:w="2473" w:type="dxa"/>
          </w:tcPr>
          <w:p w:rsidR="007E450E" w:rsidRDefault="007E450E" w:rsidP="00AA40FB">
            <w:pPr>
              <w:rPr>
                <w:sz w:val="24"/>
                <w:szCs w:val="24"/>
              </w:rPr>
            </w:pPr>
          </w:p>
        </w:tc>
        <w:tc>
          <w:tcPr>
            <w:tcW w:w="3097" w:type="dxa"/>
          </w:tcPr>
          <w:p w:rsidR="007E450E" w:rsidRDefault="007E450E" w:rsidP="00AA40FB">
            <w:pPr>
              <w:rPr>
                <w:sz w:val="24"/>
                <w:szCs w:val="24"/>
              </w:rPr>
            </w:pPr>
          </w:p>
        </w:tc>
      </w:tr>
      <w:tr w:rsidR="007E450E" w:rsidTr="0082779D">
        <w:tc>
          <w:tcPr>
            <w:tcW w:w="2516" w:type="dxa"/>
            <w:vAlign w:val="center"/>
          </w:tcPr>
          <w:p w:rsidR="007E450E" w:rsidRDefault="007E450E" w:rsidP="00702B67">
            <w:pPr>
              <w:jc w:val="center"/>
              <w:rPr>
                <w:b/>
                <w:sz w:val="24"/>
                <w:szCs w:val="24"/>
                <w:u w:val="single"/>
              </w:rPr>
            </w:pPr>
          </w:p>
        </w:tc>
        <w:tc>
          <w:tcPr>
            <w:tcW w:w="2546" w:type="dxa"/>
            <w:vAlign w:val="center"/>
          </w:tcPr>
          <w:p w:rsidR="007E450E" w:rsidRDefault="007E450E" w:rsidP="00BA0603">
            <w:pPr>
              <w:pStyle w:val="ListParagraph"/>
              <w:numPr>
                <w:ilvl w:val="0"/>
                <w:numId w:val="3"/>
              </w:numPr>
              <w:ind w:left="335"/>
              <w:rPr>
                <w:sz w:val="24"/>
                <w:szCs w:val="24"/>
              </w:rPr>
            </w:pPr>
            <w:r>
              <w:rPr>
                <w:sz w:val="24"/>
                <w:szCs w:val="24"/>
              </w:rPr>
              <w:t>Quality assurance</w:t>
            </w:r>
          </w:p>
        </w:tc>
        <w:tc>
          <w:tcPr>
            <w:tcW w:w="2544" w:type="dxa"/>
            <w:vAlign w:val="center"/>
          </w:tcPr>
          <w:p w:rsidR="007E450E" w:rsidRPr="00BA0603" w:rsidRDefault="007E450E" w:rsidP="00BA0603">
            <w:pPr>
              <w:rPr>
                <w:sz w:val="24"/>
                <w:szCs w:val="24"/>
              </w:rPr>
            </w:pPr>
            <w:r>
              <w:rPr>
                <w:sz w:val="24"/>
                <w:szCs w:val="24"/>
              </w:rPr>
              <w:t xml:space="preserve">Provide training to central office staff on the </w:t>
            </w:r>
            <w:r>
              <w:rPr>
                <w:i/>
                <w:sz w:val="24"/>
                <w:szCs w:val="24"/>
              </w:rPr>
              <w:t>Quality Assurance for Tuberculosis Data</w:t>
            </w:r>
            <w:r>
              <w:rPr>
                <w:sz w:val="24"/>
                <w:szCs w:val="24"/>
              </w:rPr>
              <w:t xml:space="preserve"> Guide and Toolkit</w:t>
            </w:r>
          </w:p>
        </w:tc>
        <w:tc>
          <w:tcPr>
            <w:tcW w:w="2473" w:type="dxa"/>
          </w:tcPr>
          <w:p w:rsidR="007E450E" w:rsidRDefault="007E450E" w:rsidP="00AA40FB">
            <w:pPr>
              <w:rPr>
                <w:sz w:val="24"/>
                <w:szCs w:val="24"/>
              </w:rPr>
            </w:pPr>
          </w:p>
        </w:tc>
        <w:tc>
          <w:tcPr>
            <w:tcW w:w="3097" w:type="dxa"/>
          </w:tcPr>
          <w:p w:rsidR="007E450E" w:rsidRDefault="007E450E" w:rsidP="00AA40FB">
            <w:pPr>
              <w:rPr>
                <w:sz w:val="24"/>
                <w:szCs w:val="24"/>
              </w:rPr>
            </w:pPr>
          </w:p>
        </w:tc>
      </w:tr>
      <w:tr w:rsidR="00D0071D" w:rsidTr="0082779D">
        <w:tc>
          <w:tcPr>
            <w:tcW w:w="2516" w:type="dxa"/>
            <w:vMerge w:val="restart"/>
            <w:vAlign w:val="center"/>
          </w:tcPr>
          <w:p w:rsidR="00D0071D" w:rsidRDefault="00D0071D" w:rsidP="00702B67">
            <w:pPr>
              <w:jc w:val="center"/>
              <w:rPr>
                <w:sz w:val="24"/>
                <w:szCs w:val="24"/>
              </w:rPr>
            </w:pPr>
            <w:r>
              <w:rPr>
                <w:b/>
                <w:sz w:val="24"/>
                <w:szCs w:val="24"/>
                <w:u w:val="single"/>
              </w:rPr>
              <w:t>Strategy 3</w:t>
            </w:r>
            <w:r>
              <w:rPr>
                <w:sz w:val="24"/>
                <w:szCs w:val="24"/>
              </w:rPr>
              <w:t xml:space="preserve">: </w:t>
            </w:r>
          </w:p>
          <w:p w:rsidR="00D0071D" w:rsidRPr="004F31D0" w:rsidRDefault="00D0071D" w:rsidP="004F31D0">
            <w:pPr>
              <w:jc w:val="center"/>
              <w:rPr>
                <w:sz w:val="24"/>
                <w:szCs w:val="24"/>
              </w:rPr>
            </w:pPr>
            <w:r>
              <w:rPr>
                <w:sz w:val="24"/>
                <w:szCs w:val="24"/>
              </w:rPr>
              <w:t>Contact Investigation</w:t>
            </w:r>
          </w:p>
        </w:tc>
        <w:tc>
          <w:tcPr>
            <w:tcW w:w="2546" w:type="dxa"/>
            <w:vAlign w:val="center"/>
          </w:tcPr>
          <w:p w:rsidR="00D0071D" w:rsidRPr="004F31D0" w:rsidRDefault="00D0071D" w:rsidP="00BA0603">
            <w:pPr>
              <w:pStyle w:val="ListParagraph"/>
              <w:numPr>
                <w:ilvl w:val="0"/>
                <w:numId w:val="4"/>
              </w:numPr>
              <w:ind w:left="335"/>
              <w:rPr>
                <w:sz w:val="24"/>
                <w:szCs w:val="24"/>
              </w:rPr>
            </w:pPr>
            <w:r>
              <w:rPr>
                <w:sz w:val="24"/>
                <w:szCs w:val="24"/>
              </w:rPr>
              <w:t>Contact investigation activities are initiated and completed promptly</w:t>
            </w:r>
          </w:p>
        </w:tc>
        <w:tc>
          <w:tcPr>
            <w:tcW w:w="2544" w:type="dxa"/>
            <w:vAlign w:val="center"/>
          </w:tcPr>
          <w:p w:rsidR="00D0071D" w:rsidRDefault="00BA0603" w:rsidP="00BA0603">
            <w:pPr>
              <w:rPr>
                <w:sz w:val="24"/>
                <w:szCs w:val="24"/>
              </w:rPr>
            </w:pPr>
            <w:r>
              <w:rPr>
                <w:sz w:val="24"/>
                <w:szCs w:val="24"/>
              </w:rPr>
              <w:t>Implement revised contact investigation forms</w:t>
            </w:r>
          </w:p>
        </w:tc>
        <w:tc>
          <w:tcPr>
            <w:tcW w:w="2473" w:type="dxa"/>
          </w:tcPr>
          <w:p w:rsidR="00D0071D" w:rsidRDefault="00D0071D" w:rsidP="00AA40FB">
            <w:pPr>
              <w:rPr>
                <w:sz w:val="24"/>
                <w:szCs w:val="24"/>
              </w:rPr>
            </w:pPr>
          </w:p>
        </w:tc>
        <w:tc>
          <w:tcPr>
            <w:tcW w:w="3097" w:type="dxa"/>
          </w:tcPr>
          <w:p w:rsidR="00D0071D" w:rsidRDefault="00D0071D" w:rsidP="00AA40FB">
            <w:pPr>
              <w:rPr>
                <w:sz w:val="24"/>
                <w:szCs w:val="24"/>
              </w:rPr>
            </w:pPr>
          </w:p>
        </w:tc>
      </w:tr>
      <w:tr w:rsidR="00D0071D" w:rsidTr="0082779D">
        <w:tc>
          <w:tcPr>
            <w:tcW w:w="2516" w:type="dxa"/>
            <w:vMerge/>
            <w:vAlign w:val="center"/>
          </w:tcPr>
          <w:p w:rsidR="00D0071D" w:rsidRDefault="00D0071D" w:rsidP="00702B67">
            <w:pPr>
              <w:jc w:val="center"/>
              <w:rPr>
                <w:b/>
                <w:sz w:val="24"/>
                <w:szCs w:val="24"/>
                <w:u w:val="single"/>
              </w:rPr>
            </w:pPr>
          </w:p>
        </w:tc>
        <w:tc>
          <w:tcPr>
            <w:tcW w:w="2546" w:type="dxa"/>
            <w:vAlign w:val="center"/>
          </w:tcPr>
          <w:p w:rsidR="00D0071D" w:rsidRDefault="00D0071D" w:rsidP="00BA0603">
            <w:pPr>
              <w:pStyle w:val="ListParagraph"/>
              <w:numPr>
                <w:ilvl w:val="0"/>
                <w:numId w:val="4"/>
              </w:numPr>
              <w:ind w:left="335"/>
              <w:rPr>
                <w:sz w:val="24"/>
                <w:szCs w:val="24"/>
              </w:rPr>
            </w:pPr>
            <w:r>
              <w:rPr>
                <w:sz w:val="24"/>
                <w:szCs w:val="24"/>
              </w:rPr>
              <w:t>Assess reasons for no contacts or low number of contacts</w:t>
            </w:r>
          </w:p>
        </w:tc>
        <w:tc>
          <w:tcPr>
            <w:tcW w:w="2544" w:type="dxa"/>
            <w:vAlign w:val="center"/>
          </w:tcPr>
          <w:p w:rsidR="00D0071D" w:rsidRDefault="00BA0603" w:rsidP="00BA0603">
            <w:pPr>
              <w:rPr>
                <w:sz w:val="24"/>
                <w:szCs w:val="24"/>
              </w:rPr>
            </w:pPr>
            <w:r>
              <w:rPr>
                <w:sz w:val="24"/>
                <w:szCs w:val="24"/>
              </w:rPr>
              <w:t>Meet benchmarks set forth in the TTBEP program evaluation plan</w:t>
            </w:r>
          </w:p>
        </w:tc>
        <w:tc>
          <w:tcPr>
            <w:tcW w:w="2473" w:type="dxa"/>
          </w:tcPr>
          <w:p w:rsidR="00D0071D" w:rsidRDefault="00D0071D" w:rsidP="00AA40FB">
            <w:pPr>
              <w:rPr>
                <w:sz w:val="24"/>
                <w:szCs w:val="24"/>
              </w:rPr>
            </w:pPr>
          </w:p>
        </w:tc>
        <w:tc>
          <w:tcPr>
            <w:tcW w:w="3097" w:type="dxa"/>
          </w:tcPr>
          <w:p w:rsidR="00D0071D" w:rsidRDefault="00D0071D" w:rsidP="00AA40FB">
            <w:pPr>
              <w:rPr>
                <w:sz w:val="24"/>
                <w:szCs w:val="24"/>
              </w:rPr>
            </w:pPr>
          </w:p>
        </w:tc>
      </w:tr>
      <w:tr w:rsidR="00D0071D" w:rsidTr="0082779D">
        <w:tc>
          <w:tcPr>
            <w:tcW w:w="2516" w:type="dxa"/>
            <w:vMerge/>
            <w:vAlign w:val="center"/>
          </w:tcPr>
          <w:p w:rsidR="00D0071D" w:rsidRDefault="00D0071D" w:rsidP="00702B67">
            <w:pPr>
              <w:jc w:val="center"/>
              <w:rPr>
                <w:b/>
                <w:sz w:val="24"/>
                <w:szCs w:val="24"/>
                <w:u w:val="single"/>
              </w:rPr>
            </w:pPr>
          </w:p>
        </w:tc>
        <w:tc>
          <w:tcPr>
            <w:tcW w:w="2546" w:type="dxa"/>
            <w:vAlign w:val="center"/>
          </w:tcPr>
          <w:p w:rsidR="00D0071D" w:rsidRDefault="00D0071D" w:rsidP="00BA0603">
            <w:pPr>
              <w:pStyle w:val="ListParagraph"/>
              <w:numPr>
                <w:ilvl w:val="0"/>
                <w:numId w:val="4"/>
              </w:numPr>
              <w:ind w:left="335"/>
              <w:rPr>
                <w:sz w:val="24"/>
                <w:szCs w:val="24"/>
              </w:rPr>
            </w:pPr>
            <w:r>
              <w:rPr>
                <w:sz w:val="24"/>
                <w:szCs w:val="24"/>
              </w:rPr>
              <w:t>Submit ARPEs</w:t>
            </w:r>
          </w:p>
        </w:tc>
        <w:tc>
          <w:tcPr>
            <w:tcW w:w="2544" w:type="dxa"/>
            <w:vAlign w:val="center"/>
          </w:tcPr>
          <w:p w:rsidR="00D0071D" w:rsidRDefault="00BA0603" w:rsidP="00BA0603">
            <w:pPr>
              <w:rPr>
                <w:sz w:val="24"/>
                <w:szCs w:val="24"/>
              </w:rPr>
            </w:pPr>
            <w:r>
              <w:rPr>
                <w:sz w:val="24"/>
                <w:szCs w:val="24"/>
              </w:rPr>
              <w:t>Provide ARPE training for all new regional TB case managers and refresher training for existing staff</w:t>
            </w:r>
          </w:p>
        </w:tc>
        <w:tc>
          <w:tcPr>
            <w:tcW w:w="2473" w:type="dxa"/>
          </w:tcPr>
          <w:p w:rsidR="00D0071D" w:rsidRDefault="00D0071D" w:rsidP="00AA40FB">
            <w:pPr>
              <w:rPr>
                <w:sz w:val="24"/>
                <w:szCs w:val="24"/>
              </w:rPr>
            </w:pPr>
          </w:p>
        </w:tc>
        <w:tc>
          <w:tcPr>
            <w:tcW w:w="3097" w:type="dxa"/>
          </w:tcPr>
          <w:p w:rsidR="00D0071D" w:rsidRDefault="00D0071D" w:rsidP="00AA40FB">
            <w:pPr>
              <w:rPr>
                <w:sz w:val="24"/>
                <w:szCs w:val="24"/>
              </w:rPr>
            </w:pPr>
          </w:p>
        </w:tc>
      </w:tr>
      <w:tr w:rsidR="00D0071D" w:rsidTr="0082779D">
        <w:tc>
          <w:tcPr>
            <w:tcW w:w="2516" w:type="dxa"/>
            <w:vAlign w:val="center"/>
          </w:tcPr>
          <w:p w:rsidR="00D0071D" w:rsidRDefault="00D0071D" w:rsidP="00702B67">
            <w:pPr>
              <w:jc w:val="center"/>
              <w:rPr>
                <w:sz w:val="24"/>
                <w:szCs w:val="24"/>
              </w:rPr>
            </w:pPr>
            <w:r>
              <w:rPr>
                <w:b/>
                <w:sz w:val="24"/>
                <w:szCs w:val="24"/>
                <w:u w:val="single"/>
              </w:rPr>
              <w:t>Strategy 4</w:t>
            </w:r>
            <w:r>
              <w:rPr>
                <w:sz w:val="24"/>
                <w:szCs w:val="24"/>
              </w:rPr>
              <w:t xml:space="preserve">: </w:t>
            </w:r>
          </w:p>
          <w:p w:rsidR="00D0071D" w:rsidRPr="004F31D0" w:rsidRDefault="00D0071D" w:rsidP="00702B67">
            <w:pPr>
              <w:jc w:val="center"/>
              <w:rPr>
                <w:sz w:val="24"/>
                <w:szCs w:val="24"/>
              </w:rPr>
            </w:pPr>
            <w:r>
              <w:rPr>
                <w:sz w:val="24"/>
                <w:szCs w:val="24"/>
              </w:rPr>
              <w:t>Evaluation of Immigrants and Refugees with TB or TBI</w:t>
            </w:r>
          </w:p>
        </w:tc>
        <w:tc>
          <w:tcPr>
            <w:tcW w:w="2546" w:type="dxa"/>
          </w:tcPr>
          <w:p w:rsidR="00D0071D" w:rsidRDefault="00D0071D" w:rsidP="004F31D0">
            <w:pPr>
              <w:pStyle w:val="ListParagraph"/>
              <w:numPr>
                <w:ilvl w:val="0"/>
                <w:numId w:val="5"/>
              </w:numPr>
              <w:ind w:left="335"/>
              <w:rPr>
                <w:sz w:val="24"/>
                <w:szCs w:val="24"/>
              </w:rPr>
            </w:pPr>
            <w:r>
              <w:rPr>
                <w:sz w:val="24"/>
                <w:szCs w:val="24"/>
              </w:rPr>
              <w:t>Immigrants and refugees are located promptly and evaluated and treated appropriately</w:t>
            </w:r>
          </w:p>
          <w:p w:rsidR="00D0071D" w:rsidRDefault="00D0071D" w:rsidP="00883440">
            <w:pPr>
              <w:pStyle w:val="ListParagraph"/>
              <w:ind w:left="335"/>
              <w:rPr>
                <w:sz w:val="24"/>
                <w:szCs w:val="24"/>
              </w:rPr>
            </w:pPr>
          </w:p>
          <w:p w:rsidR="00D0071D" w:rsidRPr="004F31D0" w:rsidRDefault="00D0071D" w:rsidP="00883440">
            <w:pPr>
              <w:pStyle w:val="ListParagraph"/>
              <w:ind w:left="335"/>
              <w:rPr>
                <w:sz w:val="24"/>
                <w:szCs w:val="24"/>
              </w:rPr>
            </w:pPr>
          </w:p>
        </w:tc>
        <w:tc>
          <w:tcPr>
            <w:tcW w:w="2544" w:type="dxa"/>
            <w:vAlign w:val="center"/>
          </w:tcPr>
          <w:p w:rsidR="00D0071D" w:rsidRDefault="00BA0603" w:rsidP="00BA0603">
            <w:pPr>
              <w:rPr>
                <w:sz w:val="24"/>
                <w:szCs w:val="24"/>
              </w:rPr>
            </w:pPr>
            <w:r>
              <w:rPr>
                <w:sz w:val="24"/>
                <w:szCs w:val="24"/>
              </w:rPr>
              <w:t>Provide B-notification training to all new regional TB case managers and provide annual refresher training for existing staff</w:t>
            </w:r>
          </w:p>
        </w:tc>
        <w:tc>
          <w:tcPr>
            <w:tcW w:w="2473" w:type="dxa"/>
          </w:tcPr>
          <w:p w:rsidR="00D0071D" w:rsidRDefault="00D0071D" w:rsidP="00AA40FB">
            <w:pPr>
              <w:rPr>
                <w:sz w:val="24"/>
                <w:szCs w:val="24"/>
              </w:rPr>
            </w:pPr>
          </w:p>
        </w:tc>
        <w:tc>
          <w:tcPr>
            <w:tcW w:w="3097" w:type="dxa"/>
          </w:tcPr>
          <w:p w:rsidR="00D0071D" w:rsidRDefault="00D0071D" w:rsidP="00AA40FB">
            <w:pPr>
              <w:rPr>
                <w:sz w:val="24"/>
                <w:szCs w:val="24"/>
              </w:rPr>
            </w:pPr>
          </w:p>
        </w:tc>
      </w:tr>
      <w:tr w:rsidR="00823E05" w:rsidTr="00BA6055">
        <w:tc>
          <w:tcPr>
            <w:tcW w:w="2516" w:type="dxa"/>
            <w:vAlign w:val="center"/>
          </w:tcPr>
          <w:p w:rsidR="00823E05" w:rsidRDefault="00823E05" w:rsidP="00702B67">
            <w:pPr>
              <w:jc w:val="center"/>
              <w:rPr>
                <w:sz w:val="24"/>
                <w:szCs w:val="24"/>
              </w:rPr>
            </w:pPr>
            <w:r>
              <w:rPr>
                <w:b/>
                <w:sz w:val="24"/>
                <w:szCs w:val="24"/>
                <w:u w:val="single"/>
              </w:rPr>
              <w:t>Strategy 5</w:t>
            </w:r>
            <w:r>
              <w:rPr>
                <w:sz w:val="24"/>
                <w:szCs w:val="24"/>
              </w:rPr>
              <w:t xml:space="preserve">: </w:t>
            </w:r>
          </w:p>
          <w:p w:rsidR="00823E05" w:rsidRPr="004F31D0" w:rsidRDefault="00823E05" w:rsidP="00702B67">
            <w:pPr>
              <w:jc w:val="center"/>
              <w:rPr>
                <w:sz w:val="24"/>
                <w:szCs w:val="24"/>
              </w:rPr>
            </w:pPr>
            <w:r>
              <w:rPr>
                <w:sz w:val="24"/>
                <w:szCs w:val="24"/>
              </w:rPr>
              <w:t>Program Evaluation</w:t>
            </w:r>
          </w:p>
        </w:tc>
        <w:tc>
          <w:tcPr>
            <w:tcW w:w="10660" w:type="dxa"/>
            <w:gridSpan w:val="4"/>
            <w:vAlign w:val="center"/>
          </w:tcPr>
          <w:p w:rsidR="00823E05" w:rsidRDefault="00823E05" w:rsidP="00BA6055">
            <w:pPr>
              <w:jc w:val="center"/>
              <w:rPr>
                <w:sz w:val="24"/>
                <w:szCs w:val="24"/>
              </w:rPr>
            </w:pPr>
            <w:r>
              <w:rPr>
                <w:sz w:val="24"/>
                <w:szCs w:val="24"/>
              </w:rPr>
              <w:t>See Program Evaluation section (page X)</w:t>
            </w:r>
          </w:p>
        </w:tc>
      </w:tr>
      <w:tr w:rsidR="00823E05" w:rsidTr="00BA6055">
        <w:tc>
          <w:tcPr>
            <w:tcW w:w="2516" w:type="dxa"/>
            <w:vAlign w:val="center"/>
          </w:tcPr>
          <w:p w:rsidR="00823E05" w:rsidRDefault="00823E05" w:rsidP="00702B67">
            <w:pPr>
              <w:jc w:val="center"/>
              <w:rPr>
                <w:sz w:val="24"/>
                <w:szCs w:val="24"/>
              </w:rPr>
            </w:pPr>
            <w:r>
              <w:rPr>
                <w:b/>
                <w:sz w:val="24"/>
                <w:szCs w:val="24"/>
                <w:u w:val="single"/>
              </w:rPr>
              <w:t>Strategy 6</w:t>
            </w:r>
            <w:r>
              <w:rPr>
                <w:sz w:val="24"/>
                <w:szCs w:val="24"/>
              </w:rPr>
              <w:t xml:space="preserve">: </w:t>
            </w:r>
          </w:p>
          <w:p w:rsidR="00823E05" w:rsidRPr="004F31D0" w:rsidRDefault="00823E05" w:rsidP="00702B67">
            <w:pPr>
              <w:jc w:val="center"/>
              <w:rPr>
                <w:sz w:val="24"/>
                <w:szCs w:val="24"/>
              </w:rPr>
            </w:pPr>
            <w:r>
              <w:rPr>
                <w:sz w:val="24"/>
                <w:szCs w:val="24"/>
              </w:rPr>
              <w:t>Human Resources Development</w:t>
            </w:r>
          </w:p>
        </w:tc>
        <w:tc>
          <w:tcPr>
            <w:tcW w:w="10660" w:type="dxa"/>
            <w:gridSpan w:val="4"/>
            <w:vAlign w:val="center"/>
          </w:tcPr>
          <w:p w:rsidR="00823E05" w:rsidRDefault="00823E05" w:rsidP="00BA6055">
            <w:pPr>
              <w:jc w:val="center"/>
              <w:rPr>
                <w:sz w:val="24"/>
                <w:szCs w:val="24"/>
              </w:rPr>
            </w:pPr>
            <w:r>
              <w:rPr>
                <w:sz w:val="24"/>
                <w:szCs w:val="24"/>
              </w:rPr>
              <w:t>See Human Resources Development section (page X)</w:t>
            </w:r>
          </w:p>
        </w:tc>
      </w:tr>
    </w:tbl>
    <w:p w:rsidR="00AA40FB" w:rsidRPr="00AA40FB" w:rsidRDefault="00AA40FB" w:rsidP="00AA40FB">
      <w:pPr>
        <w:spacing w:after="0" w:line="240" w:lineRule="auto"/>
        <w:rPr>
          <w:sz w:val="24"/>
          <w:szCs w:val="24"/>
        </w:rPr>
      </w:pPr>
    </w:p>
    <w:p w:rsidR="00620779" w:rsidRDefault="002063D8" w:rsidP="00B07043">
      <w:pPr>
        <w:spacing w:after="0" w:line="240" w:lineRule="auto"/>
        <w:rPr>
          <w:b/>
          <w:sz w:val="24"/>
          <w:szCs w:val="24"/>
        </w:rPr>
      </w:pPr>
      <w:r>
        <w:rPr>
          <w:b/>
          <w:sz w:val="24"/>
          <w:szCs w:val="24"/>
        </w:rPr>
        <w:t xml:space="preserve">Table </w:t>
      </w:r>
      <w:r w:rsidR="0041398C">
        <w:rPr>
          <w:b/>
          <w:sz w:val="24"/>
          <w:szCs w:val="24"/>
        </w:rPr>
        <w:t>8</w:t>
      </w:r>
      <w:r w:rsidR="00883440">
        <w:rPr>
          <w:b/>
          <w:sz w:val="24"/>
          <w:szCs w:val="24"/>
        </w:rPr>
        <w:t>.  Barriers and Challenges to Implementation of the Proposed Level Strategies/Activities</w:t>
      </w:r>
    </w:p>
    <w:tbl>
      <w:tblPr>
        <w:tblStyle w:val="TableGrid"/>
        <w:tblW w:w="0" w:type="auto"/>
        <w:tblLook w:val="04A0" w:firstRow="1" w:lastRow="0" w:firstColumn="1" w:lastColumn="0" w:noHBand="0" w:noVBand="1"/>
      </w:tblPr>
      <w:tblGrid>
        <w:gridCol w:w="3294"/>
        <w:gridCol w:w="3294"/>
        <w:gridCol w:w="3294"/>
        <w:gridCol w:w="3294"/>
      </w:tblGrid>
      <w:tr w:rsidR="00883440" w:rsidRPr="00883440" w:rsidTr="00883440">
        <w:tc>
          <w:tcPr>
            <w:tcW w:w="3294" w:type="dxa"/>
            <w:shd w:val="clear" w:color="auto" w:fill="D9D9D9" w:themeFill="background1" w:themeFillShade="D9"/>
            <w:vAlign w:val="center"/>
          </w:tcPr>
          <w:p w:rsidR="00883440" w:rsidRPr="00883440" w:rsidRDefault="00883440" w:rsidP="00883440">
            <w:pPr>
              <w:jc w:val="center"/>
              <w:rPr>
                <w:b/>
                <w:sz w:val="24"/>
                <w:szCs w:val="24"/>
              </w:rPr>
            </w:pPr>
            <w:r>
              <w:rPr>
                <w:b/>
                <w:sz w:val="24"/>
                <w:szCs w:val="24"/>
              </w:rPr>
              <w:t>Strategy</w:t>
            </w:r>
          </w:p>
        </w:tc>
        <w:tc>
          <w:tcPr>
            <w:tcW w:w="3294" w:type="dxa"/>
            <w:shd w:val="clear" w:color="auto" w:fill="D9D9D9" w:themeFill="background1" w:themeFillShade="D9"/>
            <w:vAlign w:val="center"/>
          </w:tcPr>
          <w:p w:rsidR="00883440" w:rsidRPr="00883440" w:rsidRDefault="00883440" w:rsidP="00883440">
            <w:pPr>
              <w:jc w:val="center"/>
              <w:rPr>
                <w:b/>
                <w:sz w:val="24"/>
                <w:szCs w:val="24"/>
              </w:rPr>
            </w:pPr>
            <w:r>
              <w:rPr>
                <w:b/>
                <w:sz w:val="24"/>
                <w:szCs w:val="24"/>
              </w:rPr>
              <w:t>Task</w:t>
            </w:r>
          </w:p>
        </w:tc>
        <w:tc>
          <w:tcPr>
            <w:tcW w:w="3294" w:type="dxa"/>
            <w:shd w:val="clear" w:color="auto" w:fill="D9D9D9" w:themeFill="background1" w:themeFillShade="D9"/>
            <w:vAlign w:val="center"/>
          </w:tcPr>
          <w:p w:rsidR="00883440" w:rsidRPr="00883440" w:rsidRDefault="00883440" w:rsidP="00883440">
            <w:pPr>
              <w:jc w:val="center"/>
              <w:rPr>
                <w:b/>
                <w:sz w:val="24"/>
                <w:szCs w:val="24"/>
              </w:rPr>
            </w:pPr>
            <w:r>
              <w:rPr>
                <w:b/>
                <w:sz w:val="24"/>
                <w:szCs w:val="24"/>
              </w:rPr>
              <w:t>Barriers and Challenges</w:t>
            </w:r>
          </w:p>
        </w:tc>
        <w:tc>
          <w:tcPr>
            <w:tcW w:w="3294" w:type="dxa"/>
            <w:shd w:val="clear" w:color="auto" w:fill="D9D9D9" w:themeFill="background1" w:themeFillShade="D9"/>
            <w:vAlign w:val="center"/>
          </w:tcPr>
          <w:p w:rsidR="00883440" w:rsidRPr="00883440" w:rsidRDefault="00883440" w:rsidP="00883440">
            <w:pPr>
              <w:jc w:val="center"/>
              <w:rPr>
                <w:b/>
                <w:sz w:val="24"/>
                <w:szCs w:val="24"/>
              </w:rPr>
            </w:pPr>
            <w:r>
              <w:rPr>
                <w:b/>
                <w:sz w:val="24"/>
                <w:szCs w:val="24"/>
              </w:rPr>
              <w:t>Activities in Response to Barriers and Challenges</w:t>
            </w:r>
          </w:p>
        </w:tc>
      </w:tr>
      <w:tr w:rsidR="008F0FC0" w:rsidTr="00F14174">
        <w:tc>
          <w:tcPr>
            <w:tcW w:w="3294" w:type="dxa"/>
            <w:vMerge w:val="restart"/>
            <w:vAlign w:val="center"/>
          </w:tcPr>
          <w:p w:rsidR="008F0FC0" w:rsidRDefault="008F0FC0" w:rsidP="00702B67">
            <w:pPr>
              <w:jc w:val="center"/>
              <w:rPr>
                <w:sz w:val="24"/>
                <w:szCs w:val="24"/>
              </w:rPr>
            </w:pPr>
            <w:r>
              <w:rPr>
                <w:b/>
                <w:sz w:val="24"/>
                <w:szCs w:val="24"/>
                <w:u w:val="single"/>
              </w:rPr>
              <w:t>Strategy 1</w:t>
            </w:r>
            <w:r>
              <w:rPr>
                <w:sz w:val="24"/>
                <w:szCs w:val="24"/>
              </w:rPr>
              <w:t xml:space="preserve">: </w:t>
            </w:r>
          </w:p>
          <w:p w:rsidR="008F0FC0" w:rsidRPr="004F31D0" w:rsidRDefault="008F0FC0" w:rsidP="00702B67">
            <w:pPr>
              <w:jc w:val="center"/>
              <w:rPr>
                <w:sz w:val="24"/>
                <w:szCs w:val="24"/>
              </w:rPr>
            </w:pPr>
            <w:r>
              <w:rPr>
                <w:sz w:val="24"/>
                <w:szCs w:val="24"/>
              </w:rPr>
              <w:t>Improved Case Detection and Management</w:t>
            </w:r>
          </w:p>
        </w:tc>
        <w:tc>
          <w:tcPr>
            <w:tcW w:w="3294" w:type="dxa"/>
            <w:vAlign w:val="center"/>
          </w:tcPr>
          <w:p w:rsidR="008F0FC0" w:rsidRPr="00961883" w:rsidRDefault="008F0FC0" w:rsidP="00F14174">
            <w:pPr>
              <w:pStyle w:val="ListParagraph"/>
              <w:numPr>
                <w:ilvl w:val="0"/>
                <w:numId w:val="7"/>
              </w:numPr>
              <w:ind w:left="396"/>
              <w:rPr>
                <w:sz w:val="24"/>
                <w:szCs w:val="24"/>
              </w:rPr>
            </w:pPr>
            <w:r w:rsidRPr="00961883">
              <w:rPr>
                <w:sz w:val="24"/>
                <w:szCs w:val="24"/>
              </w:rPr>
              <w:t>Ensure case management and treatment of TB cases</w:t>
            </w:r>
          </w:p>
        </w:tc>
        <w:tc>
          <w:tcPr>
            <w:tcW w:w="3294" w:type="dxa"/>
          </w:tcPr>
          <w:p w:rsidR="008F0FC0" w:rsidRDefault="008F0FC0" w:rsidP="00B07043">
            <w:pPr>
              <w:rPr>
                <w:sz w:val="24"/>
                <w:szCs w:val="24"/>
              </w:rPr>
            </w:pPr>
          </w:p>
        </w:tc>
        <w:tc>
          <w:tcPr>
            <w:tcW w:w="3294" w:type="dxa"/>
          </w:tcPr>
          <w:p w:rsidR="008F0FC0" w:rsidRDefault="008F0FC0" w:rsidP="00B07043">
            <w:pPr>
              <w:rPr>
                <w:sz w:val="24"/>
                <w:szCs w:val="24"/>
              </w:rPr>
            </w:pPr>
          </w:p>
        </w:tc>
      </w:tr>
      <w:tr w:rsidR="008F0FC0" w:rsidTr="00F14174">
        <w:tc>
          <w:tcPr>
            <w:tcW w:w="3294" w:type="dxa"/>
            <w:vMerge/>
            <w:vAlign w:val="center"/>
          </w:tcPr>
          <w:p w:rsidR="008F0FC0" w:rsidRDefault="008F0FC0" w:rsidP="00883440">
            <w:pPr>
              <w:jc w:val="center"/>
              <w:rPr>
                <w:sz w:val="24"/>
                <w:szCs w:val="24"/>
              </w:rPr>
            </w:pPr>
          </w:p>
        </w:tc>
        <w:tc>
          <w:tcPr>
            <w:tcW w:w="3294" w:type="dxa"/>
            <w:vAlign w:val="center"/>
          </w:tcPr>
          <w:p w:rsidR="008F0FC0" w:rsidRPr="00961883" w:rsidRDefault="008F0FC0" w:rsidP="00F14174">
            <w:pPr>
              <w:pStyle w:val="ListParagraph"/>
              <w:numPr>
                <w:ilvl w:val="0"/>
                <w:numId w:val="7"/>
              </w:numPr>
              <w:ind w:left="396"/>
              <w:rPr>
                <w:sz w:val="24"/>
                <w:szCs w:val="24"/>
              </w:rPr>
            </w:pPr>
            <w:r>
              <w:rPr>
                <w:sz w:val="24"/>
                <w:szCs w:val="24"/>
              </w:rPr>
              <w:t>Assess adequacy and appropriateness of therapy</w:t>
            </w:r>
          </w:p>
        </w:tc>
        <w:tc>
          <w:tcPr>
            <w:tcW w:w="3294" w:type="dxa"/>
          </w:tcPr>
          <w:p w:rsidR="008F0FC0" w:rsidRDefault="008F0FC0" w:rsidP="00B07043">
            <w:pPr>
              <w:rPr>
                <w:sz w:val="24"/>
                <w:szCs w:val="24"/>
              </w:rPr>
            </w:pPr>
          </w:p>
        </w:tc>
        <w:tc>
          <w:tcPr>
            <w:tcW w:w="3294" w:type="dxa"/>
          </w:tcPr>
          <w:p w:rsidR="008F0FC0" w:rsidRDefault="008F0FC0" w:rsidP="00B07043">
            <w:pPr>
              <w:rPr>
                <w:sz w:val="24"/>
                <w:szCs w:val="24"/>
              </w:rPr>
            </w:pPr>
          </w:p>
        </w:tc>
      </w:tr>
      <w:tr w:rsidR="008F0FC0" w:rsidTr="00F14174">
        <w:tc>
          <w:tcPr>
            <w:tcW w:w="3294" w:type="dxa"/>
            <w:vMerge/>
            <w:vAlign w:val="center"/>
          </w:tcPr>
          <w:p w:rsidR="008F0FC0" w:rsidRDefault="008F0FC0" w:rsidP="00883440">
            <w:pPr>
              <w:jc w:val="center"/>
              <w:rPr>
                <w:sz w:val="24"/>
                <w:szCs w:val="24"/>
              </w:rPr>
            </w:pPr>
          </w:p>
        </w:tc>
        <w:tc>
          <w:tcPr>
            <w:tcW w:w="3294" w:type="dxa"/>
            <w:vAlign w:val="center"/>
          </w:tcPr>
          <w:p w:rsidR="008F0FC0" w:rsidRPr="00961883" w:rsidRDefault="008F0FC0" w:rsidP="00F14174">
            <w:pPr>
              <w:pStyle w:val="ListParagraph"/>
              <w:numPr>
                <w:ilvl w:val="0"/>
                <w:numId w:val="7"/>
              </w:numPr>
              <w:ind w:left="396"/>
              <w:rPr>
                <w:sz w:val="24"/>
                <w:szCs w:val="24"/>
              </w:rPr>
            </w:pPr>
            <w:r>
              <w:rPr>
                <w:sz w:val="24"/>
                <w:szCs w:val="24"/>
              </w:rPr>
              <w:t>Seek expert consultation</w:t>
            </w:r>
          </w:p>
        </w:tc>
        <w:tc>
          <w:tcPr>
            <w:tcW w:w="3294" w:type="dxa"/>
          </w:tcPr>
          <w:p w:rsidR="008F0FC0" w:rsidRDefault="008F0FC0" w:rsidP="00B07043">
            <w:pPr>
              <w:rPr>
                <w:sz w:val="24"/>
                <w:szCs w:val="24"/>
              </w:rPr>
            </w:pPr>
          </w:p>
        </w:tc>
        <w:tc>
          <w:tcPr>
            <w:tcW w:w="3294" w:type="dxa"/>
          </w:tcPr>
          <w:p w:rsidR="008F0FC0" w:rsidRDefault="008F0FC0" w:rsidP="00B07043">
            <w:pPr>
              <w:rPr>
                <w:sz w:val="24"/>
                <w:szCs w:val="24"/>
              </w:rPr>
            </w:pPr>
          </w:p>
        </w:tc>
      </w:tr>
      <w:tr w:rsidR="008F0FC0" w:rsidTr="00F14174">
        <w:tc>
          <w:tcPr>
            <w:tcW w:w="3294" w:type="dxa"/>
            <w:vMerge/>
            <w:vAlign w:val="center"/>
          </w:tcPr>
          <w:p w:rsidR="008F0FC0" w:rsidRDefault="008F0FC0" w:rsidP="00883440">
            <w:pPr>
              <w:jc w:val="center"/>
              <w:rPr>
                <w:sz w:val="24"/>
                <w:szCs w:val="24"/>
              </w:rPr>
            </w:pPr>
          </w:p>
        </w:tc>
        <w:tc>
          <w:tcPr>
            <w:tcW w:w="3294" w:type="dxa"/>
            <w:vAlign w:val="center"/>
          </w:tcPr>
          <w:p w:rsidR="008F0FC0" w:rsidRPr="00961883" w:rsidRDefault="008F0FC0" w:rsidP="00F14174">
            <w:pPr>
              <w:pStyle w:val="ListParagraph"/>
              <w:numPr>
                <w:ilvl w:val="0"/>
                <w:numId w:val="7"/>
              </w:numPr>
              <w:ind w:left="396"/>
              <w:rPr>
                <w:sz w:val="24"/>
                <w:szCs w:val="24"/>
              </w:rPr>
            </w:pPr>
            <w:r>
              <w:rPr>
                <w:sz w:val="24"/>
                <w:szCs w:val="24"/>
              </w:rPr>
              <w:t>Collaborate with HIV/AIDS programs</w:t>
            </w:r>
          </w:p>
        </w:tc>
        <w:tc>
          <w:tcPr>
            <w:tcW w:w="3294" w:type="dxa"/>
          </w:tcPr>
          <w:p w:rsidR="008F0FC0" w:rsidRDefault="008F0FC0" w:rsidP="00B07043">
            <w:pPr>
              <w:rPr>
                <w:sz w:val="24"/>
                <w:szCs w:val="24"/>
              </w:rPr>
            </w:pPr>
          </w:p>
        </w:tc>
        <w:tc>
          <w:tcPr>
            <w:tcW w:w="3294" w:type="dxa"/>
          </w:tcPr>
          <w:p w:rsidR="008F0FC0" w:rsidRDefault="008F0FC0" w:rsidP="00B07043">
            <w:pPr>
              <w:rPr>
                <w:sz w:val="24"/>
                <w:szCs w:val="24"/>
              </w:rPr>
            </w:pPr>
          </w:p>
        </w:tc>
      </w:tr>
      <w:tr w:rsidR="008F0FC0" w:rsidTr="00F14174">
        <w:tc>
          <w:tcPr>
            <w:tcW w:w="3294" w:type="dxa"/>
            <w:vMerge/>
            <w:vAlign w:val="center"/>
          </w:tcPr>
          <w:p w:rsidR="008F0FC0" w:rsidRDefault="008F0FC0" w:rsidP="00883440">
            <w:pPr>
              <w:jc w:val="center"/>
              <w:rPr>
                <w:sz w:val="24"/>
                <w:szCs w:val="24"/>
              </w:rPr>
            </w:pPr>
          </w:p>
        </w:tc>
        <w:tc>
          <w:tcPr>
            <w:tcW w:w="3294" w:type="dxa"/>
            <w:vAlign w:val="center"/>
          </w:tcPr>
          <w:p w:rsidR="008F0FC0" w:rsidRDefault="008F0FC0" w:rsidP="00F14174">
            <w:pPr>
              <w:pStyle w:val="ListParagraph"/>
              <w:numPr>
                <w:ilvl w:val="0"/>
                <w:numId w:val="7"/>
              </w:numPr>
              <w:ind w:left="396"/>
              <w:rPr>
                <w:sz w:val="24"/>
                <w:szCs w:val="24"/>
              </w:rPr>
            </w:pPr>
            <w:r>
              <w:rPr>
                <w:sz w:val="24"/>
                <w:szCs w:val="24"/>
              </w:rPr>
              <w:t>Evaluate case management</w:t>
            </w:r>
          </w:p>
          <w:p w:rsidR="008F0FC0" w:rsidRDefault="008F0FC0" w:rsidP="008F0FC0">
            <w:pPr>
              <w:pStyle w:val="ListParagraph"/>
              <w:ind w:left="396"/>
              <w:rPr>
                <w:sz w:val="24"/>
                <w:szCs w:val="24"/>
              </w:rPr>
            </w:pPr>
          </w:p>
          <w:p w:rsidR="008F0FC0" w:rsidRDefault="008F0FC0" w:rsidP="008F0FC0">
            <w:pPr>
              <w:pStyle w:val="ListParagraph"/>
              <w:ind w:left="396"/>
              <w:rPr>
                <w:sz w:val="24"/>
                <w:szCs w:val="24"/>
              </w:rPr>
            </w:pPr>
          </w:p>
        </w:tc>
        <w:tc>
          <w:tcPr>
            <w:tcW w:w="3294" w:type="dxa"/>
          </w:tcPr>
          <w:p w:rsidR="008F0FC0" w:rsidRDefault="008F0FC0" w:rsidP="00B07043">
            <w:pPr>
              <w:rPr>
                <w:sz w:val="24"/>
                <w:szCs w:val="24"/>
              </w:rPr>
            </w:pPr>
          </w:p>
        </w:tc>
        <w:tc>
          <w:tcPr>
            <w:tcW w:w="3294" w:type="dxa"/>
          </w:tcPr>
          <w:p w:rsidR="008F0FC0" w:rsidRDefault="008F0FC0" w:rsidP="00B07043">
            <w:pPr>
              <w:rPr>
                <w:sz w:val="24"/>
                <w:szCs w:val="24"/>
              </w:rPr>
            </w:pPr>
          </w:p>
        </w:tc>
      </w:tr>
      <w:tr w:rsidR="008F0FC0" w:rsidTr="00F14174">
        <w:tc>
          <w:tcPr>
            <w:tcW w:w="3294" w:type="dxa"/>
            <w:vMerge w:val="restart"/>
            <w:vAlign w:val="center"/>
          </w:tcPr>
          <w:p w:rsidR="008F0FC0" w:rsidRDefault="008F0FC0" w:rsidP="00883440">
            <w:pPr>
              <w:jc w:val="center"/>
              <w:rPr>
                <w:b/>
                <w:sz w:val="24"/>
                <w:szCs w:val="24"/>
              </w:rPr>
            </w:pPr>
            <w:r>
              <w:rPr>
                <w:b/>
                <w:sz w:val="24"/>
                <w:szCs w:val="24"/>
                <w:u w:val="single"/>
              </w:rPr>
              <w:t>Strategy 2</w:t>
            </w:r>
            <w:r>
              <w:rPr>
                <w:b/>
                <w:sz w:val="24"/>
                <w:szCs w:val="24"/>
              </w:rPr>
              <w:t>:</w:t>
            </w:r>
          </w:p>
          <w:p w:rsidR="008F0FC0" w:rsidRPr="008F0FC0" w:rsidRDefault="008F0FC0" w:rsidP="00883440">
            <w:pPr>
              <w:jc w:val="center"/>
              <w:rPr>
                <w:sz w:val="24"/>
                <w:szCs w:val="24"/>
              </w:rPr>
            </w:pPr>
            <w:r>
              <w:rPr>
                <w:sz w:val="24"/>
                <w:szCs w:val="24"/>
              </w:rPr>
              <w:t>Surveillance of TB Cases and Case Reporting</w:t>
            </w:r>
          </w:p>
        </w:tc>
        <w:tc>
          <w:tcPr>
            <w:tcW w:w="3294" w:type="dxa"/>
            <w:vAlign w:val="center"/>
          </w:tcPr>
          <w:p w:rsidR="008F0FC0" w:rsidRPr="008F0FC0" w:rsidRDefault="008F0FC0" w:rsidP="008F0FC0">
            <w:pPr>
              <w:pStyle w:val="ListParagraph"/>
              <w:numPr>
                <w:ilvl w:val="0"/>
                <w:numId w:val="10"/>
              </w:numPr>
              <w:ind w:left="396"/>
              <w:rPr>
                <w:sz w:val="24"/>
                <w:szCs w:val="24"/>
              </w:rPr>
            </w:pPr>
            <w:r>
              <w:rPr>
                <w:sz w:val="24"/>
                <w:szCs w:val="24"/>
              </w:rPr>
              <w:t>Active surveillance</w:t>
            </w:r>
          </w:p>
        </w:tc>
        <w:tc>
          <w:tcPr>
            <w:tcW w:w="3294" w:type="dxa"/>
          </w:tcPr>
          <w:p w:rsidR="008F0FC0" w:rsidRDefault="008F0FC0" w:rsidP="00B07043">
            <w:pPr>
              <w:rPr>
                <w:sz w:val="24"/>
                <w:szCs w:val="24"/>
              </w:rPr>
            </w:pPr>
          </w:p>
        </w:tc>
        <w:tc>
          <w:tcPr>
            <w:tcW w:w="3294" w:type="dxa"/>
          </w:tcPr>
          <w:p w:rsidR="008F0FC0" w:rsidRDefault="008F0FC0" w:rsidP="00B07043">
            <w:pPr>
              <w:rPr>
                <w:sz w:val="24"/>
                <w:szCs w:val="24"/>
              </w:rPr>
            </w:pPr>
          </w:p>
        </w:tc>
      </w:tr>
      <w:tr w:rsidR="008F0FC0" w:rsidTr="00F14174">
        <w:tc>
          <w:tcPr>
            <w:tcW w:w="3294" w:type="dxa"/>
            <w:vMerge/>
            <w:vAlign w:val="center"/>
          </w:tcPr>
          <w:p w:rsidR="008F0FC0" w:rsidRDefault="008F0FC0" w:rsidP="00883440">
            <w:pPr>
              <w:jc w:val="center"/>
              <w:rPr>
                <w:b/>
                <w:sz w:val="24"/>
                <w:szCs w:val="24"/>
                <w:u w:val="single"/>
              </w:rPr>
            </w:pPr>
          </w:p>
        </w:tc>
        <w:tc>
          <w:tcPr>
            <w:tcW w:w="3294" w:type="dxa"/>
            <w:vAlign w:val="center"/>
          </w:tcPr>
          <w:p w:rsidR="008F0FC0" w:rsidRDefault="008F0FC0" w:rsidP="008F0FC0">
            <w:pPr>
              <w:pStyle w:val="ListParagraph"/>
              <w:numPr>
                <w:ilvl w:val="0"/>
                <w:numId w:val="10"/>
              </w:numPr>
              <w:ind w:left="396"/>
              <w:rPr>
                <w:sz w:val="24"/>
                <w:szCs w:val="24"/>
              </w:rPr>
            </w:pPr>
            <w:r>
              <w:rPr>
                <w:sz w:val="24"/>
                <w:szCs w:val="24"/>
              </w:rPr>
              <w:t>HIV testing for all TB cases</w:t>
            </w:r>
          </w:p>
        </w:tc>
        <w:tc>
          <w:tcPr>
            <w:tcW w:w="3294" w:type="dxa"/>
          </w:tcPr>
          <w:p w:rsidR="008F0FC0" w:rsidRDefault="008F0FC0" w:rsidP="00B07043">
            <w:pPr>
              <w:rPr>
                <w:sz w:val="24"/>
                <w:szCs w:val="24"/>
              </w:rPr>
            </w:pPr>
          </w:p>
        </w:tc>
        <w:tc>
          <w:tcPr>
            <w:tcW w:w="3294" w:type="dxa"/>
          </w:tcPr>
          <w:p w:rsidR="008F0FC0" w:rsidRDefault="008F0FC0" w:rsidP="00B07043">
            <w:pPr>
              <w:rPr>
                <w:sz w:val="24"/>
                <w:szCs w:val="24"/>
              </w:rPr>
            </w:pPr>
          </w:p>
        </w:tc>
      </w:tr>
      <w:tr w:rsidR="008F0FC0" w:rsidTr="00F14174">
        <w:tc>
          <w:tcPr>
            <w:tcW w:w="3294" w:type="dxa"/>
            <w:vMerge w:val="restart"/>
            <w:vAlign w:val="center"/>
          </w:tcPr>
          <w:p w:rsidR="008F0FC0" w:rsidRDefault="008F0FC0" w:rsidP="00883440">
            <w:pPr>
              <w:jc w:val="center"/>
              <w:rPr>
                <w:b/>
                <w:sz w:val="24"/>
                <w:szCs w:val="24"/>
              </w:rPr>
            </w:pPr>
            <w:r>
              <w:rPr>
                <w:b/>
                <w:sz w:val="24"/>
                <w:szCs w:val="24"/>
                <w:u w:val="single"/>
              </w:rPr>
              <w:t>Strategy 3</w:t>
            </w:r>
            <w:r>
              <w:rPr>
                <w:b/>
                <w:sz w:val="24"/>
                <w:szCs w:val="24"/>
              </w:rPr>
              <w:t xml:space="preserve">: </w:t>
            </w:r>
          </w:p>
          <w:p w:rsidR="008F0FC0" w:rsidRPr="008F0FC0" w:rsidRDefault="008F0FC0" w:rsidP="00883440">
            <w:pPr>
              <w:jc w:val="center"/>
              <w:rPr>
                <w:sz w:val="24"/>
                <w:szCs w:val="24"/>
              </w:rPr>
            </w:pPr>
            <w:r>
              <w:rPr>
                <w:sz w:val="24"/>
                <w:szCs w:val="24"/>
              </w:rPr>
              <w:t>Contact Investigation</w:t>
            </w:r>
          </w:p>
        </w:tc>
        <w:tc>
          <w:tcPr>
            <w:tcW w:w="3294" w:type="dxa"/>
            <w:vAlign w:val="center"/>
          </w:tcPr>
          <w:p w:rsidR="008F0FC0" w:rsidRPr="008F0FC0" w:rsidRDefault="008F0FC0" w:rsidP="008F0FC0">
            <w:pPr>
              <w:pStyle w:val="ListParagraph"/>
              <w:numPr>
                <w:ilvl w:val="0"/>
                <w:numId w:val="11"/>
              </w:numPr>
              <w:ind w:left="396"/>
              <w:rPr>
                <w:sz w:val="24"/>
                <w:szCs w:val="24"/>
              </w:rPr>
            </w:pPr>
            <w:r>
              <w:rPr>
                <w:sz w:val="24"/>
                <w:szCs w:val="24"/>
              </w:rPr>
              <w:t>CI activities are initiated and completed promptly</w:t>
            </w:r>
          </w:p>
        </w:tc>
        <w:tc>
          <w:tcPr>
            <w:tcW w:w="3294" w:type="dxa"/>
          </w:tcPr>
          <w:p w:rsidR="008F0FC0" w:rsidRDefault="008F0FC0" w:rsidP="00B07043">
            <w:pPr>
              <w:rPr>
                <w:sz w:val="24"/>
                <w:szCs w:val="24"/>
              </w:rPr>
            </w:pPr>
          </w:p>
        </w:tc>
        <w:tc>
          <w:tcPr>
            <w:tcW w:w="3294" w:type="dxa"/>
          </w:tcPr>
          <w:p w:rsidR="008F0FC0" w:rsidRDefault="008F0FC0" w:rsidP="00B07043">
            <w:pPr>
              <w:rPr>
                <w:sz w:val="24"/>
                <w:szCs w:val="24"/>
              </w:rPr>
            </w:pPr>
          </w:p>
        </w:tc>
      </w:tr>
      <w:tr w:rsidR="008F0FC0" w:rsidTr="00F14174">
        <w:tc>
          <w:tcPr>
            <w:tcW w:w="3294" w:type="dxa"/>
            <w:vMerge/>
            <w:vAlign w:val="center"/>
          </w:tcPr>
          <w:p w:rsidR="008F0FC0" w:rsidRDefault="008F0FC0" w:rsidP="00883440">
            <w:pPr>
              <w:jc w:val="center"/>
              <w:rPr>
                <w:b/>
                <w:sz w:val="24"/>
                <w:szCs w:val="24"/>
                <w:u w:val="single"/>
              </w:rPr>
            </w:pPr>
          </w:p>
        </w:tc>
        <w:tc>
          <w:tcPr>
            <w:tcW w:w="3294" w:type="dxa"/>
            <w:vAlign w:val="center"/>
          </w:tcPr>
          <w:p w:rsidR="008F0FC0" w:rsidRDefault="008F0FC0" w:rsidP="008F0FC0">
            <w:pPr>
              <w:pStyle w:val="ListParagraph"/>
              <w:numPr>
                <w:ilvl w:val="0"/>
                <w:numId w:val="11"/>
              </w:numPr>
              <w:ind w:left="396"/>
              <w:rPr>
                <w:sz w:val="24"/>
                <w:szCs w:val="24"/>
              </w:rPr>
            </w:pPr>
            <w:r>
              <w:rPr>
                <w:sz w:val="24"/>
                <w:szCs w:val="24"/>
              </w:rPr>
              <w:t>Assess reasons for no contacts or low number of contacts</w:t>
            </w:r>
          </w:p>
        </w:tc>
        <w:tc>
          <w:tcPr>
            <w:tcW w:w="3294" w:type="dxa"/>
          </w:tcPr>
          <w:p w:rsidR="008F0FC0" w:rsidRDefault="008F0FC0" w:rsidP="00B07043">
            <w:pPr>
              <w:rPr>
                <w:sz w:val="24"/>
                <w:szCs w:val="24"/>
              </w:rPr>
            </w:pPr>
          </w:p>
        </w:tc>
        <w:tc>
          <w:tcPr>
            <w:tcW w:w="3294" w:type="dxa"/>
          </w:tcPr>
          <w:p w:rsidR="008F0FC0" w:rsidRDefault="008F0FC0" w:rsidP="00B07043">
            <w:pPr>
              <w:rPr>
                <w:sz w:val="24"/>
                <w:szCs w:val="24"/>
              </w:rPr>
            </w:pPr>
          </w:p>
        </w:tc>
      </w:tr>
      <w:tr w:rsidR="008F0FC0" w:rsidTr="00F14174">
        <w:tc>
          <w:tcPr>
            <w:tcW w:w="3294" w:type="dxa"/>
            <w:vAlign w:val="center"/>
          </w:tcPr>
          <w:p w:rsidR="008F0FC0" w:rsidRDefault="008F0FC0" w:rsidP="00883440">
            <w:pPr>
              <w:jc w:val="center"/>
              <w:rPr>
                <w:b/>
                <w:sz w:val="24"/>
                <w:szCs w:val="24"/>
              </w:rPr>
            </w:pPr>
            <w:r>
              <w:rPr>
                <w:b/>
                <w:sz w:val="24"/>
                <w:szCs w:val="24"/>
                <w:u w:val="single"/>
              </w:rPr>
              <w:t>Strategy 4</w:t>
            </w:r>
            <w:r>
              <w:rPr>
                <w:b/>
                <w:sz w:val="24"/>
                <w:szCs w:val="24"/>
              </w:rPr>
              <w:t xml:space="preserve">: </w:t>
            </w:r>
          </w:p>
          <w:p w:rsidR="008F0FC0" w:rsidRPr="008F0FC0" w:rsidRDefault="008F0FC0" w:rsidP="00883440">
            <w:pPr>
              <w:jc w:val="center"/>
              <w:rPr>
                <w:sz w:val="24"/>
                <w:szCs w:val="24"/>
              </w:rPr>
            </w:pPr>
            <w:r>
              <w:rPr>
                <w:sz w:val="24"/>
                <w:szCs w:val="24"/>
              </w:rPr>
              <w:t>Evaluation of Immigrants and Refugees with TB or LTBI</w:t>
            </w:r>
          </w:p>
        </w:tc>
        <w:tc>
          <w:tcPr>
            <w:tcW w:w="3294" w:type="dxa"/>
            <w:vAlign w:val="center"/>
          </w:tcPr>
          <w:p w:rsidR="008F0FC0" w:rsidRPr="008F0FC0" w:rsidRDefault="008F0FC0" w:rsidP="008F0FC0">
            <w:pPr>
              <w:pStyle w:val="ListParagraph"/>
              <w:numPr>
                <w:ilvl w:val="0"/>
                <w:numId w:val="12"/>
              </w:numPr>
              <w:ind w:left="396"/>
              <w:rPr>
                <w:sz w:val="24"/>
                <w:szCs w:val="24"/>
              </w:rPr>
            </w:pPr>
            <w:r>
              <w:rPr>
                <w:sz w:val="24"/>
                <w:szCs w:val="24"/>
              </w:rPr>
              <w:t>Immigrants and refugees are located promptly and evaluated and treated appropriately</w:t>
            </w:r>
          </w:p>
        </w:tc>
        <w:tc>
          <w:tcPr>
            <w:tcW w:w="3294" w:type="dxa"/>
          </w:tcPr>
          <w:p w:rsidR="008F0FC0" w:rsidRDefault="008F0FC0" w:rsidP="00B07043">
            <w:pPr>
              <w:rPr>
                <w:sz w:val="24"/>
                <w:szCs w:val="24"/>
              </w:rPr>
            </w:pPr>
          </w:p>
        </w:tc>
        <w:tc>
          <w:tcPr>
            <w:tcW w:w="3294" w:type="dxa"/>
          </w:tcPr>
          <w:p w:rsidR="008F0FC0" w:rsidRDefault="008F0FC0" w:rsidP="00B07043">
            <w:pPr>
              <w:rPr>
                <w:sz w:val="24"/>
                <w:szCs w:val="24"/>
              </w:rPr>
            </w:pPr>
          </w:p>
        </w:tc>
      </w:tr>
    </w:tbl>
    <w:p w:rsidR="00A0014F" w:rsidRDefault="00A0014F" w:rsidP="00B07043">
      <w:pPr>
        <w:spacing w:after="0" w:line="240" w:lineRule="auto"/>
        <w:rPr>
          <w:sz w:val="24"/>
          <w:szCs w:val="24"/>
        </w:rPr>
      </w:pPr>
    </w:p>
    <w:p w:rsidR="002063D8" w:rsidRDefault="002063D8" w:rsidP="00B07043">
      <w:pPr>
        <w:spacing w:after="0" w:line="240" w:lineRule="auto"/>
        <w:rPr>
          <w:b/>
          <w:sz w:val="24"/>
          <w:szCs w:val="24"/>
          <w:u w:val="single"/>
        </w:rPr>
      </w:pPr>
      <w:r>
        <w:rPr>
          <w:b/>
          <w:sz w:val="24"/>
          <w:szCs w:val="24"/>
          <w:u w:val="single"/>
        </w:rPr>
        <w:t>Program Evaluation</w:t>
      </w:r>
    </w:p>
    <w:p w:rsidR="00A0014F" w:rsidRDefault="00A0014F" w:rsidP="00B07043">
      <w:pPr>
        <w:spacing w:after="0" w:line="240" w:lineRule="auto"/>
        <w:rPr>
          <w:sz w:val="24"/>
          <w:szCs w:val="24"/>
        </w:rPr>
      </w:pPr>
    </w:p>
    <w:p w:rsidR="00BA12D0" w:rsidRPr="00BA12D0" w:rsidRDefault="00BA12D0" w:rsidP="00B07043">
      <w:pPr>
        <w:spacing w:after="0" w:line="240" w:lineRule="auto"/>
        <w:rPr>
          <w:b/>
          <w:sz w:val="24"/>
          <w:szCs w:val="24"/>
        </w:rPr>
      </w:pPr>
      <w:r>
        <w:rPr>
          <w:b/>
          <w:sz w:val="24"/>
          <w:szCs w:val="24"/>
        </w:rPr>
        <w:t xml:space="preserve">Table </w:t>
      </w:r>
      <w:r w:rsidR="0041398C">
        <w:rPr>
          <w:b/>
          <w:sz w:val="24"/>
          <w:szCs w:val="24"/>
        </w:rPr>
        <w:t>9</w:t>
      </w:r>
      <w:r>
        <w:rPr>
          <w:b/>
          <w:sz w:val="24"/>
          <w:szCs w:val="24"/>
        </w:rPr>
        <w:t xml:space="preserve">.  Program Evaluations—Tennessee, 2015 – 2019 </w:t>
      </w:r>
    </w:p>
    <w:tbl>
      <w:tblPr>
        <w:tblStyle w:val="TableGrid"/>
        <w:tblW w:w="0" w:type="auto"/>
        <w:tblLook w:val="04A0" w:firstRow="1" w:lastRow="0" w:firstColumn="1" w:lastColumn="0" w:noHBand="0" w:noVBand="1"/>
      </w:tblPr>
      <w:tblGrid>
        <w:gridCol w:w="1818"/>
        <w:gridCol w:w="3060"/>
        <w:gridCol w:w="3027"/>
        <w:gridCol w:w="2635"/>
        <w:gridCol w:w="2636"/>
      </w:tblGrid>
      <w:tr w:rsidR="00A0014F" w:rsidTr="00A0014F">
        <w:tc>
          <w:tcPr>
            <w:tcW w:w="1818" w:type="dxa"/>
            <w:shd w:val="clear" w:color="auto" w:fill="D9D9D9" w:themeFill="background1" w:themeFillShade="D9"/>
          </w:tcPr>
          <w:p w:rsidR="00A0014F" w:rsidRPr="00A0014F" w:rsidRDefault="00A0014F" w:rsidP="00A0014F">
            <w:pPr>
              <w:jc w:val="center"/>
              <w:rPr>
                <w:b/>
                <w:sz w:val="24"/>
                <w:szCs w:val="24"/>
              </w:rPr>
            </w:pPr>
            <w:r>
              <w:rPr>
                <w:b/>
                <w:sz w:val="24"/>
                <w:szCs w:val="24"/>
              </w:rPr>
              <w:t>Evaluation Years</w:t>
            </w:r>
          </w:p>
        </w:tc>
        <w:tc>
          <w:tcPr>
            <w:tcW w:w="3060" w:type="dxa"/>
            <w:shd w:val="clear" w:color="auto" w:fill="D9D9D9" w:themeFill="background1" w:themeFillShade="D9"/>
          </w:tcPr>
          <w:p w:rsidR="00A0014F" w:rsidRPr="00A0014F" w:rsidRDefault="00A0014F" w:rsidP="00A0014F">
            <w:pPr>
              <w:jc w:val="center"/>
              <w:rPr>
                <w:b/>
                <w:sz w:val="24"/>
                <w:szCs w:val="24"/>
              </w:rPr>
            </w:pPr>
            <w:r>
              <w:rPr>
                <w:b/>
                <w:sz w:val="24"/>
                <w:szCs w:val="24"/>
              </w:rPr>
              <w:t>Evaluation Topic</w:t>
            </w:r>
          </w:p>
        </w:tc>
        <w:tc>
          <w:tcPr>
            <w:tcW w:w="3027" w:type="dxa"/>
            <w:shd w:val="clear" w:color="auto" w:fill="D9D9D9" w:themeFill="background1" w:themeFillShade="D9"/>
          </w:tcPr>
          <w:p w:rsidR="00A0014F" w:rsidRPr="00A0014F" w:rsidRDefault="00A0014F" w:rsidP="00A0014F">
            <w:pPr>
              <w:jc w:val="center"/>
              <w:rPr>
                <w:b/>
                <w:sz w:val="24"/>
                <w:szCs w:val="24"/>
              </w:rPr>
            </w:pPr>
            <w:r>
              <w:rPr>
                <w:b/>
                <w:sz w:val="24"/>
                <w:szCs w:val="24"/>
              </w:rPr>
              <w:t>Objectives and Key Questions</w:t>
            </w:r>
          </w:p>
        </w:tc>
        <w:tc>
          <w:tcPr>
            <w:tcW w:w="2635" w:type="dxa"/>
            <w:shd w:val="clear" w:color="auto" w:fill="D9D9D9" w:themeFill="background1" w:themeFillShade="D9"/>
          </w:tcPr>
          <w:p w:rsidR="00A0014F" w:rsidRPr="00A0014F" w:rsidRDefault="00A0014F" w:rsidP="00A0014F">
            <w:pPr>
              <w:jc w:val="center"/>
              <w:rPr>
                <w:b/>
                <w:sz w:val="24"/>
                <w:szCs w:val="24"/>
              </w:rPr>
            </w:pPr>
            <w:r>
              <w:rPr>
                <w:b/>
                <w:sz w:val="24"/>
                <w:szCs w:val="24"/>
              </w:rPr>
              <w:t>Data Collection and Analysis</w:t>
            </w:r>
          </w:p>
        </w:tc>
        <w:tc>
          <w:tcPr>
            <w:tcW w:w="2636" w:type="dxa"/>
            <w:shd w:val="clear" w:color="auto" w:fill="D9D9D9" w:themeFill="background1" w:themeFillShade="D9"/>
          </w:tcPr>
          <w:p w:rsidR="00A0014F" w:rsidRPr="00A0014F" w:rsidRDefault="00A0014F" w:rsidP="00A0014F">
            <w:pPr>
              <w:jc w:val="center"/>
              <w:rPr>
                <w:b/>
                <w:sz w:val="24"/>
                <w:szCs w:val="24"/>
              </w:rPr>
            </w:pPr>
            <w:r>
              <w:rPr>
                <w:b/>
                <w:sz w:val="24"/>
                <w:szCs w:val="24"/>
              </w:rPr>
              <w:t>Conclusions and Discussion</w:t>
            </w:r>
          </w:p>
        </w:tc>
      </w:tr>
      <w:tr w:rsidR="00D11D53" w:rsidTr="00D11D53">
        <w:tc>
          <w:tcPr>
            <w:tcW w:w="1818" w:type="dxa"/>
            <w:vMerge w:val="restart"/>
            <w:vAlign w:val="center"/>
          </w:tcPr>
          <w:p w:rsidR="00D11D53" w:rsidRDefault="00D11D53" w:rsidP="00A0014F">
            <w:pPr>
              <w:jc w:val="center"/>
              <w:rPr>
                <w:sz w:val="24"/>
                <w:szCs w:val="24"/>
              </w:rPr>
            </w:pPr>
            <w:r>
              <w:rPr>
                <w:sz w:val="24"/>
                <w:szCs w:val="24"/>
              </w:rPr>
              <w:t>2015</w:t>
            </w:r>
            <w:r w:rsidR="00C76FF8">
              <w:rPr>
                <w:sz w:val="24"/>
                <w:szCs w:val="24"/>
              </w:rPr>
              <w:t xml:space="preserve"> - 2017</w:t>
            </w:r>
          </w:p>
        </w:tc>
        <w:tc>
          <w:tcPr>
            <w:tcW w:w="3060" w:type="dxa"/>
            <w:vMerge w:val="restart"/>
            <w:vAlign w:val="center"/>
          </w:tcPr>
          <w:p w:rsidR="00D11D53" w:rsidRDefault="00D11D53" w:rsidP="00C76FF8">
            <w:pPr>
              <w:jc w:val="center"/>
              <w:rPr>
                <w:sz w:val="24"/>
                <w:szCs w:val="24"/>
              </w:rPr>
            </w:pPr>
            <w:r>
              <w:rPr>
                <w:sz w:val="24"/>
                <w:szCs w:val="24"/>
              </w:rPr>
              <w:t>Contact Investigation (contacts to sputum AFB smear-positive patients)</w:t>
            </w:r>
          </w:p>
          <w:p w:rsidR="00D11D53" w:rsidRDefault="00D11D53" w:rsidP="00D11D53">
            <w:pPr>
              <w:rPr>
                <w:sz w:val="24"/>
                <w:szCs w:val="24"/>
              </w:rPr>
            </w:pPr>
            <w:r>
              <w:rPr>
                <w:sz w:val="24"/>
                <w:szCs w:val="24"/>
              </w:rPr>
              <w:t xml:space="preserve"> </w:t>
            </w:r>
          </w:p>
        </w:tc>
        <w:tc>
          <w:tcPr>
            <w:tcW w:w="3027" w:type="dxa"/>
          </w:tcPr>
          <w:p w:rsidR="00D11D53" w:rsidRDefault="00D11D53" w:rsidP="00B07043">
            <w:pPr>
              <w:rPr>
                <w:sz w:val="24"/>
                <w:szCs w:val="24"/>
              </w:rPr>
            </w:pPr>
            <w:r w:rsidRPr="00D11D53">
              <w:rPr>
                <w:sz w:val="24"/>
                <w:szCs w:val="24"/>
                <w:u w:val="single"/>
              </w:rPr>
              <w:t>Objective 1</w:t>
            </w:r>
            <w:r>
              <w:rPr>
                <w:sz w:val="24"/>
                <w:szCs w:val="24"/>
              </w:rPr>
              <w:t>: Revise current (2015) contact investigation</w:t>
            </w:r>
            <w:r w:rsidR="00AA304B">
              <w:rPr>
                <w:sz w:val="24"/>
                <w:szCs w:val="24"/>
              </w:rPr>
              <w:t xml:space="preserve"> (CI)</w:t>
            </w:r>
            <w:r>
              <w:rPr>
                <w:sz w:val="24"/>
                <w:szCs w:val="24"/>
              </w:rPr>
              <w:t xml:space="preserve"> index case and contact forms</w:t>
            </w:r>
          </w:p>
        </w:tc>
        <w:tc>
          <w:tcPr>
            <w:tcW w:w="2635" w:type="dxa"/>
          </w:tcPr>
          <w:p w:rsidR="00D11D53" w:rsidRDefault="00AA304B" w:rsidP="00AA304B">
            <w:pPr>
              <w:rPr>
                <w:sz w:val="24"/>
                <w:szCs w:val="24"/>
              </w:rPr>
            </w:pPr>
            <w:r>
              <w:rPr>
                <w:sz w:val="24"/>
                <w:szCs w:val="24"/>
              </w:rPr>
              <w:t>Minor changes were made to the contact investigation forms.  The revised CI forms were used as a template to create a contact tracing page in the state TB surveillance system.</w:t>
            </w:r>
          </w:p>
        </w:tc>
        <w:tc>
          <w:tcPr>
            <w:tcW w:w="2636" w:type="dxa"/>
          </w:tcPr>
          <w:p w:rsidR="00D11D53" w:rsidRDefault="00AA304B" w:rsidP="00B07043">
            <w:pPr>
              <w:rPr>
                <w:sz w:val="24"/>
                <w:szCs w:val="24"/>
              </w:rPr>
            </w:pPr>
            <w:r>
              <w:rPr>
                <w:sz w:val="24"/>
                <w:szCs w:val="24"/>
              </w:rPr>
              <w:t>With the addition of contact tracing page, contacts that develop TB infection (TB) or active TB disease are now linked to source cases within the TB surveillance system.</w:t>
            </w:r>
          </w:p>
        </w:tc>
      </w:tr>
      <w:tr w:rsidR="00D11D53" w:rsidTr="00A0014F">
        <w:tc>
          <w:tcPr>
            <w:tcW w:w="1818" w:type="dxa"/>
            <w:vMerge/>
            <w:vAlign w:val="center"/>
          </w:tcPr>
          <w:p w:rsidR="00D11D53" w:rsidRDefault="00D11D53" w:rsidP="00A0014F">
            <w:pPr>
              <w:jc w:val="center"/>
              <w:rPr>
                <w:sz w:val="24"/>
                <w:szCs w:val="24"/>
              </w:rPr>
            </w:pPr>
          </w:p>
        </w:tc>
        <w:tc>
          <w:tcPr>
            <w:tcW w:w="3060" w:type="dxa"/>
            <w:vMerge/>
          </w:tcPr>
          <w:p w:rsidR="00D11D53" w:rsidRDefault="00D11D53" w:rsidP="00B07043">
            <w:pPr>
              <w:rPr>
                <w:sz w:val="24"/>
                <w:szCs w:val="24"/>
              </w:rPr>
            </w:pPr>
          </w:p>
        </w:tc>
        <w:tc>
          <w:tcPr>
            <w:tcW w:w="3027" w:type="dxa"/>
          </w:tcPr>
          <w:p w:rsidR="00D11D53" w:rsidRPr="00D11D53" w:rsidRDefault="00D11D53" w:rsidP="00B07043">
            <w:pPr>
              <w:rPr>
                <w:sz w:val="24"/>
                <w:szCs w:val="24"/>
              </w:rPr>
            </w:pPr>
            <w:r>
              <w:rPr>
                <w:sz w:val="24"/>
                <w:szCs w:val="24"/>
                <w:u w:val="single"/>
              </w:rPr>
              <w:t>Objective 2</w:t>
            </w:r>
            <w:r>
              <w:rPr>
                <w:sz w:val="24"/>
                <w:szCs w:val="24"/>
              </w:rPr>
              <w:t>: Implement statewide use of the 12-week isoniazid/rifapentine (3HP) regimen</w:t>
            </w:r>
          </w:p>
        </w:tc>
        <w:tc>
          <w:tcPr>
            <w:tcW w:w="2635" w:type="dxa"/>
          </w:tcPr>
          <w:p w:rsidR="00D11D53" w:rsidRPr="00F85DA3" w:rsidRDefault="00F85DA3" w:rsidP="00730CCF">
            <w:pPr>
              <w:rPr>
                <w:sz w:val="24"/>
                <w:szCs w:val="24"/>
              </w:rPr>
            </w:pPr>
            <w:r>
              <w:rPr>
                <w:sz w:val="24"/>
                <w:szCs w:val="24"/>
              </w:rPr>
              <w:t xml:space="preserve">The TTBEP developed a state-specific medication administration record (MAR) and maintains a database of all patients who initiate 3HP.  See </w:t>
            </w:r>
            <w:r>
              <w:rPr>
                <w:b/>
                <w:sz w:val="24"/>
                <w:szCs w:val="24"/>
              </w:rPr>
              <w:t xml:space="preserve">Table </w:t>
            </w:r>
            <w:r w:rsidR="00730CCF">
              <w:rPr>
                <w:b/>
                <w:sz w:val="24"/>
                <w:szCs w:val="24"/>
              </w:rPr>
              <w:t>8</w:t>
            </w:r>
            <w:r>
              <w:rPr>
                <w:sz w:val="24"/>
                <w:szCs w:val="24"/>
              </w:rPr>
              <w:t>.</w:t>
            </w:r>
          </w:p>
        </w:tc>
        <w:tc>
          <w:tcPr>
            <w:tcW w:w="2636" w:type="dxa"/>
          </w:tcPr>
          <w:p w:rsidR="00D11D53" w:rsidRDefault="00BA12D0" w:rsidP="00B07043">
            <w:pPr>
              <w:rPr>
                <w:sz w:val="24"/>
                <w:szCs w:val="24"/>
              </w:rPr>
            </w:pPr>
            <w:r>
              <w:rPr>
                <w:sz w:val="24"/>
                <w:szCs w:val="24"/>
              </w:rPr>
              <w:t>3HP for use for TB infection (TBI) started in Tennessee on April 1, 2015.</w:t>
            </w:r>
            <w:r w:rsidR="00A97721">
              <w:rPr>
                <w:sz w:val="24"/>
                <w:szCs w:val="24"/>
              </w:rPr>
              <w:t xml:space="preserve">  Changes have been made to the TTBEP 3HP guidance document to allow for the use of off-site directly observed therapy (DOT) (i.e., non-health department site) and electronic DOT (eDOT).</w:t>
            </w:r>
          </w:p>
        </w:tc>
      </w:tr>
      <w:tr w:rsidR="00D11D53" w:rsidTr="00A0014F">
        <w:tc>
          <w:tcPr>
            <w:tcW w:w="1818" w:type="dxa"/>
            <w:vMerge/>
            <w:vAlign w:val="center"/>
          </w:tcPr>
          <w:p w:rsidR="00D11D53" w:rsidRDefault="00D11D53" w:rsidP="00A0014F">
            <w:pPr>
              <w:jc w:val="center"/>
              <w:rPr>
                <w:sz w:val="24"/>
                <w:szCs w:val="24"/>
              </w:rPr>
            </w:pPr>
          </w:p>
        </w:tc>
        <w:tc>
          <w:tcPr>
            <w:tcW w:w="3060" w:type="dxa"/>
            <w:vMerge/>
          </w:tcPr>
          <w:p w:rsidR="00D11D53" w:rsidRDefault="00D11D53" w:rsidP="00B07043">
            <w:pPr>
              <w:rPr>
                <w:sz w:val="24"/>
                <w:szCs w:val="24"/>
              </w:rPr>
            </w:pPr>
          </w:p>
        </w:tc>
        <w:tc>
          <w:tcPr>
            <w:tcW w:w="3027" w:type="dxa"/>
          </w:tcPr>
          <w:p w:rsidR="00D11D53" w:rsidRPr="00D11D53" w:rsidRDefault="00D11D53" w:rsidP="00B07043">
            <w:pPr>
              <w:rPr>
                <w:sz w:val="24"/>
                <w:szCs w:val="24"/>
              </w:rPr>
            </w:pPr>
            <w:r>
              <w:rPr>
                <w:sz w:val="24"/>
                <w:szCs w:val="24"/>
                <w:u w:val="single"/>
              </w:rPr>
              <w:t>Objective 3</w:t>
            </w:r>
            <w:r>
              <w:rPr>
                <w:sz w:val="24"/>
                <w:szCs w:val="24"/>
              </w:rPr>
              <w:t>: Statewide implementation of revised contact investigation index case and contact forms</w:t>
            </w:r>
          </w:p>
        </w:tc>
        <w:tc>
          <w:tcPr>
            <w:tcW w:w="2635" w:type="dxa"/>
          </w:tcPr>
          <w:p w:rsidR="00D11D53" w:rsidRDefault="00A153F0" w:rsidP="00B07043">
            <w:pPr>
              <w:rPr>
                <w:sz w:val="24"/>
                <w:szCs w:val="24"/>
              </w:rPr>
            </w:pPr>
            <w:r>
              <w:rPr>
                <w:sz w:val="24"/>
                <w:szCs w:val="24"/>
              </w:rPr>
              <w:t>The CI contact form was implemented on January 1, 2015, and the CI index case record was implemented in April 2017.  Completeness of randomly selected contact investigation forms are reviewed annually for each regional TB program.</w:t>
            </w:r>
          </w:p>
        </w:tc>
        <w:tc>
          <w:tcPr>
            <w:tcW w:w="2636" w:type="dxa"/>
          </w:tcPr>
          <w:p w:rsidR="00D11D53" w:rsidRDefault="00A153F0" w:rsidP="00B07043">
            <w:pPr>
              <w:rPr>
                <w:sz w:val="24"/>
                <w:szCs w:val="24"/>
              </w:rPr>
            </w:pPr>
            <w:r>
              <w:rPr>
                <w:sz w:val="24"/>
                <w:szCs w:val="24"/>
              </w:rPr>
              <w:t>Annual programmatic assessments of completeness and accuracy of contact investigation forms has increased annually since the implementation of the revised contact investigation forms and implementation of the contact tracing page.</w:t>
            </w:r>
          </w:p>
        </w:tc>
      </w:tr>
      <w:tr w:rsidR="00D11D53" w:rsidTr="00A0014F">
        <w:tc>
          <w:tcPr>
            <w:tcW w:w="1818" w:type="dxa"/>
            <w:vMerge/>
            <w:vAlign w:val="center"/>
          </w:tcPr>
          <w:p w:rsidR="00D11D53" w:rsidRDefault="00D11D53" w:rsidP="00A0014F">
            <w:pPr>
              <w:jc w:val="center"/>
              <w:rPr>
                <w:sz w:val="24"/>
                <w:szCs w:val="24"/>
              </w:rPr>
            </w:pPr>
          </w:p>
        </w:tc>
        <w:tc>
          <w:tcPr>
            <w:tcW w:w="3060" w:type="dxa"/>
            <w:vMerge/>
          </w:tcPr>
          <w:p w:rsidR="00D11D53" w:rsidRDefault="00D11D53" w:rsidP="00B07043">
            <w:pPr>
              <w:rPr>
                <w:sz w:val="24"/>
                <w:szCs w:val="24"/>
              </w:rPr>
            </w:pPr>
          </w:p>
        </w:tc>
        <w:tc>
          <w:tcPr>
            <w:tcW w:w="3027" w:type="dxa"/>
          </w:tcPr>
          <w:p w:rsidR="00D11D53" w:rsidRPr="00D11D53" w:rsidRDefault="00D11D53" w:rsidP="00B07043">
            <w:pPr>
              <w:rPr>
                <w:sz w:val="24"/>
                <w:szCs w:val="24"/>
              </w:rPr>
            </w:pPr>
            <w:r>
              <w:rPr>
                <w:sz w:val="24"/>
                <w:szCs w:val="24"/>
                <w:u w:val="single"/>
              </w:rPr>
              <w:t>Objective 4</w:t>
            </w:r>
            <w:r>
              <w:rPr>
                <w:sz w:val="24"/>
                <w:szCs w:val="24"/>
              </w:rPr>
              <w:t>: Solicit input from regional TB program staff on revised contact investigation index case and contact forms</w:t>
            </w:r>
          </w:p>
        </w:tc>
        <w:tc>
          <w:tcPr>
            <w:tcW w:w="2635" w:type="dxa"/>
          </w:tcPr>
          <w:p w:rsidR="00D11D53" w:rsidRDefault="008374F3" w:rsidP="00B07043">
            <w:pPr>
              <w:rPr>
                <w:sz w:val="24"/>
                <w:szCs w:val="24"/>
              </w:rPr>
            </w:pPr>
            <w:r>
              <w:rPr>
                <w:sz w:val="24"/>
                <w:szCs w:val="24"/>
              </w:rPr>
              <w:t>Regional input was solicited one (1) month after implementation of each of the CI forms.</w:t>
            </w:r>
          </w:p>
        </w:tc>
        <w:tc>
          <w:tcPr>
            <w:tcW w:w="2636" w:type="dxa"/>
          </w:tcPr>
          <w:p w:rsidR="00D11D53" w:rsidRDefault="008374F3" w:rsidP="00B07043">
            <w:pPr>
              <w:rPr>
                <w:sz w:val="24"/>
                <w:szCs w:val="24"/>
              </w:rPr>
            </w:pPr>
            <w:r>
              <w:rPr>
                <w:sz w:val="24"/>
                <w:szCs w:val="24"/>
              </w:rPr>
              <w:t>Overall, regional input was positive regarding the revisions to the CI forms.</w:t>
            </w:r>
          </w:p>
        </w:tc>
      </w:tr>
      <w:tr w:rsidR="00D11D53" w:rsidTr="00A0014F">
        <w:tc>
          <w:tcPr>
            <w:tcW w:w="1818" w:type="dxa"/>
            <w:vMerge/>
            <w:vAlign w:val="center"/>
          </w:tcPr>
          <w:p w:rsidR="00D11D53" w:rsidRDefault="00D11D53" w:rsidP="00A0014F">
            <w:pPr>
              <w:jc w:val="center"/>
              <w:rPr>
                <w:sz w:val="24"/>
                <w:szCs w:val="24"/>
              </w:rPr>
            </w:pPr>
          </w:p>
        </w:tc>
        <w:tc>
          <w:tcPr>
            <w:tcW w:w="3060" w:type="dxa"/>
            <w:vMerge/>
          </w:tcPr>
          <w:p w:rsidR="00D11D53" w:rsidRDefault="00D11D53" w:rsidP="00B07043">
            <w:pPr>
              <w:rPr>
                <w:sz w:val="24"/>
                <w:szCs w:val="24"/>
              </w:rPr>
            </w:pPr>
          </w:p>
        </w:tc>
        <w:tc>
          <w:tcPr>
            <w:tcW w:w="3027" w:type="dxa"/>
          </w:tcPr>
          <w:p w:rsidR="00D11D53" w:rsidRPr="00D11D53" w:rsidRDefault="00D11D53" w:rsidP="00B07043">
            <w:pPr>
              <w:rPr>
                <w:sz w:val="24"/>
                <w:szCs w:val="24"/>
              </w:rPr>
            </w:pPr>
            <w:r>
              <w:rPr>
                <w:sz w:val="24"/>
                <w:szCs w:val="24"/>
                <w:u w:val="single"/>
              </w:rPr>
              <w:t>Key Questions</w:t>
            </w:r>
            <w:r>
              <w:rPr>
                <w:sz w:val="24"/>
                <w:szCs w:val="24"/>
              </w:rPr>
              <w:t>: How many patients initiated the 3HP regimen?  How many completed the 3HP regimen?  How many stopped the 3HP regimen due to other reasons (e.g., adverse events)?</w:t>
            </w:r>
          </w:p>
        </w:tc>
        <w:tc>
          <w:tcPr>
            <w:tcW w:w="2635" w:type="dxa"/>
          </w:tcPr>
          <w:p w:rsidR="00D11D53" w:rsidRDefault="00B47508" w:rsidP="00B07043">
            <w:pPr>
              <w:rPr>
                <w:sz w:val="24"/>
                <w:szCs w:val="24"/>
              </w:rPr>
            </w:pPr>
            <w:r>
              <w:rPr>
                <w:sz w:val="24"/>
                <w:szCs w:val="24"/>
              </w:rPr>
              <w:t>Regional TB programs submit and initial MAR when a patient starts 3HP and an “ending” MAR is sent when a patient stops 3HP for any reason.</w:t>
            </w:r>
          </w:p>
        </w:tc>
        <w:tc>
          <w:tcPr>
            <w:tcW w:w="2636" w:type="dxa"/>
          </w:tcPr>
          <w:p w:rsidR="00D11D53" w:rsidRPr="00231C32" w:rsidRDefault="00231C32" w:rsidP="00A63AFB">
            <w:pPr>
              <w:rPr>
                <w:b/>
                <w:sz w:val="24"/>
                <w:szCs w:val="24"/>
              </w:rPr>
            </w:pPr>
            <w:r>
              <w:rPr>
                <w:sz w:val="24"/>
                <w:szCs w:val="24"/>
              </w:rPr>
              <w:t xml:space="preserve">See </w:t>
            </w:r>
            <w:r>
              <w:rPr>
                <w:b/>
                <w:sz w:val="24"/>
                <w:szCs w:val="24"/>
              </w:rPr>
              <w:t xml:space="preserve">Table </w:t>
            </w:r>
            <w:r w:rsidR="00A63AFB">
              <w:rPr>
                <w:b/>
                <w:sz w:val="24"/>
                <w:szCs w:val="24"/>
              </w:rPr>
              <w:t>10</w:t>
            </w:r>
          </w:p>
        </w:tc>
      </w:tr>
      <w:tr w:rsidR="00544326" w:rsidTr="00544326">
        <w:tc>
          <w:tcPr>
            <w:tcW w:w="1818" w:type="dxa"/>
            <w:vMerge w:val="restart"/>
            <w:vAlign w:val="center"/>
          </w:tcPr>
          <w:p w:rsidR="00544326" w:rsidRDefault="00544326" w:rsidP="00A0014F">
            <w:pPr>
              <w:jc w:val="center"/>
              <w:rPr>
                <w:sz w:val="24"/>
                <w:szCs w:val="24"/>
              </w:rPr>
            </w:pPr>
            <w:r>
              <w:rPr>
                <w:sz w:val="24"/>
                <w:szCs w:val="24"/>
              </w:rPr>
              <w:t>2017 - 2018</w:t>
            </w:r>
          </w:p>
        </w:tc>
        <w:tc>
          <w:tcPr>
            <w:tcW w:w="3060" w:type="dxa"/>
            <w:vMerge w:val="restart"/>
            <w:vAlign w:val="center"/>
          </w:tcPr>
          <w:p w:rsidR="00544326" w:rsidRDefault="00544326" w:rsidP="00544326">
            <w:pPr>
              <w:jc w:val="center"/>
              <w:rPr>
                <w:sz w:val="24"/>
                <w:szCs w:val="24"/>
              </w:rPr>
            </w:pPr>
            <w:r>
              <w:rPr>
                <w:sz w:val="24"/>
                <w:szCs w:val="24"/>
              </w:rPr>
              <w:t>TB Infection (TBI) Cascade of Care</w:t>
            </w:r>
          </w:p>
        </w:tc>
        <w:tc>
          <w:tcPr>
            <w:tcW w:w="3027" w:type="dxa"/>
          </w:tcPr>
          <w:p w:rsidR="00544326" w:rsidRPr="008E6EE5" w:rsidRDefault="00544326" w:rsidP="008E6EE5">
            <w:pPr>
              <w:rPr>
                <w:sz w:val="24"/>
                <w:szCs w:val="24"/>
              </w:rPr>
            </w:pPr>
            <w:r>
              <w:rPr>
                <w:sz w:val="24"/>
                <w:szCs w:val="24"/>
                <w:u w:val="single"/>
              </w:rPr>
              <w:t>Objective 1</w:t>
            </w:r>
            <w:r>
              <w:rPr>
                <w:sz w:val="24"/>
                <w:szCs w:val="24"/>
              </w:rPr>
              <w:t>: By January 1, 2019, identify those patients with positive QuantiFERON Gold In-Tube or QuantiFERON-Plus (QFT) test result pe</w:t>
            </w:r>
            <w:r w:rsidR="007E771C">
              <w:rPr>
                <w:sz w:val="24"/>
                <w:szCs w:val="24"/>
              </w:rPr>
              <w:t>r</w:t>
            </w:r>
            <w:r>
              <w:rPr>
                <w:sz w:val="24"/>
                <w:szCs w:val="24"/>
              </w:rPr>
              <w:t>formed at the Tennessee Department of Health (TDH) Division of Laboratory Services (TDH State Lab)</w:t>
            </w:r>
          </w:p>
        </w:tc>
        <w:tc>
          <w:tcPr>
            <w:tcW w:w="2635" w:type="dxa"/>
          </w:tcPr>
          <w:p w:rsidR="00544326" w:rsidRDefault="007E771C" w:rsidP="00B07043">
            <w:pPr>
              <w:rPr>
                <w:sz w:val="24"/>
                <w:szCs w:val="24"/>
              </w:rPr>
            </w:pPr>
            <w:r>
              <w:rPr>
                <w:sz w:val="24"/>
                <w:szCs w:val="24"/>
              </w:rPr>
              <w:t xml:space="preserve">An extract was created from the state lab StarLIMS system of all QFT specimens processed for a determined time period. </w:t>
            </w:r>
            <w:r w:rsidR="00A63AFB">
              <w:rPr>
                <w:sz w:val="24"/>
                <w:szCs w:val="24"/>
              </w:rPr>
              <w:t xml:space="preserve">In 2018, there were 815 patients with a positive QFT result collected by a health department in Tennessee.  </w:t>
            </w:r>
            <w:r w:rsidR="00A63AFB" w:rsidRPr="00A63AFB">
              <w:rPr>
                <w:sz w:val="24"/>
                <w:szCs w:val="24"/>
                <w:highlight w:val="yellow"/>
              </w:rPr>
              <w:t>Add 2019 data.</w:t>
            </w:r>
            <w:r>
              <w:rPr>
                <w:sz w:val="24"/>
                <w:szCs w:val="24"/>
              </w:rPr>
              <w:t xml:space="preserve"> </w:t>
            </w:r>
          </w:p>
        </w:tc>
        <w:tc>
          <w:tcPr>
            <w:tcW w:w="2636" w:type="dxa"/>
          </w:tcPr>
          <w:p w:rsidR="00544326" w:rsidRDefault="00544326" w:rsidP="00B07043">
            <w:pPr>
              <w:rPr>
                <w:sz w:val="24"/>
                <w:szCs w:val="24"/>
              </w:rPr>
            </w:pPr>
          </w:p>
        </w:tc>
      </w:tr>
      <w:tr w:rsidR="00544326" w:rsidTr="00A0014F">
        <w:tc>
          <w:tcPr>
            <w:tcW w:w="1818" w:type="dxa"/>
            <w:vMerge/>
            <w:vAlign w:val="center"/>
          </w:tcPr>
          <w:p w:rsidR="00544326" w:rsidRDefault="00544326" w:rsidP="00A0014F">
            <w:pPr>
              <w:jc w:val="center"/>
              <w:rPr>
                <w:sz w:val="24"/>
                <w:szCs w:val="24"/>
              </w:rPr>
            </w:pPr>
          </w:p>
        </w:tc>
        <w:tc>
          <w:tcPr>
            <w:tcW w:w="3060" w:type="dxa"/>
            <w:vMerge/>
          </w:tcPr>
          <w:p w:rsidR="00544326" w:rsidRDefault="00544326" w:rsidP="00B07043">
            <w:pPr>
              <w:rPr>
                <w:sz w:val="24"/>
                <w:szCs w:val="24"/>
              </w:rPr>
            </w:pPr>
          </w:p>
        </w:tc>
        <w:tc>
          <w:tcPr>
            <w:tcW w:w="3027" w:type="dxa"/>
          </w:tcPr>
          <w:p w:rsidR="00544326" w:rsidRPr="008E6EE5" w:rsidRDefault="00544326" w:rsidP="00B07043">
            <w:pPr>
              <w:rPr>
                <w:sz w:val="24"/>
                <w:szCs w:val="24"/>
              </w:rPr>
            </w:pPr>
            <w:r>
              <w:rPr>
                <w:sz w:val="24"/>
                <w:szCs w:val="24"/>
                <w:u w:val="single"/>
              </w:rPr>
              <w:t>Objective 2</w:t>
            </w:r>
            <w:r>
              <w:rPr>
                <w:sz w:val="24"/>
                <w:szCs w:val="24"/>
              </w:rPr>
              <w:t>: By February 2019, compile a dataset of individuals diagnosed with TB infection (TBI) at local and regional health departments in Tennessee.</w:t>
            </w:r>
          </w:p>
        </w:tc>
        <w:tc>
          <w:tcPr>
            <w:tcW w:w="2635" w:type="dxa"/>
          </w:tcPr>
          <w:p w:rsidR="00544326" w:rsidRDefault="007E771C" w:rsidP="00B07043">
            <w:pPr>
              <w:rPr>
                <w:sz w:val="24"/>
                <w:szCs w:val="24"/>
              </w:rPr>
            </w:pPr>
            <w:r>
              <w:rPr>
                <w:sz w:val="24"/>
                <w:szCs w:val="24"/>
              </w:rPr>
              <w:t>A data extract was developed to extract TBI case information from the Tennessee TB surveillance system</w:t>
            </w:r>
            <w:r w:rsidR="00A63AFB">
              <w:rPr>
                <w:sz w:val="24"/>
                <w:szCs w:val="24"/>
              </w:rPr>
              <w:t xml:space="preserve">.  In 2018, there were 1153 TBI investigations for </w:t>
            </w:r>
            <w:r w:rsidR="00A63AFB" w:rsidRPr="00405936">
              <w:rPr>
                <w:sz w:val="24"/>
                <w:szCs w:val="24"/>
              </w:rPr>
              <w:t xml:space="preserve">1133 patients. </w:t>
            </w:r>
            <w:r w:rsidR="00A63AFB" w:rsidRPr="00405936">
              <w:rPr>
                <w:sz w:val="24"/>
                <w:szCs w:val="24"/>
                <w:highlight w:val="yellow"/>
              </w:rPr>
              <w:t>Add 2019 data</w:t>
            </w:r>
          </w:p>
        </w:tc>
        <w:tc>
          <w:tcPr>
            <w:tcW w:w="2636" w:type="dxa"/>
          </w:tcPr>
          <w:p w:rsidR="00544326" w:rsidRDefault="00544326" w:rsidP="00B07043">
            <w:pPr>
              <w:rPr>
                <w:sz w:val="24"/>
                <w:szCs w:val="24"/>
              </w:rPr>
            </w:pPr>
          </w:p>
        </w:tc>
      </w:tr>
      <w:tr w:rsidR="00544326" w:rsidTr="00A0014F">
        <w:tc>
          <w:tcPr>
            <w:tcW w:w="1818" w:type="dxa"/>
            <w:vMerge/>
            <w:vAlign w:val="center"/>
          </w:tcPr>
          <w:p w:rsidR="00544326" w:rsidRDefault="00544326" w:rsidP="00A0014F">
            <w:pPr>
              <w:jc w:val="center"/>
              <w:rPr>
                <w:sz w:val="24"/>
                <w:szCs w:val="24"/>
              </w:rPr>
            </w:pPr>
          </w:p>
        </w:tc>
        <w:tc>
          <w:tcPr>
            <w:tcW w:w="3060" w:type="dxa"/>
            <w:vMerge/>
          </w:tcPr>
          <w:p w:rsidR="00544326" w:rsidRDefault="00544326" w:rsidP="00B07043">
            <w:pPr>
              <w:rPr>
                <w:sz w:val="24"/>
                <w:szCs w:val="24"/>
              </w:rPr>
            </w:pPr>
          </w:p>
        </w:tc>
        <w:tc>
          <w:tcPr>
            <w:tcW w:w="3027" w:type="dxa"/>
          </w:tcPr>
          <w:p w:rsidR="00544326" w:rsidRPr="00723165" w:rsidRDefault="00544326" w:rsidP="00B07043">
            <w:pPr>
              <w:rPr>
                <w:sz w:val="24"/>
                <w:szCs w:val="24"/>
              </w:rPr>
            </w:pPr>
            <w:r>
              <w:rPr>
                <w:sz w:val="24"/>
                <w:szCs w:val="24"/>
                <w:u w:val="single"/>
              </w:rPr>
              <w:t>Objective 3</w:t>
            </w:r>
            <w:r>
              <w:rPr>
                <w:sz w:val="24"/>
                <w:szCs w:val="24"/>
              </w:rPr>
              <w:t>: By June 2019, identify the patients that initiate treatment for TBI and identify regimens used by public health for treatment of TBI as well as the completion of treatment rates for the cohort on each regimen.</w:t>
            </w:r>
          </w:p>
        </w:tc>
        <w:tc>
          <w:tcPr>
            <w:tcW w:w="2635" w:type="dxa"/>
          </w:tcPr>
          <w:p w:rsidR="00544326" w:rsidRDefault="00405936" w:rsidP="0035006C">
            <w:pPr>
              <w:rPr>
                <w:sz w:val="24"/>
                <w:szCs w:val="24"/>
              </w:rPr>
            </w:pPr>
            <w:r>
              <w:rPr>
                <w:sz w:val="24"/>
                <w:szCs w:val="24"/>
              </w:rPr>
              <w:t xml:space="preserve">In 2018, </w:t>
            </w:r>
            <w:r w:rsidR="0035006C">
              <w:rPr>
                <w:sz w:val="24"/>
                <w:szCs w:val="24"/>
              </w:rPr>
              <w:t>958</w:t>
            </w:r>
            <w:r>
              <w:rPr>
                <w:sz w:val="24"/>
                <w:szCs w:val="24"/>
              </w:rPr>
              <w:t xml:space="preserve"> patients started treatment for TBI.  Of those 959, 20 patients did not complete treatment, were re-evaluated to rule out active TB, and started TBI treatment from the beginning again.</w:t>
            </w:r>
            <w:r w:rsidR="0035006C">
              <w:rPr>
                <w:sz w:val="24"/>
                <w:szCs w:val="24"/>
              </w:rPr>
              <w:t xml:space="preserve"> </w:t>
            </w:r>
            <w:r w:rsidR="0035006C" w:rsidRPr="0035006C">
              <w:rPr>
                <w:sz w:val="24"/>
                <w:szCs w:val="24"/>
                <w:highlight w:val="yellow"/>
              </w:rPr>
              <w:t>Add regimens cohort</w:t>
            </w:r>
          </w:p>
        </w:tc>
        <w:tc>
          <w:tcPr>
            <w:tcW w:w="2636" w:type="dxa"/>
          </w:tcPr>
          <w:p w:rsidR="00544326" w:rsidRDefault="00544326" w:rsidP="00B07043">
            <w:pPr>
              <w:rPr>
                <w:sz w:val="24"/>
                <w:szCs w:val="24"/>
              </w:rPr>
            </w:pPr>
          </w:p>
        </w:tc>
      </w:tr>
      <w:tr w:rsidR="00544326" w:rsidTr="00A0014F">
        <w:tc>
          <w:tcPr>
            <w:tcW w:w="1818" w:type="dxa"/>
            <w:vMerge/>
            <w:vAlign w:val="center"/>
          </w:tcPr>
          <w:p w:rsidR="00544326" w:rsidRDefault="00544326" w:rsidP="00A0014F">
            <w:pPr>
              <w:jc w:val="center"/>
              <w:rPr>
                <w:sz w:val="24"/>
                <w:szCs w:val="24"/>
              </w:rPr>
            </w:pPr>
          </w:p>
        </w:tc>
        <w:tc>
          <w:tcPr>
            <w:tcW w:w="3060" w:type="dxa"/>
            <w:vMerge/>
          </w:tcPr>
          <w:p w:rsidR="00544326" w:rsidRDefault="00544326" w:rsidP="00B07043">
            <w:pPr>
              <w:rPr>
                <w:sz w:val="24"/>
                <w:szCs w:val="24"/>
              </w:rPr>
            </w:pPr>
          </w:p>
        </w:tc>
        <w:tc>
          <w:tcPr>
            <w:tcW w:w="3027" w:type="dxa"/>
          </w:tcPr>
          <w:p w:rsidR="00544326" w:rsidRPr="00FC6F61" w:rsidRDefault="00544326" w:rsidP="00B07043">
            <w:pPr>
              <w:rPr>
                <w:sz w:val="24"/>
                <w:szCs w:val="24"/>
              </w:rPr>
            </w:pPr>
            <w:r>
              <w:rPr>
                <w:sz w:val="24"/>
                <w:szCs w:val="24"/>
                <w:u w:val="single"/>
              </w:rPr>
              <w:t>Objective 4</w:t>
            </w:r>
            <w:r>
              <w:rPr>
                <w:sz w:val="24"/>
                <w:szCs w:val="24"/>
              </w:rPr>
              <w:t>: By December 2019, develop a brief survey that would be administered to patients that refuse treatment to identify the reason(s) why patients refuse treatment.</w:t>
            </w:r>
          </w:p>
        </w:tc>
        <w:tc>
          <w:tcPr>
            <w:tcW w:w="2635" w:type="dxa"/>
          </w:tcPr>
          <w:p w:rsidR="00544326" w:rsidRDefault="00544326" w:rsidP="00B07043">
            <w:pPr>
              <w:rPr>
                <w:sz w:val="24"/>
                <w:szCs w:val="24"/>
              </w:rPr>
            </w:pPr>
          </w:p>
        </w:tc>
        <w:tc>
          <w:tcPr>
            <w:tcW w:w="2636" w:type="dxa"/>
          </w:tcPr>
          <w:p w:rsidR="00544326" w:rsidRDefault="00544326" w:rsidP="00B07043">
            <w:pPr>
              <w:rPr>
                <w:sz w:val="24"/>
                <w:szCs w:val="24"/>
              </w:rPr>
            </w:pPr>
          </w:p>
        </w:tc>
      </w:tr>
      <w:tr w:rsidR="00544326" w:rsidTr="00A0014F">
        <w:tc>
          <w:tcPr>
            <w:tcW w:w="1818" w:type="dxa"/>
            <w:vMerge/>
            <w:vAlign w:val="center"/>
          </w:tcPr>
          <w:p w:rsidR="00544326" w:rsidRDefault="00544326" w:rsidP="00A0014F">
            <w:pPr>
              <w:jc w:val="center"/>
              <w:rPr>
                <w:sz w:val="24"/>
                <w:szCs w:val="24"/>
              </w:rPr>
            </w:pPr>
          </w:p>
        </w:tc>
        <w:tc>
          <w:tcPr>
            <w:tcW w:w="3060" w:type="dxa"/>
            <w:vMerge/>
          </w:tcPr>
          <w:p w:rsidR="00544326" w:rsidRDefault="00544326" w:rsidP="00B07043">
            <w:pPr>
              <w:rPr>
                <w:sz w:val="24"/>
                <w:szCs w:val="24"/>
              </w:rPr>
            </w:pPr>
          </w:p>
        </w:tc>
        <w:tc>
          <w:tcPr>
            <w:tcW w:w="3027" w:type="dxa"/>
          </w:tcPr>
          <w:p w:rsidR="00544326" w:rsidRPr="00FC6F61" w:rsidRDefault="00544326" w:rsidP="00B07043">
            <w:pPr>
              <w:rPr>
                <w:sz w:val="24"/>
                <w:szCs w:val="24"/>
              </w:rPr>
            </w:pPr>
            <w:r>
              <w:rPr>
                <w:sz w:val="24"/>
                <w:szCs w:val="24"/>
                <w:u w:val="single"/>
              </w:rPr>
              <w:t>Objective 5</w:t>
            </w:r>
            <w:r>
              <w:rPr>
                <w:sz w:val="24"/>
                <w:szCs w:val="24"/>
              </w:rPr>
              <w:t>: By December 2019, develop a brief survey that would be administered to patients that chose to stop treatment of TBI prior to completion to determine reason(s) by they chose to stop.</w:t>
            </w:r>
          </w:p>
        </w:tc>
        <w:tc>
          <w:tcPr>
            <w:tcW w:w="2635" w:type="dxa"/>
          </w:tcPr>
          <w:p w:rsidR="00544326" w:rsidRDefault="00544326" w:rsidP="00B07043">
            <w:pPr>
              <w:rPr>
                <w:sz w:val="24"/>
                <w:szCs w:val="24"/>
              </w:rPr>
            </w:pPr>
          </w:p>
        </w:tc>
        <w:tc>
          <w:tcPr>
            <w:tcW w:w="2636" w:type="dxa"/>
          </w:tcPr>
          <w:p w:rsidR="00544326" w:rsidRDefault="00544326" w:rsidP="00B07043">
            <w:pPr>
              <w:rPr>
                <w:sz w:val="24"/>
                <w:szCs w:val="24"/>
              </w:rPr>
            </w:pPr>
          </w:p>
        </w:tc>
      </w:tr>
      <w:tr w:rsidR="00544326" w:rsidTr="00A0014F">
        <w:tc>
          <w:tcPr>
            <w:tcW w:w="1818" w:type="dxa"/>
            <w:vMerge/>
            <w:vAlign w:val="center"/>
          </w:tcPr>
          <w:p w:rsidR="00544326" w:rsidRDefault="00544326" w:rsidP="00A0014F">
            <w:pPr>
              <w:jc w:val="center"/>
              <w:rPr>
                <w:sz w:val="24"/>
                <w:szCs w:val="24"/>
              </w:rPr>
            </w:pPr>
          </w:p>
        </w:tc>
        <w:tc>
          <w:tcPr>
            <w:tcW w:w="3060" w:type="dxa"/>
            <w:vMerge/>
          </w:tcPr>
          <w:p w:rsidR="00544326" w:rsidRDefault="00544326" w:rsidP="00B07043">
            <w:pPr>
              <w:rPr>
                <w:sz w:val="24"/>
                <w:szCs w:val="24"/>
              </w:rPr>
            </w:pPr>
          </w:p>
        </w:tc>
        <w:tc>
          <w:tcPr>
            <w:tcW w:w="3027" w:type="dxa"/>
          </w:tcPr>
          <w:p w:rsidR="00544326" w:rsidRPr="00FC6F61" w:rsidRDefault="00544326" w:rsidP="00B07043">
            <w:pPr>
              <w:rPr>
                <w:sz w:val="24"/>
                <w:szCs w:val="24"/>
              </w:rPr>
            </w:pPr>
            <w:r>
              <w:rPr>
                <w:sz w:val="24"/>
                <w:szCs w:val="24"/>
                <w:u w:val="single"/>
              </w:rPr>
              <w:t>Objective 6</w:t>
            </w:r>
            <w:r>
              <w:rPr>
                <w:sz w:val="24"/>
                <w:szCs w:val="24"/>
              </w:rPr>
              <w:t>: By January 2020, begin outreach to private providers that have reported positive interferon gamma release assay (IGRA) or positive tuberculin skin test (TST) results to evaluate TBI regimens used (if treating).</w:t>
            </w:r>
          </w:p>
        </w:tc>
        <w:tc>
          <w:tcPr>
            <w:tcW w:w="2635" w:type="dxa"/>
          </w:tcPr>
          <w:p w:rsidR="00544326" w:rsidRDefault="00544326" w:rsidP="00B07043">
            <w:pPr>
              <w:rPr>
                <w:sz w:val="24"/>
                <w:szCs w:val="24"/>
              </w:rPr>
            </w:pPr>
          </w:p>
        </w:tc>
        <w:tc>
          <w:tcPr>
            <w:tcW w:w="2636" w:type="dxa"/>
          </w:tcPr>
          <w:p w:rsidR="00544326" w:rsidRDefault="00544326" w:rsidP="00B07043">
            <w:pPr>
              <w:rPr>
                <w:sz w:val="24"/>
                <w:szCs w:val="24"/>
              </w:rPr>
            </w:pPr>
          </w:p>
        </w:tc>
      </w:tr>
    </w:tbl>
    <w:p w:rsidR="00A0014F" w:rsidRPr="00A0014F" w:rsidRDefault="00A0014F" w:rsidP="00B07043">
      <w:pPr>
        <w:spacing w:after="0" w:line="240" w:lineRule="auto"/>
        <w:rPr>
          <w:sz w:val="24"/>
          <w:szCs w:val="24"/>
        </w:rPr>
      </w:pPr>
    </w:p>
    <w:p w:rsidR="00231C32" w:rsidRDefault="00231C32" w:rsidP="00B07043">
      <w:pPr>
        <w:spacing w:after="0" w:line="240" w:lineRule="auto"/>
        <w:rPr>
          <w:b/>
          <w:sz w:val="24"/>
          <w:szCs w:val="24"/>
        </w:rPr>
      </w:pPr>
      <w:r>
        <w:rPr>
          <w:b/>
          <w:sz w:val="24"/>
          <w:szCs w:val="24"/>
        </w:rPr>
        <w:t xml:space="preserve">Table </w:t>
      </w:r>
      <w:r w:rsidR="0041398C">
        <w:rPr>
          <w:b/>
          <w:sz w:val="24"/>
          <w:szCs w:val="24"/>
        </w:rPr>
        <w:t>10</w:t>
      </w:r>
      <w:r>
        <w:rPr>
          <w:b/>
          <w:sz w:val="24"/>
          <w:szCs w:val="24"/>
        </w:rPr>
        <w:t>.  Tennessee 12-Week Isoniazid/Rifapentine (3HP) Treatment Data</w:t>
      </w:r>
    </w:p>
    <w:tbl>
      <w:tblPr>
        <w:tblStyle w:val="TableGrid"/>
        <w:tblW w:w="0" w:type="auto"/>
        <w:tblLook w:val="04A0" w:firstRow="1" w:lastRow="0" w:firstColumn="1" w:lastColumn="0" w:noHBand="0" w:noVBand="1"/>
      </w:tblPr>
      <w:tblGrid>
        <w:gridCol w:w="1882"/>
        <w:gridCol w:w="1882"/>
        <w:gridCol w:w="1882"/>
        <w:gridCol w:w="1882"/>
        <w:gridCol w:w="1882"/>
        <w:gridCol w:w="1883"/>
        <w:gridCol w:w="1883"/>
      </w:tblGrid>
      <w:tr w:rsidR="00231C32" w:rsidTr="0041398C">
        <w:tc>
          <w:tcPr>
            <w:tcW w:w="1882" w:type="dxa"/>
            <w:vMerge w:val="restart"/>
            <w:shd w:val="clear" w:color="auto" w:fill="BFBFBF" w:themeFill="background1" w:themeFillShade="BF"/>
            <w:vAlign w:val="center"/>
          </w:tcPr>
          <w:p w:rsidR="00231C32" w:rsidRPr="00F85DA3" w:rsidRDefault="00231C32" w:rsidP="0041398C">
            <w:pPr>
              <w:jc w:val="center"/>
              <w:rPr>
                <w:b/>
                <w:sz w:val="24"/>
                <w:szCs w:val="24"/>
              </w:rPr>
            </w:pPr>
            <w:r>
              <w:rPr>
                <w:b/>
                <w:sz w:val="24"/>
                <w:szCs w:val="24"/>
              </w:rPr>
              <w:t>Year</w:t>
            </w:r>
          </w:p>
        </w:tc>
        <w:tc>
          <w:tcPr>
            <w:tcW w:w="1882" w:type="dxa"/>
            <w:vMerge w:val="restart"/>
            <w:shd w:val="clear" w:color="auto" w:fill="BFBFBF" w:themeFill="background1" w:themeFillShade="BF"/>
            <w:vAlign w:val="center"/>
          </w:tcPr>
          <w:p w:rsidR="00231C32" w:rsidRPr="00F85DA3" w:rsidRDefault="00231C32" w:rsidP="0041398C">
            <w:pPr>
              <w:jc w:val="center"/>
              <w:rPr>
                <w:b/>
                <w:sz w:val="24"/>
                <w:szCs w:val="24"/>
              </w:rPr>
            </w:pPr>
            <w:r>
              <w:rPr>
                <w:b/>
                <w:sz w:val="24"/>
                <w:szCs w:val="24"/>
              </w:rPr>
              <w:t>Number Initiated 3HP</w:t>
            </w:r>
          </w:p>
        </w:tc>
        <w:tc>
          <w:tcPr>
            <w:tcW w:w="9412" w:type="dxa"/>
            <w:gridSpan w:val="5"/>
            <w:tcBorders>
              <w:bottom w:val="single" w:sz="4" w:space="0" w:color="auto"/>
            </w:tcBorders>
            <w:shd w:val="clear" w:color="auto" w:fill="BFBFBF" w:themeFill="background1" w:themeFillShade="BF"/>
            <w:vAlign w:val="center"/>
          </w:tcPr>
          <w:p w:rsidR="00231C32" w:rsidRPr="00F85DA3" w:rsidRDefault="00231C32" w:rsidP="0041398C">
            <w:pPr>
              <w:jc w:val="center"/>
              <w:rPr>
                <w:b/>
                <w:sz w:val="24"/>
                <w:szCs w:val="24"/>
              </w:rPr>
            </w:pPr>
            <w:r>
              <w:rPr>
                <w:b/>
                <w:sz w:val="24"/>
                <w:szCs w:val="24"/>
              </w:rPr>
              <w:t>Reason Therapy Stopped</w:t>
            </w:r>
          </w:p>
        </w:tc>
      </w:tr>
      <w:tr w:rsidR="00231C32" w:rsidTr="0041398C">
        <w:tc>
          <w:tcPr>
            <w:tcW w:w="1882" w:type="dxa"/>
            <w:vMerge/>
            <w:shd w:val="clear" w:color="auto" w:fill="BFBFBF" w:themeFill="background1" w:themeFillShade="BF"/>
            <w:vAlign w:val="center"/>
          </w:tcPr>
          <w:p w:rsidR="00231C32" w:rsidRDefault="00231C32" w:rsidP="0041398C">
            <w:pPr>
              <w:jc w:val="center"/>
              <w:rPr>
                <w:sz w:val="24"/>
                <w:szCs w:val="24"/>
              </w:rPr>
            </w:pPr>
          </w:p>
        </w:tc>
        <w:tc>
          <w:tcPr>
            <w:tcW w:w="1882" w:type="dxa"/>
            <w:vMerge/>
            <w:shd w:val="clear" w:color="auto" w:fill="BFBFBF" w:themeFill="background1" w:themeFillShade="BF"/>
            <w:vAlign w:val="center"/>
          </w:tcPr>
          <w:p w:rsidR="00231C32" w:rsidRDefault="00231C32" w:rsidP="0041398C">
            <w:pPr>
              <w:jc w:val="center"/>
              <w:rPr>
                <w:sz w:val="24"/>
                <w:szCs w:val="24"/>
              </w:rPr>
            </w:pPr>
          </w:p>
        </w:tc>
        <w:tc>
          <w:tcPr>
            <w:tcW w:w="1882" w:type="dxa"/>
            <w:shd w:val="clear" w:color="auto" w:fill="D9D9D9" w:themeFill="background1" w:themeFillShade="D9"/>
            <w:vAlign w:val="center"/>
          </w:tcPr>
          <w:p w:rsidR="00231C32" w:rsidRPr="00F85DA3" w:rsidRDefault="00231C32" w:rsidP="0041398C">
            <w:pPr>
              <w:jc w:val="center"/>
              <w:rPr>
                <w:b/>
                <w:sz w:val="24"/>
                <w:szCs w:val="24"/>
              </w:rPr>
            </w:pPr>
            <w:r w:rsidRPr="00F85DA3">
              <w:rPr>
                <w:b/>
                <w:sz w:val="24"/>
                <w:szCs w:val="24"/>
              </w:rPr>
              <w:t>Completed Therapy</w:t>
            </w:r>
            <w:r>
              <w:rPr>
                <w:b/>
                <w:sz w:val="24"/>
                <w:szCs w:val="24"/>
              </w:rPr>
              <w:t xml:space="preserve"> (%)</w:t>
            </w:r>
          </w:p>
        </w:tc>
        <w:tc>
          <w:tcPr>
            <w:tcW w:w="1882" w:type="dxa"/>
            <w:shd w:val="clear" w:color="auto" w:fill="D9D9D9" w:themeFill="background1" w:themeFillShade="D9"/>
            <w:vAlign w:val="center"/>
          </w:tcPr>
          <w:p w:rsidR="00231C32" w:rsidRPr="00F85DA3" w:rsidRDefault="00231C32" w:rsidP="0041398C">
            <w:pPr>
              <w:jc w:val="center"/>
              <w:rPr>
                <w:b/>
                <w:sz w:val="24"/>
                <w:szCs w:val="24"/>
              </w:rPr>
            </w:pPr>
            <w:r>
              <w:rPr>
                <w:b/>
                <w:sz w:val="24"/>
                <w:szCs w:val="24"/>
              </w:rPr>
              <w:t>Adverse Event (%)</w:t>
            </w:r>
          </w:p>
        </w:tc>
        <w:tc>
          <w:tcPr>
            <w:tcW w:w="1882" w:type="dxa"/>
            <w:shd w:val="clear" w:color="auto" w:fill="D9D9D9" w:themeFill="background1" w:themeFillShade="D9"/>
            <w:vAlign w:val="center"/>
          </w:tcPr>
          <w:p w:rsidR="00231C32" w:rsidRPr="00F85DA3" w:rsidRDefault="00231C32" w:rsidP="0041398C">
            <w:pPr>
              <w:jc w:val="center"/>
              <w:rPr>
                <w:b/>
                <w:sz w:val="24"/>
                <w:szCs w:val="24"/>
              </w:rPr>
            </w:pPr>
            <w:r>
              <w:rPr>
                <w:b/>
                <w:sz w:val="24"/>
                <w:szCs w:val="24"/>
              </w:rPr>
              <w:t>Lost to Follow-up (%)</w:t>
            </w:r>
          </w:p>
        </w:tc>
        <w:tc>
          <w:tcPr>
            <w:tcW w:w="1883" w:type="dxa"/>
            <w:shd w:val="clear" w:color="auto" w:fill="D9D9D9" w:themeFill="background1" w:themeFillShade="D9"/>
            <w:vAlign w:val="center"/>
          </w:tcPr>
          <w:p w:rsidR="00231C32" w:rsidRPr="00F85DA3" w:rsidRDefault="00231C32" w:rsidP="0041398C">
            <w:pPr>
              <w:jc w:val="center"/>
              <w:rPr>
                <w:b/>
                <w:sz w:val="24"/>
                <w:szCs w:val="24"/>
              </w:rPr>
            </w:pPr>
            <w:r>
              <w:rPr>
                <w:b/>
                <w:sz w:val="24"/>
                <w:szCs w:val="24"/>
              </w:rPr>
              <w:t>Moved (%)</w:t>
            </w:r>
          </w:p>
        </w:tc>
        <w:tc>
          <w:tcPr>
            <w:tcW w:w="1883" w:type="dxa"/>
            <w:shd w:val="clear" w:color="auto" w:fill="D9D9D9" w:themeFill="background1" w:themeFillShade="D9"/>
            <w:vAlign w:val="center"/>
          </w:tcPr>
          <w:p w:rsidR="00231C32" w:rsidRPr="00F85DA3" w:rsidRDefault="00231C32" w:rsidP="0041398C">
            <w:pPr>
              <w:jc w:val="center"/>
              <w:rPr>
                <w:b/>
                <w:sz w:val="24"/>
                <w:szCs w:val="24"/>
              </w:rPr>
            </w:pPr>
            <w:r>
              <w:rPr>
                <w:b/>
                <w:sz w:val="24"/>
                <w:szCs w:val="24"/>
              </w:rPr>
              <w:t>Other (%)</w:t>
            </w:r>
          </w:p>
        </w:tc>
      </w:tr>
      <w:tr w:rsidR="00231C32" w:rsidTr="0041398C">
        <w:tc>
          <w:tcPr>
            <w:tcW w:w="1882" w:type="dxa"/>
          </w:tcPr>
          <w:p w:rsidR="00231C32" w:rsidRPr="00F85DA3" w:rsidRDefault="00231C32" w:rsidP="0041398C">
            <w:pPr>
              <w:jc w:val="center"/>
              <w:rPr>
                <w:sz w:val="24"/>
                <w:szCs w:val="24"/>
                <w:vertAlign w:val="superscript"/>
              </w:rPr>
            </w:pPr>
            <w:r>
              <w:rPr>
                <w:sz w:val="24"/>
                <w:szCs w:val="24"/>
              </w:rPr>
              <w:t>2015</w:t>
            </w:r>
            <w:r>
              <w:rPr>
                <w:sz w:val="24"/>
                <w:szCs w:val="24"/>
                <w:vertAlign w:val="superscript"/>
              </w:rPr>
              <w:t>*</w:t>
            </w:r>
          </w:p>
        </w:tc>
        <w:tc>
          <w:tcPr>
            <w:tcW w:w="1882" w:type="dxa"/>
          </w:tcPr>
          <w:p w:rsidR="00231C32" w:rsidRDefault="00231C32" w:rsidP="0041398C">
            <w:pPr>
              <w:jc w:val="center"/>
              <w:rPr>
                <w:sz w:val="24"/>
                <w:szCs w:val="24"/>
              </w:rPr>
            </w:pPr>
            <w:r>
              <w:rPr>
                <w:sz w:val="24"/>
                <w:szCs w:val="24"/>
              </w:rPr>
              <w:t>74</w:t>
            </w:r>
          </w:p>
        </w:tc>
        <w:tc>
          <w:tcPr>
            <w:tcW w:w="1882" w:type="dxa"/>
          </w:tcPr>
          <w:p w:rsidR="00231C32" w:rsidRDefault="00231C32" w:rsidP="0041398C">
            <w:pPr>
              <w:jc w:val="center"/>
              <w:rPr>
                <w:sz w:val="24"/>
                <w:szCs w:val="24"/>
              </w:rPr>
            </w:pPr>
            <w:r>
              <w:rPr>
                <w:sz w:val="24"/>
                <w:szCs w:val="24"/>
              </w:rPr>
              <w:t>62 (83.8)</w:t>
            </w:r>
          </w:p>
        </w:tc>
        <w:tc>
          <w:tcPr>
            <w:tcW w:w="1882" w:type="dxa"/>
          </w:tcPr>
          <w:p w:rsidR="00231C32" w:rsidRDefault="00231C32" w:rsidP="0041398C">
            <w:pPr>
              <w:jc w:val="center"/>
              <w:rPr>
                <w:sz w:val="24"/>
                <w:szCs w:val="24"/>
              </w:rPr>
            </w:pPr>
            <w:r>
              <w:rPr>
                <w:sz w:val="24"/>
                <w:szCs w:val="24"/>
              </w:rPr>
              <w:t>7 (9.5)</w:t>
            </w:r>
          </w:p>
        </w:tc>
        <w:tc>
          <w:tcPr>
            <w:tcW w:w="1882" w:type="dxa"/>
          </w:tcPr>
          <w:p w:rsidR="00231C32" w:rsidRDefault="00231C32" w:rsidP="0041398C">
            <w:pPr>
              <w:jc w:val="center"/>
              <w:rPr>
                <w:sz w:val="24"/>
                <w:szCs w:val="24"/>
              </w:rPr>
            </w:pPr>
            <w:r>
              <w:rPr>
                <w:sz w:val="24"/>
                <w:szCs w:val="24"/>
              </w:rPr>
              <w:t>0 (0.0)</w:t>
            </w:r>
          </w:p>
        </w:tc>
        <w:tc>
          <w:tcPr>
            <w:tcW w:w="1883" w:type="dxa"/>
          </w:tcPr>
          <w:p w:rsidR="00231C32" w:rsidRDefault="00231C32" w:rsidP="0041398C">
            <w:pPr>
              <w:jc w:val="center"/>
              <w:rPr>
                <w:sz w:val="24"/>
                <w:szCs w:val="24"/>
              </w:rPr>
            </w:pPr>
            <w:r>
              <w:rPr>
                <w:sz w:val="24"/>
                <w:szCs w:val="24"/>
              </w:rPr>
              <w:t>0 (0.0)</w:t>
            </w:r>
          </w:p>
        </w:tc>
        <w:tc>
          <w:tcPr>
            <w:tcW w:w="1883" w:type="dxa"/>
          </w:tcPr>
          <w:p w:rsidR="00231C32" w:rsidRDefault="00231C32" w:rsidP="0041398C">
            <w:pPr>
              <w:jc w:val="center"/>
              <w:rPr>
                <w:sz w:val="24"/>
                <w:szCs w:val="24"/>
              </w:rPr>
            </w:pPr>
            <w:r>
              <w:rPr>
                <w:sz w:val="24"/>
                <w:szCs w:val="24"/>
              </w:rPr>
              <w:t>5 (6.8)</w:t>
            </w:r>
          </w:p>
        </w:tc>
      </w:tr>
      <w:tr w:rsidR="00231C32" w:rsidTr="0041398C">
        <w:tc>
          <w:tcPr>
            <w:tcW w:w="1882" w:type="dxa"/>
          </w:tcPr>
          <w:p w:rsidR="00231C32" w:rsidRDefault="00231C32" w:rsidP="0041398C">
            <w:pPr>
              <w:jc w:val="center"/>
              <w:rPr>
                <w:sz w:val="24"/>
                <w:szCs w:val="24"/>
              </w:rPr>
            </w:pPr>
            <w:r>
              <w:rPr>
                <w:sz w:val="24"/>
                <w:szCs w:val="24"/>
              </w:rPr>
              <w:t>2016</w:t>
            </w:r>
          </w:p>
        </w:tc>
        <w:tc>
          <w:tcPr>
            <w:tcW w:w="1882" w:type="dxa"/>
          </w:tcPr>
          <w:p w:rsidR="00231C32" w:rsidRDefault="00231C32" w:rsidP="0041398C">
            <w:pPr>
              <w:jc w:val="center"/>
              <w:rPr>
                <w:sz w:val="24"/>
                <w:szCs w:val="24"/>
              </w:rPr>
            </w:pPr>
            <w:r>
              <w:rPr>
                <w:sz w:val="24"/>
                <w:szCs w:val="24"/>
              </w:rPr>
              <w:t>432</w:t>
            </w:r>
          </w:p>
        </w:tc>
        <w:tc>
          <w:tcPr>
            <w:tcW w:w="1882" w:type="dxa"/>
          </w:tcPr>
          <w:p w:rsidR="00231C32" w:rsidRDefault="00231C32" w:rsidP="0041398C">
            <w:pPr>
              <w:jc w:val="center"/>
              <w:rPr>
                <w:sz w:val="24"/>
                <w:szCs w:val="24"/>
              </w:rPr>
            </w:pPr>
            <w:r>
              <w:rPr>
                <w:sz w:val="24"/>
                <w:szCs w:val="24"/>
              </w:rPr>
              <w:t>351 (81.3)</w:t>
            </w:r>
          </w:p>
        </w:tc>
        <w:tc>
          <w:tcPr>
            <w:tcW w:w="1882" w:type="dxa"/>
          </w:tcPr>
          <w:p w:rsidR="00231C32" w:rsidRDefault="00231C32" w:rsidP="0041398C">
            <w:pPr>
              <w:jc w:val="center"/>
              <w:rPr>
                <w:sz w:val="24"/>
                <w:szCs w:val="24"/>
              </w:rPr>
            </w:pPr>
            <w:r>
              <w:rPr>
                <w:sz w:val="24"/>
                <w:szCs w:val="24"/>
              </w:rPr>
              <w:t>30 (6.9)</w:t>
            </w:r>
          </w:p>
        </w:tc>
        <w:tc>
          <w:tcPr>
            <w:tcW w:w="1882" w:type="dxa"/>
          </w:tcPr>
          <w:p w:rsidR="00231C32" w:rsidRDefault="00231C32" w:rsidP="0041398C">
            <w:pPr>
              <w:jc w:val="center"/>
              <w:rPr>
                <w:sz w:val="24"/>
                <w:szCs w:val="24"/>
              </w:rPr>
            </w:pPr>
            <w:r>
              <w:rPr>
                <w:sz w:val="24"/>
                <w:szCs w:val="24"/>
              </w:rPr>
              <w:t>20 (4.6)</w:t>
            </w:r>
          </w:p>
        </w:tc>
        <w:tc>
          <w:tcPr>
            <w:tcW w:w="1883" w:type="dxa"/>
          </w:tcPr>
          <w:p w:rsidR="00231C32" w:rsidRDefault="00231C32" w:rsidP="0041398C">
            <w:pPr>
              <w:jc w:val="center"/>
              <w:rPr>
                <w:sz w:val="24"/>
                <w:szCs w:val="24"/>
              </w:rPr>
            </w:pPr>
            <w:r>
              <w:rPr>
                <w:sz w:val="24"/>
                <w:szCs w:val="24"/>
              </w:rPr>
              <w:t>3 (0.7)</w:t>
            </w:r>
          </w:p>
        </w:tc>
        <w:tc>
          <w:tcPr>
            <w:tcW w:w="1883" w:type="dxa"/>
          </w:tcPr>
          <w:p w:rsidR="00231C32" w:rsidRDefault="00231C32" w:rsidP="0041398C">
            <w:pPr>
              <w:jc w:val="center"/>
              <w:rPr>
                <w:sz w:val="24"/>
                <w:szCs w:val="24"/>
              </w:rPr>
            </w:pPr>
            <w:r>
              <w:rPr>
                <w:sz w:val="24"/>
                <w:szCs w:val="24"/>
              </w:rPr>
              <w:t>28 (6.5)</w:t>
            </w:r>
          </w:p>
        </w:tc>
      </w:tr>
      <w:tr w:rsidR="00231C32" w:rsidTr="0041398C">
        <w:tc>
          <w:tcPr>
            <w:tcW w:w="1882" w:type="dxa"/>
          </w:tcPr>
          <w:p w:rsidR="00231C32" w:rsidRDefault="00231C32" w:rsidP="0041398C">
            <w:pPr>
              <w:jc w:val="center"/>
              <w:rPr>
                <w:sz w:val="24"/>
                <w:szCs w:val="24"/>
              </w:rPr>
            </w:pPr>
            <w:r>
              <w:rPr>
                <w:sz w:val="24"/>
                <w:szCs w:val="24"/>
              </w:rPr>
              <w:t>2017</w:t>
            </w:r>
          </w:p>
        </w:tc>
        <w:tc>
          <w:tcPr>
            <w:tcW w:w="1882" w:type="dxa"/>
          </w:tcPr>
          <w:p w:rsidR="00231C32" w:rsidRDefault="00231C32" w:rsidP="0041398C">
            <w:pPr>
              <w:jc w:val="center"/>
              <w:rPr>
                <w:sz w:val="24"/>
                <w:szCs w:val="24"/>
              </w:rPr>
            </w:pPr>
            <w:r>
              <w:rPr>
                <w:sz w:val="24"/>
                <w:szCs w:val="24"/>
              </w:rPr>
              <w:t>500</w:t>
            </w:r>
          </w:p>
        </w:tc>
        <w:tc>
          <w:tcPr>
            <w:tcW w:w="1882" w:type="dxa"/>
          </w:tcPr>
          <w:p w:rsidR="00231C32" w:rsidRDefault="00231C32" w:rsidP="0041398C">
            <w:pPr>
              <w:jc w:val="center"/>
              <w:rPr>
                <w:sz w:val="24"/>
                <w:szCs w:val="24"/>
              </w:rPr>
            </w:pPr>
            <w:r>
              <w:rPr>
                <w:sz w:val="24"/>
                <w:szCs w:val="24"/>
              </w:rPr>
              <w:t>398 (79.6)</w:t>
            </w:r>
          </w:p>
        </w:tc>
        <w:tc>
          <w:tcPr>
            <w:tcW w:w="1882" w:type="dxa"/>
          </w:tcPr>
          <w:p w:rsidR="00231C32" w:rsidRDefault="00231C32" w:rsidP="0041398C">
            <w:pPr>
              <w:jc w:val="center"/>
              <w:rPr>
                <w:sz w:val="24"/>
                <w:szCs w:val="24"/>
              </w:rPr>
            </w:pPr>
            <w:r>
              <w:rPr>
                <w:sz w:val="24"/>
                <w:szCs w:val="24"/>
              </w:rPr>
              <w:t>33 (6.6)</w:t>
            </w:r>
          </w:p>
        </w:tc>
        <w:tc>
          <w:tcPr>
            <w:tcW w:w="1882" w:type="dxa"/>
          </w:tcPr>
          <w:p w:rsidR="00231C32" w:rsidRDefault="00231C32" w:rsidP="0041398C">
            <w:pPr>
              <w:jc w:val="center"/>
              <w:rPr>
                <w:sz w:val="24"/>
                <w:szCs w:val="24"/>
              </w:rPr>
            </w:pPr>
            <w:r>
              <w:rPr>
                <w:sz w:val="24"/>
                <w:szCs w:val="24"/>
              </w:rPr>
              <w:t>27 (5.4)</w:t>
            </w:r>
          </w:p>
        </w:tc>
        <w:tc>
          <w:tcPr>
            <w:tcW w:w="1883" w:type="dxa"/>
          </w:tcPr>
          <w:p w:rsidR="00231C32" w:rsidRDefault="00231C32" w:rsidP="0041398C">
            <w:pPr>
              <w:jc w:val="center"/>
              <w:rPr>
                <w:sz w:val="24"/>
                <w:szCs w:val="24"/>
              </w:rPr>
            </w:pPr>
            <w:r>
              <w:rPr>
                <w:sz w:val="24"/>
                <w:szCs w:val="24"/>
              </w:rPr>
              <w:t>2 (0.4)</w:t>
            </w:r>
          </w:p>
        </w:tc>
        <w:tc>
          <w:tcPr>
            <w:tcW w:w="1883" w:type="dxa"/>
          </w:tcPr>
          <w:p w:rsidR="00231C32" w:rsidRDefault="00231C32" w:rsidP="0041398C">
            <w:pPr>
              <w:jc w:val="center"/>
              <w:rPr>
                <w:sz w:val="24"/>
                <w:szCs w:val="24"/>
              </w:rPr>
            </w:pPr>
            <w:r>
              <w:rPr>
                <w:sz w:val="24"/>
                <w:szCs w:val="24"/>
              </w:rPr>
              <w:t>40 (8.0)</w:t>
            </w:r>
          </w:p>
        </w:tc>
      </w:tr>
      <w:tr w:rsidR="00231C32" w:rsidTr="0041398C">
        <w:tc>
          <w:tcPr>
            <w:tcW w:w="1882" w:type="dxa"/>
          </w:tcPr>
          <w:p w:rsidR="00231C32" w:rsidRDefault="00231C32" w:rsidP="0041398C">
            <w:pPr>
              <w:jc w:val="center"/>
              <w:rPr>
                <w:sz w:val="24"/>
                <w:szCs w:val="24"/>
              </w:rPr>
            </w:pPr>
            <w:r>
              <w:rPr>
                <w:sz w:val="24"/>
                <w:szCs w:val="24"/>
              </w:rPr>
              <w:t>2018</w:t>
            </w:r>
          </w:p>
        </w:tc>
        <w:tc>
          <w:tcPr>
            <w:tcW w:w="1882" w:type="dxa"/>
          </w:tcPr>
          <w:p w:rsidR="00231C32" w:rsidRDefault="00231C32" w:rsidP="0041398C">
            <w:pPr>
              <w:jc w:val="center"/>
              <w:rPr>
                <w:sz w:val="24"/>
                <w:szCs w:val="24"/>
              </w:rPr>
            </w:pPr>
            <w:r>
              <w:rPr>
                <w:sz w:val="24"/>
                <w:szCs w:val="24"/>
              </w:rPr>
              <w:t>360</w:t>
            </w:r>
          </w:p>
        </w:tc>
        <w:tc>
          <w:tcPr>
            <w:tcW w:w="1882" w:type="dxa"/>
          </w:tcPr>
          <w:p w:rsidR="00231C32" w:rsidRDefault="00231C32" w:rsidP="0041398C">
            <w:pPr>
              <w:jc w:val="center"/>
              <w:rPr>
                <w:sz w:val="24"/>
                <w:szCs w:val="24"/>
              </w:rPr>
            </w:pPr>
            <w:r>
              <w:rPr>
                <w:sz w:val="24"/>
                <w:szCs w:val="24"/>
              </w:rPr>
              <w:t>286 (79.4)</w:t>
            </w:r>
          </w:p>
        </w:tc>
        <w:tc>
          <w:tcPr>
            <w:tcW w:w="1882" w:type="dxa"/>
          </w:tcPr>
          <w:p w:rsidR="00231C32" w:rsidRDefault="00231C32" w:rsidP="0041398C">
            <w:pPr>
              <w:jc w:val="center"/>
              <w:rPr>
                <w:sz w:val="24"/>
                <w:szCs w:val="24"/>
              </w:rPr>
            </w:pPr>
            <w:r>
              <w:rPr>
                <w:sz w:val="24"/>
                <w:szCs w:val="24"/>
              </w:rPr>
              <w:t>26 (7.2)</w:t>
            </w:r>
          </w:p>
        </w:tc>
        <w:tc>
          <w:tcPr>
            <w:tcW w:w="1882" w:type="dxa"/>
          </w:tcPr>
          <w:p w:rsidR="00231C32" w:rsidRDefault="00231C32" w:rsidP="0041398C">
            <w:pPr>
              <w:jc w:val="center"/>
              <w:rPr>
                <w:sz w:val="24"/>
                <w:szCs w:val="24"/>
              </w:rPr>
            </w:pPr>
            <w:r>
              <w:rPr>
                <w:sz w:val="24"/>
                <w:szCs w:val="24"/>
              </w:rPr>
              <w:t>20 (5.6)</w:t>
            </w:r>
          </w:p>
        </w:tc>
        <w:tc>
          <w:tcPr>
            <w:tcW w:w="1883" w:type="dxa"/>
          </w:tcPr>
          <w:p w:rsidR="00231C32" w:rsidRDefault="00231C32" w:rsidP="0041398C">
            <w:pPr>
              <w:jc w:val="center"/>
              <w:rPr>
                <w:sz w:val="24"/>
                <w:szCs w:val="24"/>
              </w:rPr>
            </w:pPr>
            <w:r>
              <w:rPr>
                <w:sz w:val="24"/>
                <w:szCs w:val="24"/>
              </w:rPr>
              <w:t>1 (0.3)</w:t>
            </w:r>
          </w:p>
        </w:tc>
        <w:tc>
          <w:tcPr>
            <w:tcW w:w="1883" w:type="dxa"/>
          </w:tcPr>
          <w:p w:rsidR="00231C32" w:rsidRDefault="00231C32" w:rsidP="0041398C">
            <w:pPr>
              <w:jc w:val="center"/>
              <w:rPr>
                <w:sz w:val="24"/>
                <w:szCs w:val="24"/>
              </w:rPr>
            </w:pPr>
            <w:r>
              <w:rPr>
                <w:sz w:val="24"/>
                <w:szCs w:val="24"/>
              </w:rPr>
              <w:t>27 (7.5)</w:t>
            </w:r>
          </w:p>
        </w:tc>
      </w:tr>
      <w:tr w:rsidR="00231C32" w:rsidTr="0041398C">
        <w:tc>
          <w:tcPr>
            <w:tcW w:w="1882" w:type="dxa"/>
          </w:tcPr>
          <w:p w:rsidR="00231C32" w:rsidRPr="00F85DA3" w:rsidRDefault="00231C32" w:rsidP="0041398C">
            <w:pPr>
              <w:jc w:val="center"/>
              <w:rPr>
                <w:sz w:val="24"/>
                <w:szCs w:val="24"/>
                <w:vertAlign w:val="superscript"/>
              </w:rPr>
            </w:pPr>
            <w:r>
              <w:rPr>
                <w:sz w:val="24"/>
                <w:szCs w:val="24"/>
              </w:rPr>
              <w:t>2019</w:t>
            </w:r>
            <w:r>
              <w:rPr>
                <w:sz w:val="24"/>
                <w:szCs w:val="24"/>
                <w:vertAlign w:val="superscript"/>
              </w:rPr>
              <w:t>**</w:t>
            </w:r>
          </w:p>
        </w:tc>
        <w:tc>
          <w:tcPr>
            <w:tcW w:w="1882" w:type="dxa"/>
          </w:tcPr>
          <w:p w:rsidR="00231C32" w:rsidRDefault="00231C32" w:rsidP="0041398C">
            <w:pPr>
              <w:jc w:val="center"/>
              <w:rPr>
                <w:sz w:val="24"/>
                <w:szCs w:val="24"/>
              </w:rPr>
            </w:pPr>
            <w:r>
              <w:rPr>
                <w:sz w:val="24"/>
                <w:szCs w:val="24"/>
              </w:rPr>
              <w:t>335</w:t>
            </w:r>
          </w:p>
        </w:tc>
        <w:tc>
          <w:tcPr>
            <w:tcW w:w="1882" w:type="dxa"/>
          </w:tcPr>
          <w:p w:rsidR="00231C32" w:rsidRDefault="00231C32" w:rsidP="0041398C">
            <w:pPr>
              <w:jc w:val="center"/>
              <w:rPr>
                <w:sz w:val="24"/>
                <w:szCs w:val="24"/>
              </w:rPr>
            </w:pPr>
            <w:r>
              <w:rPr>
                <w:sz w:val="24"/>
                <w:szCs w:val="24"/>
              </w:rPr>
              <w:t>206 (61.5)</w:t>
            </w:r>
          </w:p>
        </w:tc>
        <w:tc>
          <w:tcPr>
            <w:tcW w:w="1882" w:type="dxa"/>
          </w:tcPr>
          <w:p w:rsidR="00231C32" w:rsidRDefault="00231C32" w:rsidP="0041398C">
            <w:pPr>
              <w:jc w:val="center"/>
              <w:rPr>
                <w:sz w:val="24"/>
                <w:szCs w:val="24"/>
              </w:rPr>
            </w:pPr>
            <w:r>
              <w:rPr>
                <w:sz w:val="24"/>
                <w:szCs w:val="24"/>
              </w:rPr>
              <w:t>10 (3.0)</w:t>
            </w:r>
          </w:p>
        </w:tc>
        <w:tc>
          <w:tcPr>
            <w:tcW w:w="1882" w:type="dxa"/>
          </w:tcPr>
          <w:p w:rsidR="00231C32" w:rsidRDefault="00231C32" w:rsidP="0041398C">
            <w:pPr>
              <w:jc w:val="center"/>
              <w:rPr>
                <w:sz w:val="24"/>
                <w:szCs w:val="24"/>
              </w:rPr>
            </w:pPr>
            <w:r>
              <w:rPr>
                <w:sz w:val="24"/>
                <w:szCs w:val="24"/>
              </w:rPr>
              <w:t>5 (1.5)</w:t>
            </w:r>
          </w:p>
        </w:tc>
        <w:tc>
          <w:tcPr>
            <w:tcW w:w="1883" w:type="dxa"/>
          </w:tcPr>
          <w:p w:rsidR="00231C32" w:rsidRDefault="00231C32" w:rsidP="0041398C">
            <w:pPr>
              <w:jc w:val="center"/>
              <w:rPr>
                <w:sz w:val="24"/>
                <w:szCs w:val="24"/>
              </w:rPr>
            </w:pPr>
            <w:r>
              <w:rPr>
                <w:sz w:val="24"/>
                <w:szCs w:val="24"/>
              </w:rPr>
              <w:t>4 (1.2)</w:t>
            </w:r>
          </w:p>
        </w:tc>
        <w:tc>
          <w:tcPr>
            <w:tcW w:w="1883" w:type="dxa"/>
          </w:tcPr>
          <w:p w:rsidR="00231C32" w:rsidRDefault="00231C32" w:rsidP="0041398C">
            <w:pPr>
              <w:jc w:val="center"/>
              <w:rPr>
                <w:sz w:val="24"/>
                <w:szCs w:val="24"/>
              </w:rPr>
            </w:pPr>
            <w:r>
              <w:rPr>
                <w:sz w:val="24"/>
                <w:szCs w:val="24"/>
              </w:rPr>
              <w:t>21 (6.3)</w:t>
            </w:r>
          </w:p>
        </w:tc>
      </w:tr>
    </w:tbl>
    <w:p w:rsidR="00231C32" w:rsidRDefault="00231C32" w:rsidP="00B07043">
      <w:pPr>
        <w:spacing w:after="0" w:line="240" w:lineRule="auto"/>
        <w:rPr>
          <w:sz w:val="24"/>
          <w:szCs w:val="24"/>
        </w:rPr>
        <w:sectPr w:rsidR="00231C32" w:rsidSect="00AA40FB">
          <w:footerReference w:type="default" r:id="rId12"/>
          <w:pgSz w:w="15840" w:h="12240" w:orient="landscape"/>
          <w:pgMar w:top="1440" w:right="1440" w:bottom="1440" w:left="1440" w:header="720" w:footer="720" w:gutter="0"/>
          <w:cols w:space="720"/>
          <w:docGrid w:linePitch="360"/>
        </w:sectPr>
      </w:pPr>
    </w:p>
    <w:p w:rsidR="002065C9" w:rsidRDefault="002065C9" w:rsidP="00B07043">
      <w:pPr>
        <w:spacing w:after="0" w:line="240" w:lineRule="auto"/>
        <w:rPr>
          <w:sz w:val="24"/>
          <w:szCs w:val="24"/>
        </w:rPr>
      </w:pPr>
    </w:p>
    <w:p w:rsidR="002065C9" w:rsidRPr="002063D8" w:rsidRDefault="002063D8" w:rsidP="00B07043">
      <w:pPr>
        <w:spacing w:after="0" w:line="240" w:lineRule="auto"/>
        <w:rPr>
          <w:b/>
          <w:sz w:val="24"/>
          <w:szCs w:val="24"/>
        </w:rPr>
      </w:pPr>
      <w:r>
        <w:rPr>
          <w:b/>
          <w:sz w:val="24"/>
          <w:szCs w:val="24"/>
        </w:rPr>
        <w:t xml:space="preserve">Table </w:t>
      </w:r>
      <w:r w:rsidR="0041398C">
        <w:rPr>
          <w:b/>
          <w:sz w:val="24"/>
          <w:szCs w:val="24"/>
        </w:rPr>
        <w:t>11</w:t>
      </w:r>
      <w:r w:rsidR="00FB7B9F">
        <w:rPr>
          <w:b/>
          <w:sz w:val="24"/>
          <w:szCs w:val="24"/>
        </w:rPr>
        <w:t>.  Human Resources Development—Objectives, Work Plan, Activities, and Progress</w:t>
      </w:r>
      <w:r w:rsidR="00385AC6">
        <w:rPr>
          <w:b/>
          <w:sz w:val="24"/>
          <w:szCs w:val="24"/>
        </w:rPr>
        <w:t>, 2018-2019</w:t>
      </w:r>
    </w:p>
    <w:tbl>
      <w:tblPr>
        <w:tblStyle w:val="TableGrid"/>
        <w:tblW w:w="0" w:type="auto"/>
        <w:tblLook w:val="04A0" w:firstRow="1" w:lastRow="0" w:firstColumn="1" w:lastColumn="0" w:noHBand="0" w:noVBand="1"/>
      </w:tblPr>
      <w:tblGrid>
        <w:gridCol w:w="3294"/>
        <w:gridCol w:w="3294"/>
        <w:gridCol w:w="3294"/>
        <w:gridCol w:w="3294"/>
      </w:tblGrid>
      <w:tr w:rsidR="002065C9" w:rsidTr="002065C9">
        <w:tc>
          <w:tcPr>
            <w:tcW w:w="3294" w:type="dxa"/>
            <w:shd w:val="clear" w:color="auto" w:fill="D9D9D9" w:themeFill="background1" w:themeFillShade="D9"/>
          </w:tcPr>
          <w:p w:rsidR="002065C9" w:rsidRPr="002065C9" w:rsidRDefault="002065C9" w:rsidP="002065C9">
            <w:pPr>
              <w:jc w:val="center"/>
              <w:rPr>
                <w:b/>
                <w:sz w:val="24"/>
                <w:szCs w:val="24"/>
              </w:rPr>
            </w:pPr>
            <w:r>
              <w:rPr>
                <w:b/>
                <w:sz w:val="24"/>
                <w:szCs w:val="24"/>
              </w:rPr>
              <w:t>Objective</w:t>
            </w:r>
          </w:p>
        </w:tc>
        <w:tc>
          <w:tcPr>
            <w:tcW w:w="3294" w:type="dxa"/>
            <w:shd w:val="clear" w:color="auto" w:fill="D9D9D9" w:themeFill="background1" w:themeFillShade="D9"/>
          </w:tcPr>
          <w:p w:rsidR="002065C9" w:rsidRPr="002065C9" w:rsidRDefault="002065C9" w:rsidP="002065C9">
            <w:pPr>
              <w:jc w:val="center"/>
              <w:rPr>
                <w:b/>
                <w:sz w:val="24"/>
                <w:szCs w:val="24"/>
              </w:rPr>
            </w:pPr>
            <w:r>
              <w:rPr>
                <w:b/>
                <w:sz w:val="24"/>
                <w:szCs w:val="24"/>
              </w:rPr>
              <w:t>Sub-objective</w:t>
            </w:r>
          </w:p>
        </w:tc>
        <w:tc>
          <w:tcPr>
            <w:tcW w:w="3294" w:type="dxa"/>
            <w:shd w:val="clear" w:color="auto" w:fill="D9D9D9" w:themeFill="background1" w:themeFillShade="D9"/>
          </w:tcPr>
          <w:p w:rsidR="002065C9" w:rsidRPr="002065C9" w:rsidRDefault="002065C9" w:rsidP="002065C9">
            <w:pPr>
              <w:jc w:val="center"/>
              <w:rPr>
                <w:b/>
                <w:sz w:val="24"/>
                <w:szCs w:val="24"/>
              </w:rPr>
            </w:pPr>
            <w:r>
              <w:rPr>
                <w:b/>
                <w:sz w:val="24"/>
                <w:szCs w:val="24"/>
              </w:rPr>
              <w:t>Work Plan</w:t>
            </w:r>
          </w:p>
        </w:tc>
        <w:tc>
          <w:tcPr>
            <w:tcW w:w="3294" w:type="dxa"/>
            <w:shd w:val="clear" w:color="auto" w:fill="D9D9D9" w:themeFill="background1" w:themeFillShade="D9"/>
          </w:tcPr>
          <w:p w:rsidR="002065C9" w:rsidRPr="002065C9" w:rsidRDefault="002065C9" w:rsidP="002065C9">
            <w:pPr>
              <w:jc w:val="center"/>
              <w:rPr>
                <w:b/>
                <w:sz w:val="24"/>
                <w:szCs w:val="24"/>
              </w:rPr>
            </w:pPr>
            <w:r>
              <w:rPr>
                <w:b/>
                <w:sz w:val="24"/>
                <w:szCs w:val="24"/>
              </w:rPr>
              <w:t>Activities and Progress</w:t>
            </w:r>
          </w:p>
        </w:tc>
      </w:tr>
      <w:tr w:rsidR="00385AC6" w:rsidTr="00617B78">
        <w:trPr>
          <w:trHeight w:val="1273"/>
        </w:trPr>
        <w:tc>
          <w:tcPr>
            <w:tcW w:w="3294" w:type="dxa"/>
            <w:vMerge w:val="restart"/>
            <w:vAlign w:val="center"/>
          </w:tcPr>
          <w:p w:rsidR="00385AC6" w:rsidRPr="002065C9" w:rsidRDefault="00385AC6" w:rsidP="002065C9">
            <w:pPr>
              <w:jc w:val="center"/>
              <w:rPr>
                <w:b/>
                <w:sz w:val="24"/>
                <w:szCs w:val="24"/>
              </w:rPr>
            </w:pPr>
            <w:r>
              <w:rPr>
                <w:b/>
                <w:sz w:val="24"/>
                <w:szCs w:val="24"/>
                <w:u w:val="single"/>
              </w:rPr>
              <w:t>Objective 1</w:t>
            </w:r>
            <w:r>
              <w:rPr>
                <w:b/>
                <w:sz w:val="24"/>
                <w:szCs w:val="24"/>
              </w:rPr>
              <w:t>: Establish an improve existing in-service TB training and human resource development</w:t>
            </w:r>
          </w:p>
        </w:tc>
        <w:tc>
          <w:tcPr>
            <w:tcW w:w="3294" w:type="dxa"/>
            <w:vMerge w:val="restart"/>
            <w:vAlign w:val="center"/>
          </w:tcPr>
          <w:p w:rsidR="00385AC6" w:rsidRDefault="00385AC6" w:rsidP="00617B78">
            <w:pPr>
              <w:rPr>
                <w:sz w:val="24"/>
                <w:szCs w:val="24"/>
              </w:rPr>
            </w:pPr>
            <w:r>
              <w:rPr>
                <w:sz w:val="24"/>
                <w:szCs w:val="24"/>
              </w:rPr>
              <w:t>TB education and training focal point provides central office and regional TB staff timely announcements of education and training opportunities offered by internal and external partners.  Attendance records for staff will be maintained by TB education and training focal point.</w:t>
            </w:r>
          </w:p>
        </w:tc>
        <w:tc>
          <w:tcPr>
            <w:tcW w:w="3294" w:type="dxa"/>
            <w:vAlign w:val="center"/>
          </w:tcPr>
          <w:p w:rsidR="00385AC6" w:rsidRDefault="00385AC6" w:rsidP="00617B78">
            <w:pPr>
              <w:rPr>
                <w:sz w:val="24"/>
                <w:szCs w:val="24"/>
              </w:rPr>
            </w:pPr>
            <w:r>
              <w:rPr>
                <w:sz w:val="24"/>
                <w:szCs w:val="24"/>
              </w:rPr>
              <w:t>Develop and distribute announcements for educational and training opportunities</w:t>
            </w:r>
            <w:r w:rsidR="00BF2C3F">
              <w:rPr>
                <w:sz w:val="24"/>
                <w:szCs w:val="24"/>
              </w:rPr>
              <w:t>.</w:t>
            </w:r>
          </w:p>
        </w:tc>
        <w:tc>
          <w:tcPr>
            <w:tcW w:w="3294" w:type="dxa"/>
          </w:tcPr>
          <w:p w:rsidR="00385AC6" w:rsidRDefault="00690A66" w:rsidP="00B07043">
            <w:pPr>
              <w:rPr>
                <w:sz w:val="24"/>
                <w:szCs w:val="24"/>
              </w:rPr>
            </w:pPr>
            <w:r>
              <w:rPr>
                <w:sz w:val="24"/>
                <w:szCs w:val="24"/>
              </w:rPr>
              <w:t>All announcements or relevant education and training opportunities were distributed within two (2) days of receipt by the TB training and education focal point</w:t>
            </w:r>
          </w:p>
        </w:tc>
      </w:tr>
      <w:tr w:rsidR="00385AC6" w:rsidTr="00617B78">
        <w:trPr>
          <w:trHeight w:val="1273"/>
        </w:trPr>
        <w:tc>
          <w:tcPr>
            <w:tcW w:w="3294" w:type="dxa"/>
            <w:vMerge/>
            <w:vAlign w:val="center"/>
          </w:tcPr>
          <w:p w:rsidR="00385AC6" w:rsidRDefault="00385AC6" w:rsidP="002065C9">
            <w:pPr>
              <w:jc w:val="center"/>
              <w:rPr>
                <w:b/>
                <w:sz w:val="24"/>
                <w:szCs w:val="24"/>
                <w:u w:val="single"/>
              </w:rPr>
            </w:pPr>
          </w:p>
        </w:tc>
        <w:tc>
          <w:tcPr>
            <w:tcW w:w="3294" w:type="dxa"/>
            <w:vMerge/>
          </w:tcPr>
          <w:p w:rsidR="00385AC6" w:rsidRDefault="00385AC6" w:rsidP="00B07043">
            <w:pPr>
              <w:rPr>
                <w:sz w:val="24"/>
                <w:szCs w:val="24"/>
              </w:rPr>
            </w:pPr>
          </w:p>
        </w:tc>
        <w:tc>
          <w:tcPr>
            <w:tcW w:w="3294" w:type="dxa"/>
            <w:vAlign w:val="center"/>
          </w:tcPr>
          <w:p w:rsidR="00385AC6" w:rsidRDefault="00690A66" w:rsidP="00617B78">
            <w:pPr>
              <w:rPr>
                <w:sz w:val="24"/>
                <w:szCs w:val="24"/>
              </w:rPr>
            </w:pPr>
            <w:r>
              <w:rPr>
                <w:sz w:val="24"/>
                <w:szCs w:val="24"/>
              </w:rPr>
              <w:t>Course attendance records will be maintained by the TB education and training focal point and detailed in the Cooperative Agreement</w:t>
            </w:r>
            <w:r w:rsidR="00BF2C3F">
              <w:rPr>
                <w:sz w:val="24"/>
                <w:szCs w:val="24"/>
              </w:rPr>
              <w:t>.</w:t>
            </w:r>
          </w:p>
        </w:tc>
        <w:tc>
          <w:tcPr>
            <w:tcW w:w="3294" w:type="dxa"/>
          </w:tcPr>
          <w:p w:rsidR="00385AC6" w:rsidRDefault="00690A66" w:rsidP="00B07043">
            <w:pPr>
              <w:rPr>
                <w:sz w:val="24"/>
                <w:szCs w:val="24"/>
              </w:rPr>
            </w:pPr>
            <w:r>
              <w:rPr>
                <w:b/>
                <w:sz w:val="24"/>
                <w:szCs w:val="24"/>
                <w:u w:val="single"/>
              </w:rPr>
              <w:t>2018 in-person trainings</w:t>
            </w:r>
            <w:r>
              <w:rPr>
                <w:sz w:val="24"/>
                <w:szCs w:val="24"/>
              </w:rPr>
              <w:t>: 21 events with 455 attendees for a total of 1,417 training hours (includes statewide meeting and clinical symposium)</w:t>
            </w:r>
          </w:p>
          <w:p w:rsidR="00690A66" w:rsidRDefault="00690A66" w:rsidP="00B07043">
            <w:pPr>
              <w:rPr>
                <w:sz w:val="24"/>
                <w:szCs w:val="24"/>
              </w:rPr>
            </w:pPr>
            <w:r>
              <w:rPr>
                <w:b/>
                <w:sz w:val="24"/>
                <w:szCs w:val="24"/>
                <w:u w:val="single"/>
              </w:rPr>
              <w:t>2018 webinars and online courses</w:t>
            </w:r>
            <w:r>
              <w:rPr>
                <w:sz w:val="24"/>
                <w:szCs w:val="24"/>
              </w:rPr>
              <w:t>: 20 events with 146 participants for a total of 141 training hours</w:t>
            </w:r>
          </w:p>
          <w:p w:rsidR="00690A66" w:rsidRDefault="00690A66" w:rsidP="00B07043">
            <w:pPr>
              <w:rPr>
                <w:sz w:val="24"/>
                <w:szCs w:val="24"/>
              </w:rPr>
            </w:pPr>
            <w:r>
              <w:rPr>
                <w:b/>
                <w:sz w:val="24"/>
                <w:szCs w:val="24"/>
                <w:u w:val="single"/>
              </w:rPr>
              <w:t>2019 in-person trainings</w:t>
            </w:r>
            <w:r>
              <w:rPr>
                <w:sz w:val="24"/>
                <w:szCs w:val="24"/>
              </w:rPr>
              <w:t>: Seven (7) events with 310 attendees for a total of 694.3 training hours (includes statewide meeting)</w:t>
            </w:r>
          </w:p>
          <w:p w:rsidR="00690A66" w:rsidRPr="00690A66" w:rsidRDefault="00690A66" w:rsidP="00B07043">
            <w:pPr>
              <w:rPr>
                <w:sz w:val="24"/>
                <w:szCs w:val="24"/>
              </w:rPr>
            </w:pPr>
            <w:r>
              <w:rPr>
                <w:b/>
                <w:sz w:val="24"/>
                <w:szCs w:val="24"/>
                <w:u w:val="single"/>
              </w:rPr>
              <w:t>2019 webinars and online courses</w:t>
            </w:r>
            <w:r>
              <w:rPr>
                <w:sz w:val="24"/>
                <w:szCs w:val="24"/>
              </w:rPr>
              <w:t>: 19 events with 103 participants for a total of 158.1 training hours</w:t>
            </w:r>
          </w:p>
        </w:tc>
      </w:tr>
      <w:tr w:rsidR="00385AC6" w:rsidTr="002065C9">
        <w:tc>
          <w:tcPr>
            <w:tcW w:w="3294" w:type="dxa"/>
            <w:vMerge/>
            <w:vAlign w:val="center"/>
          </w:tcPr>
          <w:p w:rsidR="00385AC6" w:rsidRDefault="00385AC6" w:rsidP="002065C9">
            <w:pPr>
              <w:jc w:val="center"/>
              <w:rPr>
                <w:sz w:val="24"/>
                <w:szCs w:val="24"/>
              </w:rPr>
            </w:pPr>
          </w:p>
        </w:tc>
        <w:tc>
          <w:tcPr>
            <w:tcW w:w="3294" w:type="dxa"/>
          </w:tcPr>
          <w:p w:rsidR="00385AC6" w:rsidRDefault="00385AC6" w:rsidP="00B07043">
            <w:pPr>
              <w:rPr>
                <w:sz w:val="24"/>
                <w:szCs w:val="24"/>
              </w:rPr>
            </w:pPr>
            <w:r>
              <w:rPr>
                <w:sz w:val="24"/>
                <w:szCs w:val="24"/>
              </w:rPr>
              <w:t>Hold monthly statewide conference calls and an annual TTBEP statewide meeting to discuss TB topics including the TTBEP Manual for improved prevention, detection, and treatment of TB.</w:t>
            </w:r>
          </w:p>
        </w:tc>
        <w:tc>
          <w:tcPr>
            <w:tcW w:w="3294" w:type="dxa"/>
          </w:tcPr>
          <w:p w:rsidR="00385AC6" w:rsidRDefault="00617B78" w:rsidP="00B07043">
            <w:pPr>
              <w:rPr>
                <w:sz w:val="24"/>
                <w:szCs w:val="24"/>
              </w:rPr>
            </w:pPr>
            <w:r>
              <w:rPr>
                <w:sz w:val="24"/>
                <w:szCs w:val="24"/>
              </w:rPr>
              <w:t>Monthly statewide conference calls for TTBEP staff planned with agenda and attendance records</w:t>
            </w:r>
            <w:r w:rsidR="00BF2C3F">
              <w:rPr>
                <w:sz w:val="24"/>
                <w:szCs w:val="24"/>
              </w:rPr>
              <w:t>.</w:t>
            </w:r>
          </w:p>
        </w:tc>
        <w:tc>
          <w:tcPr>
            <w:tcW w:w="3294" w:type="dxa"/>
          </w:tcPr>
          <w:p w:rsidR="00385AC6" w:rsidRDefault="00617B78" w:rsidP="00617B78">
            <w:pPr>
              <w:rPr>
                <w:sz w:val="24"/>
                <w:szCs w:val="24"/>
              </w:rPr>
            </w:pPr>
            <w:r>
              <w:rPr>
                <w:sz w:val="24"/>
                <w:szCs w:val="24"/>
              </w:rPr>
              <w:t>The decision was made in 2018 to have bi-monthly conference calls to accommodate staff.  Per the schedule, six (6) conference calls were held in 2018 and six (6) were held in 2019.</w:t>
            </w:r>
          </w:p>
        </w:tc>
      </w:tr>
      <w:tr w:rsidR="000A4814" w:rsidTr="00DA6D01">
        <w:trPr>
          <w:trHeight w:val="1529"/>
        </w:trPr>
        <w:tc>
          <w:tcPr>
            <w:tcW w:w="3294" w:type="dxa"/>
            <w:vMerge w:val="restart"/>
            <w:vAlign w:val="center"/>
          </w:tcPr>
          <w:p w:rsidR="000A4814" w:rsidRPr="002065C9" w:rsidRDefault="000A4814" w:rsidP="002065C9">
            <w:pPr>
              <w:jc w:val="center"/>
              <w:rPr>
                <w:b/>
                <w:sz w:val="24"/>
                <w:szCs w:val="24"/>
              </w:rPr>
            </w:pPr>
            <w:r>
              <w:rPr>
                <w:b/>
                <w:sz w:val="24"/>
                <w:szCs w:val="24"/>
                <w:u w:val="single"/>
              </w:rPr>
              <w:t>Object 2</w:t>
            </w:r>
            <w:r>
              <w:rPr>
                <w:b/>
                <w:sz w:val="24"/>
                <w:szCs w:val="24"/>
              </w:rPr>
              <w:t>: Establish evaluation strategies to improve existing systems and to identify ongoing training and human resource needs</w:t>
            </w:r>
          </w:p>
        </w:tc>
        <w:tc>
          <w:tcPr>
            <w:tcW w:w="3294" w:type="dxa"/>
            <w:vMerge w:val="restart"/>
          </w:tcPr>
          <w:p w:rsidR="000A4814" w:rsidRDefault="000A4814" w:rsidP="00B07043">
            <w:pPr>
              <w:rPr>
                <w:sz w:val="24"/>
                <w:szCs w:val="24"/>
              </w:rPr>
            </w:pPr>
            <w:r>
              <w:rPr>
                <w:sz w:val="24"/>
                <w:szCs w:val="24"/>
              </w:rPr>
              <w:t>TB education and training focal point will conduct an online survey of central office and regional TB staff to assess training and educational needs and preferred method(s) of delivery; suggestions will be explored to identify and promote opportunities throughout the following year.</w:t>
            </w:r>
          </w:p>
          <w:p w:rsidR="000A4814" w:rsidRDefault="000A4814" w:rsidP="00B07043">
            <w:pPr>
              <w:rPr>
                <w:sz w:val="24"/>
                <w:szCs w:val="24"/>
              </w:rPr>
            </w:pPr>
          </w:p>
          <w:p w:rsidR="000A4814" w:rsidRDefault="000A4814" w:rsidP="00B07043">
            <w:pPr>
              <w:rPr>
                <w:sz w:val="24"/>
                <w:szCs w:val="24"/>
              </w:rPr>
            </w:pPr>
          </w:p>
        </w:tc>
        <w:tc>
          <w:tcPr>
            <w:tcW w:w="3294" w:type="dxa"/>
            <w:vAlign w:val="center"/>
          </w:tcPr>
          <w:p w:rsidR="000A4814" w:rsidRDefault="000A4814" w:rsidP="00DA6D01">
            <w:pPr>
              <w:rPr>
                <w:sz w:val="24"/>
                <w:szCs w:val="24"/>
              </w:rPr>
            </w:pPr>
            <w:r>
              <w:rPr>
                <w:sz w:val="24"/>
                <w:szCs w:val="24"/>
              </w:rPr>
              <w:t>Distribute online survey, tabulate results, and identify educational needs</w:t>
            </w:r>
            <w:r w:rsidR="00BF2C3F">
              <w:rPr>
                <w:sz w:val="24"/>
                <w:szCs w:val="24"/>
              </w:rPr>
              <w:t>.</w:t>
            </w:r>
          </w:p>
        </w:tc>
        <w:tc>
          <w:tcPr>
            <w:tcW w:w="3294" w:type="dxa"/>
            <w:vMerge w:val="restart"/>
          </w:tcPr>
          <w:p w:rsidR="000A4814" w:rsidRDefault="00160190" w:rsidP="00B07043">
            <w:pPr>
              <w:rPr>
                <w:sz w:val="24"/>
                <w:szCs w:val="24"/>
              </w:rPr>
            </w:pPr>
            <w:r>
              <w:rPr>
                <w:sz w:val="24"/>
                <w:szCs w:val="24"/>
              </w:rPr>
              <w:t>All 12 regional TB program managers responded to the survey in 2018 and 2019 and results were discussed on statewide conference calls.  Results were communicated with the Southeastern National TB Center (SNTC) at their request to identify training needs for jurisdictions in the SNTC catchment area.  Recurring themes from both surveys included requests for information and education on TB treatment and diagnostics.</w:t>
            </w:r>
          </w:p>
        </w:tc>
      </w:tr>
      <w:tr w:rsidR="000A4814" w:rsidTr="00DA6D01">
        <w:trPr>
          <w:trHeight w:val="1528"/>
        </w:trPr>
        <w:tc>
          <w:tcPr>
            <w:tcW w:w="3294" w:type="dxa"/>
            <w:vMerge/>
            <w:vAlign w:val="center"/>
          </w:tcPr>
          <w:p w:rsidR="000A4814" w:rsidRDefault="000A4814" w:rsidP="002065C9">
            <w:pPr>
              <w:jc w:val="center"/>
              <w:rPr>
                <w:b/>
                <w:sz w:val="24"/>
                <w:szCs w:val="24"/>
                <w:u w:val="single"/>
              </w:rPr>
            </w:pPr>
          </w:p>
        </w:tc>
        <w:tc>
          <w:tcPr>
            <w:tcW w:w="3294" w:type="dxa"/>
            <w:vMerge/>
          </w:tcPr>
          <w:p w:rsidR="000A4814" w:rsidRDefault="000A4814" w:rsidP="00B07043">
            <w:pPr>
              <w:rPr>
                <w:sz w:val="24"/>
                <w:szCs w:val="24"/>
              </w:rPr>
            </w:pPr>
          </w:p>
        </w:tc>
        <w:tc>
          <w:tcPr>
            <w:tcW w:w="3294" w:type="dxa"/>
            <w:vAlign w:val="center"/>
          </w:tcPr>
          <w:p w:rsidR="000A4814" w:rsidRDefault="00BF2C3F" w:rsidP="00DA6D01">
            <w:pPr>
              <w:rPr>
                <w:sz w:val="24"/>
                <w:szCs w:val="24"/>
              </w:rPr>
            </w:pPr>
            <w:r>
              <w:rPr>
                <w:sz w:val="24"/>
                <w:szCs w:val="24"/>
              </w:rPr>
              <w:t>Outcomes of surveys communicated on subsequent statewide conference calls and used to plan future statewide conference calls and annual statewide meeting.</w:t>
            </w:r>
          </w:p>
        </w:tc>
        <w:tc>
          <w:tcPr>
            <w:tcW w:w="3294" w:type="dxa"/>
            <w:vMerge/>
          </w:tcPr>
          <w:p w:rsidR="000A4814" w:rsidRDefault="000A4814" w:rsidP="00B07043">
            <w:pPr>
              <w:rPr>
                <w:sz w:val="24"/>
                <w:szCs w:val="24"/>
              </w:rPr>
            </w:pPr>
          </w:p>
        </w:tc>
      </w:tr>
      <w:tr w:rsidR="003F6A09" w:rsidTr="003F6A09">
        <w:trPr>
          <w:trHeight w:val="892"/>
        </w:trPr>
        <w:tc>
          <w:tcPr>
            <w:tcW w:w="3294" w:type="dxa"/>
            <w:vMerge w:val="restart"/>
            <w:vAlign w:val="center"/>
          </w:tcPr>
          <w:p w:rsidR="003F6A09" w:rsidRPr="00363877" w:rsidRDefault="003F6A09" w:rsidP="002065C9">
            <w:pPr>
              <w:jc w:val="center"/>
              <w:rPr>
                <w:b/>
                <w:sz w:val="24"/>
                <w:szCs w:val="24"/>
              </w:rPr>
            </w:pPr>
            <w:r>
              <w:rPr>
                <w:b/>
                <w:sz w:val="24"/>
                <w:szCs w:val="24"/>
                <w:u w:val="single"/>
              </w:rPr>
              <w:t>Objective 3</w:t>
            </w:r>
            <w:r>
              <w:rPr>
                <w:b/>
                <w:sz w:val="24"/>
                <w:szCs w:val="24"/>
              </w:rPr>
              <w:t>: Establish and improve education and communications capacity within the program</w:t>
            </w:r>
          </w:p>
        </w:tc>
        <w:tc>
          <w:tcPr>
            <w:tcW w:w="3294" w:type="dxa"/>
            <w:vMerge w:val="restart"/>
          </w:tcPr>
          <w:p w:rsidR="003F6A09" w:rsidRDefault="003F6A09" w:rsidP="00B07043">
            <w:pPr>
              <w:rPr>
                <w:sz w:val="24"/>
                <w:szCs w:val="24"/>
              </w:rPr>
            </w:pPr>
            <w:r>
              <w:rPr>
                <w:sz w:val="24"/>
                <w:szCs w:val="24"/>
              </w:rPr>
              <w:t>At least two (2) in-service training sessions (via webinar or in-person) will be identified, developed, and delivered to meet the needs identified by TTBEP central office and regional TB staff.</w:t>
            </w:r>
          </w:p>
        </w:tc>
        <w:tc>
          <w:tcPr>
            <w:tcW w:w="3294" w:type="dxa"/>
          </w:tcPr>
          <w:p w:rsidR="003F6A09" w:rsidRDefault="003F6A09" w:rsidP="00B07043">
            <w:pPr>
              <w:rPr>
                <w:sz w:val="24"/>
                <w:szCs w:val="24"/>
              </w:rPr>
            </w:pPr>
            <w:r>
              <w:rPr>
                <w:sz w:val="24"/>
                <w:szCs w:val="24"/>
              </w:rPr>
              <w:t>Access CDC and Center of Excellence (COE) websites to identify appropriate training materials; utilize regional TB staff expertise and invited guest speakers.</w:t>
            </w:r>
          </w:p>
        </w:tc>
        <w:tc>
          <w:tcPr>
            <w:tcW w:w="3294" w:type="dxa"/>
            <w:vMerge w:val="restart"/>
          </w:tcPr>
          <w:p w:rsidR="003F6A09" w:rsidRDefault="00D43B15" w:rsidP="00D43B15">
            <w:pPr>
              <w:rPr>
                <w:sz w:val="24"/>
                <w:szCs w:val="24"/>
              </w:rPr>
            </w:pPr>
            <w:r>
              <w:rPr>
                <w:sz w:val="24"/>
                <w:szCs w:val="24"/>
              </w:rPr>
              <w:t>During the 2018 annual statewide meeting, five (5) regional or state TB staff presented at the meeting.  The clinical symposium held that same year included invited speakers from two (2) academic-affiliated hospitals, state Medical Examiner’s office, SNTC, and regional TB programs. The 2019 statewide meeting included interactive discussions from all regional TB programs related to engaging community partners.</w:t>
            </w:r>
          </w:p>
        </w:tc>
      </w:tr>
      <w:tr w:rsidR="003F6A09" w:rsidTr="00D43B15">
        <w:trPr>
          <w:trHeight w:val="892"/>
        </w:trPr>
        <w:tc>
          <w:tcPr>
            <w:tcW w:w="3294" w:type="dxa"/>
            <w:vMerge/>
            <w:vAlign w:val="center"/>
          </w:tcPr>
          <w:p w:rsidR="003F6A09" w:rsidRDefault="003F6A09" w:rsidP="002065C9">
            <w:pPr>
              <w:jc w:val="center"/>
              <w:rPr>
                <w:b/>
                <w:sz w:val="24"/>
                <w:szCs w:val="24"/>
                <w:u w:val="single"/>
              </w:rPr>
            </w:pPr>
          </w:p>
        </w:tc>
        <w:tc>
          <w:tcPr>
            <w:tcW w:w="3294" w:type="dxa"/>
            <w:vMerge/>
          </w:tcPr>
          <w:p w:rsidR="003F6A09" w:rsidRDefault="003F6A09" w:rsidP="00B07043">
            <w:pPr>
              <w:rPr>
                <w:sz w:val="24"/>
                <w:szCs w:val="24"/>
              </w:rPr>
            </w:pPr>
          </w:p>
        </w:tc>
        <w:tc>
          <w:tcPr>
            <w:tcW w:w="3294" w:type="dxa"/>
            <w:vAlign w:val="center"/>
          </w:tcPr>
          <w:p w:rsidR="003F6A09" w:rsidRDefault="003F6A09" w:rsidP="00D43B15">
            <w:pPr>
              <w:rPr>
                <w:sz w:val="24"/>
                <w:szCs w:val="24"/>
              </w:rPr>
            </w:pPr>
            <w:r>
              <w:rPr>
                <w:sz w:val="24"/>
                <w:szCs w:val="24"/>
              </w:rPr>
              <w:t>Deliver and evaluate training sessions.</w:t>
            </w:r>
          </w:p>
        </w:tc>
        <w:tc>
          <w:tcPr>
            <w:tcW w:w="3294" w:type="dxa"/>
            <w:vMerge/>
          </w:tcPr>
          <w:p w:rsidR="003F6A09" w:rsidRDefault="003F6A09" w:rsidP="00B07043">
            <w:pPr>
              <w:rPr>
                <w:sz w:val="24"/>
                <w:szCs w:val="24"/>
              </w:rPr>
            </w:pPr>
          </w:p>
        </w:tc>
      </w:tr>
      <w:tr w:rsidR="009E3DAA" w:rsidTr="009E3DAA">
        <w:trPr>
          <w:trHeight w:val="679"/>
        </w:trPr>
        <w:tc>
          <w:tcPr>
            <w:tcW w:w="3294" w:type="dxa"/>
            <w:vMerge w:val="restart"/>
            <w:vAlign w:val="center"/>
          </w:tcPr>
          <w:p w:rsidR="009E3DAA" w:rsidRPr="00935479" w:rsidRDefault="009E3DAA" w:rsidP="002065C9">
            <w:pPr>
              <w:jc w:val="center"/>
              <w:rPr>
                <w:b/>
                <w:sz w:val="24"/>
                <w:szCs w:val="24"/>
              </w:rPr>
            </w:pPr>
            <w:r>
              <w:rPr>
                <w:b/>
                <w:sz w:val="24"/>
                <w:szCs w:val="24"/>
                <w:u w:val="single"/>
              </w:rPr>
              <w:t>Objective 4</w:t>
            </w:r>
            <w:r>
              <w:rPr>
                <w:b/>
                <w:sz w:val="24"/>
                <w:szCs w:val="24"/>
              </w:rPr>
              <w:t>: Coordinate training related to TB control with training for other disease control interventions such as HIV/AIDS, viral hepatitis, and STD</w:t>
            </w:r>
          </w:p>
        </w:tc>
        <w:tc>
          <w:tcPr>
            <w:tcW w:w="3294" w:type="dxa"/>
            <w:vMerge w:val="restart"/>
          </w:tcPr>
          <w:p w:rsidR="009E3DAA" w:rsidRDefault="009E3DAA" w:rsidP="00B07043">
            <w:pPr>
              <w:rPr>
                <w:sz w:val="24"/>
                <w:szCs w:val="24"/>
              </w:rPr>
            </w:pPr>
            <w:r>
              <w:rPr>
                <w:sz w:val="24"/>
                <w:szCs w:val="24"/>
              </w:rPr>
              <w:t>Throughout the year, TB central office staff will provide education to and learn about other disease control program interventions (including HIV and STD programs) via participation in and presentations to programs</w:t>
            </w:r>
            <w:r w:rsidR="001F05BE">
              <w:rPr>
                <w:sz w:val="24"/>
                <w:szCs w:val="24"/>
              </w:rPr>
              <w:t>.</w:t>
            </w:r>
          </w:p>
        </w:tc>
        <w:tc>
          <w:tcPr>
            <w:tcW w:w="3294" w:type="dxa"/>
          </w:tcPr>
          <w:p w:rsidR="009E3DAA" w:rsidRDefault="001F05BE" w:rsidP="00B07043">
            <w:pPr>
              <w:rPr>
                <w:sz w:val="24"/>
                <w:szCs w:val="24"/>
              </w:rPr>
            </w:pPr>
            <w:r>
              <w:rPr>
                <w:sz w:val="24"/>
                <w:szCs w:val="24"/>
              </w:rPr>
              <w:t>Attend and present TB issues at a weekly communicable disease surveillance meeting that includes all programs within the Communicable and Environmental Disease and Emergency Preparedness (CEDEP) at the Tennessee Department of Health.</w:t>
            </w:r>
          </w:p>
        </w:tc>
        <w:tc>
          <w:tcPr>
            <w:tcW w:w="3294" w:type="dxa"/>
          </w:tcPr>
          <w:p w:rsidR="009E3DAA" w:rsidRDefault="00BA6055" w:rsidP="00B07043">
            <w:pPr>
              <w:rPr>
                <w:sz w:val="24"/>
                <w:szCs w:val="24"/>
              </w:rPr>
            </w:pPr>
            <w:r>
              <w:rPr>
                <w:sz w:val="24"/>
                <w:szCs w:val="24"/>
              </w:rPr>
              <w:t>At least one (1) central office TB program attended the weekly CEDEP meetings to provide TB programmatic updates to the group.</w:t>
            </w:r>
          </w:p>
        </w:tc>
      </w:tr>
      <w:tr w:rsidR="009E3DAA" w:rsidTr="002065C9">
        <w:trPr>
          <w:trHeight w:val="678"/>
        </w:trPr>
        <w:tc>
          <w:tcPr>
            <w:tcW w:w="3294" w:type="dxa"/>
            <w:vMerge/>
            <w:vAlign w:val="center"/>
          </w:tcPr>
          <w:p w:rsidR="009E3DAA" w:rsidRDefault="009E3DAA" w:rsidP="002065C9">
            <w:pPr>
              <w:jc w:val="center"/>
              <w:rPr>
                <w:b/>
                <w:sz w:val="24"/>
                <w:szCs w:val="24"/>
                <w:u w:val="single"/>
              </w:rPr>
            </w:pPr>
          </w:p>
        </w:tc>
        <w:tc>
          <w:tcPr>
            <w:tcW w:w="3294" w:type="dxa"/>
            <w:vMerge/>
          </w:tcPr>
          <w:p w:rsidR="009E3DAA" w:rsidRDefault="009E3DAA" w:rsidP="00B07043">
            <w:pPr>
              <w:rPr>
                <w:sz w:val="24"/>
                <w:szCs w:val="24"/>
              </w:rPr>
            </w:pPr>
          </w:p>
        </w:tc>
        <w:tc>
          <w:tcPr>
            <w:tcW w:w="3294" w:type="dxa"/>
          </w:tcPr>
          <w:p w:rsidR="009E3DAA" w:rsidRDefault="001F05BE" w:rsidP="00B07043">
            <w:pPr>
              <w:rPr>
                <w:sz w:val="24"/>
                <w:szCs w:val="24"/>
              </w:rPr>
            </w:pPr>
            <w:r>
              <w:rPr>
                <w:sz w:val="24"/>
                <w:szCs w:val="24"/>
              </w:rPr>
              <w:t>Attend and present TB updates on a monthly CEDEP conference call that includes communicable disease program staff from all Tennessee public health regions.</w:t>
            </w:r>
          </w:p>
        </w:tc>
        <w:tc>
          <w:tcPr>
            <w:tcW w:w="3294" w:type="dxa"/>
          </w:tcPr>
          <w:p w:rsidR="009E3DAA" w:rsidRDefault="00BA6055" w:rsidP="00B07043">
            <w:pPr>
              <w:rPr>
                <w:sz w:val="24"/>
                <w:szCs w:val="24"/>
              </w:rPr>
            </w:pPr>
            <w:r>
              <w:rPr>
                <w:sz w:val="24"/>
                <w:szCs w:val="24"/>
              </w:rPr>
              <w:t>At least one (1) central office TB program staff participated on the monthly CEDEP conference calls to provide TB programmatic updates.</w:t>
            </w:r>
          </w:p>
        </w:tc>
      </w:tr>
      <w:tr w:rsidR="009E3DAA" w:rsidTr="002065C9">
        <w:trPr>
          <w:trHeight w:val="678"/>
        </w:trPr>
        <w:tc>
          <w:tcPr>
            <w:tcW w:w="3294" w:type="dxa"/>
            <w:vMerge/>
            <w:vAlign w:val="center"/>
          </w:tcPr>
          <w:p w:rsidR="009E3DAA" w:rsidRDefault="009E3DAA" w:rsidP="002065C9">
            <w:pPr>
              <w:jc w:val="center"/>
              <w:rPr>
                <w:b/>
                <w:sz w:val="24"/>
                <w:szCs w:val="24"/>
                <w:u w:val="single"/>
              </w:rPr>
            </w:pPr>
          </w:p>
        </w:tc>
        <w:tc>
          <w:tcPr>
            <w:tcW w:w="3294" w:type="dxa"/>
            <w:vMerge/>
          </w:tcPr>
          <w:p w:rsidR="009E3DAA" w:rsidRDefault="009E3DAA" w:rsidP="00B07043">
            <w:pPr>
              <w:rPr>
                <w:sz w:val="24"/>
                <w:szCs w:val="24"/>
              </w:rPr>
            </w:pPr>
          </w:p>
        </w:tc>
        <w:tc>
          <w:tcPr>
            <w:tcW w:w="3294" w:type="dxa"/>
          </w:tcPr>
          <w:p w:rsidR="009E3DAA" w:rsidRDefault="001F05BE" w:rsidP="00B07043">
            <w:pPr>
              <w:rPr>
                <w:sz w:val="24"/>
                <w:szCs w:val="24"/>
              </w:rPr>
            </w:pPr>
            <w:r>
              <w:rPr>
                <w:sz w:val="24"/>
                <w:szCs w:val="24"/>
              </w:rPr>
              <w:t>Attend and present TB updates at the semi-annual statewide CEDEP meetings.</w:t>
            </w:r>
          </w:p>
        </w:tc>
        <w:tc>
          <w:tcPr>
            <w:tcW w:w="3294" w:type="dxa"/>
          </w:tcPr>
          <w:p w:rsidR="009E3DAA" w:rsidRDefault="002C6147" w:rsidP="00B07043">
            <w:pPr>
              <w:rPr>
                <w:sz w:val="24"/>
                <w:szCs w:val="24"/>
              </w:rPr>
            </w:pPr>
            <w:r>
              <w:rPr>
                <w:sz w:val="24"/>
                <w:szCs w:val="24"/>
              </w:rPr>
              <w:t>Central office TB program staff attended the semi-annual statewide CEDEP meetings in 2018 and 2019.  In 2019, the TTBEP program manager presented on the TB program’s work with the Tennessee Department of Correction regarding intake testing.</w:t>
            </w:r>
          </w:p>
        </w:tc>
      </w:tr>
      <w:tr w:rsidR="00935479" w:rsidTr="002065C9">
        <w:tc>
          <w:tcPr>
            <w:tcW w:w="3294" w:type="dxa"/>
            <w:vAlign w:val="center"/>
          </w:tcPr>
          <w:p w:rsidR="00935479" w:rsidRPr="00935479" w:rsidRDefault="00935479" w:rsidP="002065C9">
            <w:pPr>
              <w:jc w:val="center"/>
              <w:rPr>
                <w:b/>
                <w:sz w:val="24"/>
                <w:szCs w:val="24"/>
              </w:rPr>
            </w:pPr>
            <w:r>
              <w:rPr>
                <w:b/>
                <w:sz w:val="24"/>
                <w:szCs w:val="24"/>
                <w:u w:val="single"/>
              </w:rPr>
              <w:t>Objective 5</w:t>
            </w:r>
            <w:r>
              <w:rPr>
                <w:b/>
                <w:sz w:val="24"/>
                <w:szCs w:val="24"/>
              </w:rPr>
              <w:t>: Target other health care providers and organizations serving high-risk populations</w:t>
            </w:r>
          </w:p>
        </w:tc>
        <w:tc>
          <w:tcPr>
            <w:tcW w:w="3294" w:type="dxa"/>
          </w:tcPr>
          <w:p w:rsidR="00935479" w:rsidRDefault="002C6147" w:rsidP="00B07043">
            <w:pPr>
              <w:rPr>
                <w:sz w:val="24"/>
                <w:szCs w:val="24"/>
              </w:rPr>
            </w:pPr>
            <w:r>
              <w:rPr>
                <w:sz w:val="24"/>
                <w:szCs w:val="24"/>
              </w:rPr>
              <w:t>Every other year, TTBEP will host a clinical TB update for regional and local TB staff as well as medical providers throughout the state.</w:t>
            </w:r>
          </w:p>
        </w:tc>
        <w:tc>
          <w:tcPr>
            <w:tcW w:w="3294" w:type="dxa"/>
          </w:tcPr>
          <w:p w:rsidR="00935479" w:rsidRDefault="002C6147" w:rsidP="00B07043">
            <w:pPr>
              <w:rPr>
                <w:sz w:val="24"/>
                <w:szCs w:val="24"/>
              </w:rPr>
            </w:pPr>
            <w:r>
              <w:rPr>
                <w:sz w:val="24"/>
                <w:szCs w:val="24"/>
              </w:rPr>
              <w:t>Program evaluations from participants are used to plan future clinical updates.</w:t>
            </w:r>
          </w:p>
        </w:tc>
        <w:tc>
          <w:tcPr>
            <w:tcW w:w="3294" w:type="dxa"/>
          </w:tcPr>
          <w:p w:rsidR="00935479" w:rsidRDefault="002C6147" w:rsidP="00B07043">
            <w:pPr>
              <w:rPr>
                <w:sz w:val="24"/>
                <w:szCs w:val="24"/>
              </w:rPr>
            </w:pPr>
            <w:r>
              <w:rPr>
                <w:b/>
                <w:sz w:val="24"/>
                <w:szCs w:val="24"/>
                <w:u w:val="single"/>
              </w:rPr>
              <w:t>2018</w:t>
            </w:r>
            <w:r>
              <w:rPr>
                <w:sz w:val="24"/>
                <w:szCs w:val="24"/>
              </w:rPr>
              <w:t>: A statewide TB Clinical Symposium was held on November 1, 2018.  Number of participants and general affiliations were:</w:t>
            </w:r>
          </w:p>
          <w:p w:rsidR="002C6147" w:rsidRDefault="002C6147" w:rsidP="00B07043">
            <w:pPr>
              <w:rPr>
                <w:sz w:val="24"/>
                <w:szCs w:val="24"/>
              </w:rPr>
            </w:pPr>
            <w:r>
              <w:rPr>
                <w:sz w:val="24"/>
                <w:szCs w:val="24"/>
              </w:rPr>
              <w:t>Regional TB staff: 47</w:t>
            </w:r>
          </w:p>
          <w:p w:rsidR="002C6147" w:rsidRDefault="002C6147" w:rsidP="00B07043">
            <w:pPr>
              <w:rPr>
                <w:sz w:val="24"/>
                <w:szCs w:val="24"/>
              </w:rPr>
            </w:pPr>
            <w:r>
              <w:rPr>
                <w:sz w:val="24"/>
                <w:szCs w:val="24"/>
              </w:rPr>
              <w:t>State TB staff: 11</w:t>
            </w:r>
          </w:p>
          <w:p w:rsidR="002C6147" w:rsidRDefault="002C6147" w:rsidP="00B07043">
            <w:pPr>
              <w:rPr>
                <w:sz w:val="24"/>
                <w:szCs w:val="24"/>
              </w:rPr>
            </w:pPr>
            <w:r>
              <w:rPr>
                <w:sz w:val="24"/>
                <w:szCs w:val="24"/>
              </w:rPr>
              <w:t>TB staff from other states: 10</w:t>
            </w:r>
          </w:p>
          <w:p w:rsidR="002C6147" w:rsidRDefault="002C6147" w:rsidP="00B07043">
            <w:pPr>
              <w:rPr>
                <w:sz w:val="24"/>
                <w:szCs w:val="24"/>
              </w:rPr>
            </w:pPr>
            <w:r>
              <w:rPr>
                <w:sz w:val="24"/>
                <w:szCs w:val="24"/>
              </w:rPr>
              <w:t>SNTC: 3</w:t>
            </w:r>
          </w:p>
          <w:p w:rsidR="002C6147" w:rsidRDefault="002C6147" w:rsidP="00B07043">
            <w:pPr>
              <w:rPr>
                <w:sz w:val="24"/>
                <w:szCs w:val="24"/>
              </w:rPr>
            </w:pPr>
            <w:r>
              <w:rPr>
                <w:sz w:val="24"/>
                <w:szCs w:val="24"/>
              </w:rPr>
              <w:t>Other Tennessee agencies: 3</w:t>
            </w:r>
          </w:p>
          <w:p w:rsidR="002C6147" w:rsidRDefault="002C6147" w:rsidP="00B07043">
            <w:pPr>
              <w:rPr>
                <w:sz w:val="24"/>
                <w:szCs w:val="24"/>
              </w:rPr>
            </w:pPr>
            <w:r>
              <w:rPr>
                <w:sz w:val="24"/>
                <w:szCs w:val="24"/>
              </w:rPr>
              <w:t>Hospital/university: 11</w:t>
            </w:r>
          </w:p>
          <w:p w:rsidR="002C6147" w:rsidRDefault="002C6147" w:rsidP="00B07043">
            <w:pPr>
              <w:rPr>
                <w:sz w:val="24"/>
                <w:szCs w:val="24"/>
              </w:rPr>
            </w:pPr>
            <w:r>
              <w:rPr>
                <w:sz w:val="24"/>
                <w:szCs w:val="24"/>
              </w:rPr>
              <w:t>Other Tennessee Department of Health disease program: 1</w:t>
            </w:r>
          </w:p>
          <w:p w:rsidR="001A5972" w:rsidRPr="001A5972" w:rsidRDefault="001A5972" w:rsidP="001A5972">
            <w:pPr>
              <w:rPr>
                <w:sz w:val="24"/>
                <w:szCs w:val="24"/>
              </w:rPr>
            </w:pPr>
            <w:r>
              <w:rPr>
                <w:b/>
                <w:sz w:val="24"/>
                <w:szCs w:val="24"/>
                <w:u w:val="single"/>
              </w:rPr>
              <w:t>2019</w:t>
            </w:r>
            <w:r>
              <w:rPr>
                <w:sz w:val="24"/>
                <w:szCs w:val="24"/>
              </w:rPr>
              <w:t>: In observance of World TB Day on March 24, 2019, the TB program displayed a poster in the lobby of the Department of Health building and held an “It’s Time to End TB” facts contest where the winner won a Fitbit Charge 3.  The TTBEP medical director provided TB education as an exhibitor at the 71</w:t>
            </w:r>
            <w:r w:rsidRPr="001A5972">
              <w:rPr>
                <w:sz w:val="24"/>
                <w:szCs w:val="24"/>
                <w:vertAlign w:val="superscript"/>
              </w:rPr>
              <w:t>st</w:t>
            </w:r>
            <w:r>
              <w:rPr>
                <w:sz w:val="24"/>
                <w:szCs w:val="24"/>
              </w:rPr>
              <w:t xml:space="preserve"> Tennessee Scientific Academy of Family Physician Scientific Assembly meeting.</w:t>
            </w:r>
          </w:p>
        </w:tc>
      </w:tr>
    </w:tbl>
    <w:p w:rsidR="002065C9" w:rsidRDefault="002065C9" w:rsidP="00B07043">
      <w:pPr>
        <w:spacing w:after="0" w:line="240" w:lineRule="auto"/>
        <w:rPr>
          <w:sz w:val="24"/>
          <w:szCs w:val="24"/>
        </w:rPr>
      </w:pPr>
    </w:p>
    <w:p w:rsidR="004256A8" w:rsidRDefault="004256A8" w:rsidP="00B07043">
      <w:pPr>
        <w:spacing w:after="0" w:line="240" w:lineRule="auto"/>
        <w:rPr>
          <w:sz w:val="24"/>
          <w:szCs w:val="24"/>
        </w:rPr>
      </w:pPr>
    </w:p>
    <w:p w:rsidR="004256A8" w:rsidRDefault="004256A8" w:rsidP="00B07043">
      <w:pPr>
        <w:spacing w:after="0" w:line="240" w:lineRule="auto"/>
        <w:rPr>
          <w:sz w:val="24"/>
          <w:szCs w:val="24"/>
        </w:rPr>
      </w:pPr>
    </w:p>
    <w:p w:rsidR="004256A8" w:rsidRDefault="004256A8" w:rsidP="00B07043">
      <w:pPr>
        <w:spacing w:after="0" w:line="240" w:lineRule="auto"/>
        <w:rPr>
          <w:sz w:val="24"/>
          <w:szCs w:val="24"/>
        </w:rPr>
      </w:pPr>
    </w:p>
    <w:p w:rsidR="004256A8" w:rsidRDefault="004256A8" w:rsidP="00B07043">
      <w:pPr>
        <w:spacing w:after="0" w:line="240" w:lineRule="auto"/>
        <w:rPr>
          <w:sz w:val="24"/>
          <w:szCs w:val="24"/>
        </w:rPr>
      </w:pPr>
    </w:p>
    <w:p w:rsidR="004256A8" w:rsidRDefault="004256A8" w:rsidP="00B07043">
      <w:pPr>
        <w:spacing w:after="0" w:line="240" w:lineRule="auto"/>
        <w:rPr>
          <w:sz w:val="24"/>
          <w:szCs w:val="24"/>
        </w:rPr>
      </w:pPr>
    </w:p>
    <w:p w:rsidR="004256A8" w:rsidRDefault="004256A8" w:rsidP="00B07043">
      <w:pPr>
        <w:spacing w:after="0" w:line="240" w:lineRule="auto"/>
        <w:rPr>
          <w:sz w:val="24"/>
          <w:szCs w:val="24"/>
        </w:rPr>
      </w:pPr>
    </w:p>
    <w:p w:rsidR="004256A8" w:rsidRDefault="004256A8" w:rsidP="00B07043">
      <w:pPr>
        <w:spacing w:after="0" w:line="240" w:lineRule="auto"/>
        <w:rPr>
          <w:sz w:val="24"/>
          <w:szCs w:val="24"/>
        </w:rPr>
      </w:pPr>
    </w:p>
    <w:p w:rsidR="004256A8" w:rsidRDefault="004256A8" w:rsidP="00B07043">
      <w:pPr>
        <w:spacing w:after="0" w:line="240" w:lineRule="auto"/>
        <w:rPr>
          <w:sz w:val="24"/>
          <w:szCs w:val="24"/>
        </w:rPr>
      </w:pPr>
    </w:p>
    <w:p w:rsidR="004256A8" w:rsidRPr="002063D8" w:rsidRDefault="004256A8" w:rsidP="004256A8">
      <w:pPr>
        <w:spacing w:after="0" w:line="240" w:lineRule="auto"/>
        <w:rPr>
          <w:b/>
          <w:sz w:val="24"/>
          <w:szCs w:val="24"/>
        </w:rPr>
      </w:pPr>
      <w:r>
        <w:rPr>
          <w:b/>
          <w:sz w:val="24"/>
          <w:szCs w:val="24"/>
        </w:rPr>
        <w:t>Table 12.  Human Resources Development—Overview of Activities, 2015-2017</w:t>
      </w:r>
    </w:p>
    <w:tbl>
      <w:tblPr>
        <w:tblStyle w:val="TableGrid"/>
        <w:tblW w:w="0" w:type="auto"/>
        <w:tblLook w:val="04A0" w:firstRow="1" w:lastRow="0" w:firstColumn="1" w:lastColumn="0" w:noHBand="0" w:noVBand="1"/>
      </w:tblPr>
      <w:tblGrid>
        <w:gridCol w:w="1728"/>
        <w:gridCol w:w="3870"/>
        <w:gridCol w:w="7578"/>
      </w:tblGrid>
      <w:tr w:rsidR="004256A8" w:rsidTr="004256A8">
        <w:tc>
          <w:tcPr>
            <w:tcW w:w="1728" w:type="dxa"/>
            <w:shd w:val="clear" w:color="auto" w:fill="D9D9D9" w:themeFill="background1" w:themeFillShade="D9"/>
          </w:tcPr>
          <w:p w:rsidR="004256A8" w:rsidRPr="004256A8" w:rsidRDefault="004256A8" w:rsidP="004256A8">
            <w:pPr>
              <w:jc w:val="center"/>
              <w:rPr>
                <w:b/>
                <w:sz w:val="24"/>
                <w:szCs w:val="24"/>
              </w:rPr>
            </w:pPr>
            <w:r>
              <w:rPr>
                <w:b/>
                <w:sz w:val="24"/>
                <w:szCs w:val="24"/>
              </w:rPr>
              <w:t>Year</w:t>
            </w:r>
          </w:p>
        </w:tc>
        <w:tc>
          <w:tcPr>
            <w:tcW w:w="3870" w:type="dxa"/>
            <w:shd w:val="clear" w:color="auto" w:fill="D9D9D9" w:themeFill="background1" w:themeFillShade="D9"/>
          </w:tcPr>
          <w:p w:rsidR="004256A8" w:rsidRPr="004256A8" w:rsidRDefault="004256A8" w:rsidP="004256A8">
            <w:pPr>
              <w:jc w:val="center"/>
              <w:rPr>
                <w:b/>
                <w:sz w:val="24"/>
                <w:szCs w:val="24"/>
              </w:rPr>
            </w:pPr>
            <w:r>
              <w:rPr>
                <w:b/>
                <w:sz w:val="24"/>
                <w:szCs w:val="24"/>
              </w:rPr>
              <w:t>Objectives</w:t>
            </w:r>
          </w:p>
        </w:tc>
        <w:tc>
          <w:tcPr>
            <w:tcW w:w="7578" w:type="dxa"/>
            <w:shd w:val="clear" w:color="auto" w:fill="D9D9D9" w:themeFill="background1" w:themeFillShade="D9"/>
          </w:tcPr>
          <w:p w:rsidR="004256A8" w:rsidRPr="004256A8" w:rsidRDefault="004256A8" w:rsidP="004256A8">
            <w:pPr>
              <w:jc w:val="center"/>
              <w:rPr>
                <w:b/>
                <w:sz w:val="24"/>
                <w:szCs w:val="24"/>
              </w:rPr>
            </w:pPr>
            <w:r>
              <w:rPr>
                <w:b/>
                <w:sz w:val="24"/>
                <w:szCs w:val="24"/>
              </w:rPr>
              <w:t>Activities</w:t>
            </w:r>
          </w:p>
        </w:tc>
      </w:tr>
      <w:tr w:rsidR="005D464D" w:rsidTr="004256A8">
        <w:tc>
          <w:tcPr>
            <w:tcW w:w="1728" w:type="dxa"/>
          </w:tcPr>
          <w:p w:rsidR="005D464D" w:rsidRDefault="005D464D" w:rsidP="004256A8">
            <w:pPr>
              <w:jc w:val="center"/>
              <w:rPr>
                <w:sz w:val="24"/>
                <w:szCs w:val="24"/>
              </w:rPr>
            </w:pPr>
            <w:r>
              <w:rPr>
                <w:sz w:val="24"/>
                <w:szCs w:val="24"/>
              </w:rPr>
              <w:t>2015</w:t>
            </w:r>
          </w:p>
        </w:tc>
        <w:tc>
          <w:tcPr>
            <w:tcW w:w="3870" w:type="dxa"/>
            <w:vMerge w:val="restart"/>
          </w:tcPr>
          <w:p w:rsidR="005D464D" w:rsidRDefault="005D464D" w:rsidP="005D464D">
            <w:pPr>
              <w:pStyle w:val="ListParagraph"/>
              <w:numPr>
                <w:ilvl w:val="0"/>
                <w:numId w:val="13"/>
              </w:numPr>
              <w:ind w:left="342"/>
              <w:rPr>
                <w:sz w:val="24"/>
                <w:szCs w:val="24"/>
              </w:rPr>
            </w:pPr>
            <w:r>
              <w:rPr>
                <w:sz w:val="24"/>
                <w:szCs w:val="24"/>
              </w:rPr>
              <w:t>Establish and improve existing in-service TB training and human resource development</w:t>
            </w:r>
          </w:p>
          <w:p w:rsidR="005D464D" w:rsidRDefault="005D464D" w:rsidP="005D464D">
            <w:pPr>
              <w:pStyle w:val="ListParagraph"/>
              <w:numPr>
                <w:ilvl w:val="0"/>
                <w:numId w:val="13"/>
              </w:numPr>
              <w:ind w:left="342"/>
              <w:rPr>
                <w:sz w:val="24"/>
                <w:szCs w:val="24"/>
              </w:rPr>
            </w:pPr>
            <w:r>
              <w:rPr>
                <w:sz w:val="24"/>
                <w:szCs w:val="24"/>
              </w:rPr>
              <w:t>Establish evaluation strategies to improve existing systems and to identify ongoing training and human resource needs</w:t>
            </w:r>
          </w:p>
          <w:p w:rsidR="005D464D" w:rsidRDefault="005D464D" w:rsidP="005D464D">
            <w:pPr>
              <w:pStyle w:val="ListParagraph"/>
              <w:numPr>
                <w:ilvl w:val="0"/>
                <w:numId w:val="13"/>
              </w:numPr>
              <w:ind w:left="342"/>
              <w:rPr>
                <w:sz w:val="24"/>
                <w:szCs w:val="24"/>
              </w:rPr>
            </w:pPr>
            <w:r>
              <w:rPr>
                <w:sz w:val="24"/>
                <w:szCs w:val="24"/>
              </w:rPr>
              <w:t>Establish and improve patient education and communications capacity within the program</w:t>
            </w:r>
          </w:p>
          <w:p w:rsidR="005D464D" w:rsidRDefault="005D464D" w:rsidP="005D464D">
            <w:pPr>
              <w:pStyle w:val="ListParagraph"/>
              <w:numPr>
                <w:ilvl w:val="0"/>
                <w:numId w:val="13"/>
              </w:numPr>
              <w:ind w:left="342"/>
              <w:rPr>
                <w:sz w:val="24"/>
                <w:szCs w:val="24"/>
              </w:rPr>
            </w:pPr>
            <w:r>
              <w:rPr>
                <w:sz w:val="24"/>
                <w:szCs w:val="24"/>
              </w:rPr>
              <w:t>Coordinate training related to TB control with training for other disease control interventions such as HIV/AIDS, viral hepatitis and STD</w:t>
            </w:r>
          </w:p>
          <w:p w:rsidR="005D464D" w:rsidRPr="005D464D" w:rsidRDefault="005D464D" w:rsidP="005D464D">
            <w:pPr>
              <w:pStyle w:val="ListParagraph"/>
              <w:numPr>
                <w:ilvl w:val="0"/>
                <w:numId w:val="13"/>
              </w:numPr>
              <w:ind w:left="342"/>
              <w:rPr>
                <w:sz w:val="24"/>
                <w:szCs w:val="24"/>
              </w:rPr>
            </w:pPr>
            <w:r>
              <w:rPr>
                <w:sz w:val="24"/>
                <w:szCs w:val="24"/>
              </w:rPr>
              <w:t>Target other health care providers and organizations serving high-risk populations</w:t>
            </w:r>
          </w:p>
        </w:tc>
        <w:tc>
          <w:tcPr>
            <w:tcW w:w="7578" w:type="dxa"/>
          </w:tcPr>
          <w:p w:rsidR="005D464D" w:rsidRDefault="005D464D" w:rsidP="00B07043">
            <w:pPr>
              <w:rPr>
                <w:sz w:val="24"/>
                <w:szCs w:val="24"/>
              </w:rPr>
            </w:pPr>
            <w:r>
              <w:rPr>
                <w:sz w:val="24"/>
                <w:szCs w:val="24"/>
                <w:u w:val="single"/>
              </w:rPr>
              <w:t>Statewide meeting</w:t>
            </w:r>
            <w:r>
              <w:rPr>
                <w:sz w:val="24"/>
                <w:szCs w:val="24"/>
              </w:rPr>
              <w:t>: Meeting held October 29-30, 2015 with 43 state and regional TB program attendees.</w:t>
            </w:r>
          </w:p>
          <w:p w:rsidR="005D464D" w:rsidRDefault="005D464D" w:rsidP="00B07043">
            <w:pPr>
              <w:rPr>
                <w:sz w:val="24"/>
                <w:szCs w:val="24"/>
              </w:rPr>
            </w:pPr>
            <w:r w:rsidRPr="006E3D5E">
              <w:rPr>
                <w:sz w:val="24"/>
                <w:szCs w:val="24"/>
                <w:u w:val="single"/>
              </w:rPr>
              <w:t>Trainings (in-person and webinar)</w:t>
            </w:r>
            <w:r>
              <w:rPr>
                <w:sz w:val="24"/>
                <w:szCs w:val="24"/>
              </w:rPr>
              <w:t>: 30 in-person trainings were held with 483 participants and 23 webinars were viewed by 83 participants.</w:t>
            </w:r>
          </w:p>
          <w:p w:rsidR="005D464D" w:rsidRDefault="005D464D" w:rsidP="00B07043">
            <w:pPr>
              <w:rPr>
                <w:sz w:val="24"/>
                <w:szCs w:val="24"/>
              </w:rPr>
            </w:pPr>
            <w:r>
              <w:rPr>
                <w:sz w:val="24"/>
                <w:szCs w:val="24"/>
                <w:u w:val="single"/>
              </w:rPr>
              <w:t>Educational Needs Survey</w:t>
            </w:r>
            <w:r>
              <w:rPr>
                <w:sz w:val="24"/>
                <w:szCs w:val="24"/>
              </w:rPr>
              <w:t>: 26 regional TB staff from 12 regional TB program completed the annual educational needs survey</w:t>
            </w:r>
          </w:p>
          <w:p w:rsidR="005D464D" w:rsidRPr="006E3D5E" w:rsidRDefault="005D464D" w:rsidP="00B07043">
            <w:pPr>
              <w:rPr>
                <w:sz w:val="24"/>
                <w:szCs w:val="24"/>
              </w:rPr>
            </w:pPr>
            <w:r>
              <w:rPr>
                <w:sz w:val="24"/>
                <w:szCs w:val="24"/>
                <w:u w:val="single"/>
              </w:rPr>
              <w:t>Presentations</w:t>
            </w:r>
            <w:r>
              <w:rPr>
                <w:sz w:val="24"/>
                <w:szCs w:val="24"/>
              </w:rPr>
              <w:t>: Central office TB staff (medical director, program manager, nurse consultants, and epidemiologists) delivered 30 presentations statewide with 483 total attendees (total of 1,737 hours of in-service training)</w:t>
            </w:r>
          </w:p>
        </w:tc>
      </w:tr>
      <w:tr w:rsidR="005D464D" w:rsidTr="004256A8">
        <w:tc>
          <w:tcPr>
            <w:tcW w:w="1728" w:type="dxa"/>
          </w:tcPr>
          <w:p w:rsidR="005D464D" w:rsidRDefault="005D464D" w:rsidP="004256A8">
            <w:pPr>
              <w:jc w:val="center"/>
              <w:rPr>
                <w:sz w:val="24"/>
                <w:szCs w:val="24"/>
              </w:rPr>
            </w:pPr>
            <w:r>
              <w:rPr>
                <w:sz w:val="24"/>
                <w:szCs w:val="24"/>
              </w:rPr>
              <w:t>2016</w:t>
            </w:r>
          </w:p>
        </w:tc>
        <w:tc>
          <w:tcPr>
            <w:tcW w:w="3870" w:type="dxa"/>
            <w:vMerge/>
          </w:tcPr>
          <w:p w:rsidR="005D464D" w:rsidRDefault="005D464D" w:rsidP="00B07043">
            <w:pPr>
              <w:rPr>
                <w:sz w:val="24"/>
                <w:szCs w:val="24"/>
              </w:rPr>
            </w:pPr>
          </w:p>
        </w:tc>
        <w:tc>
          <w:tcPr>
            <w:tcW w:w="7578" w:type="dxa"/>
          </w:tcPr>
          <w:p w:rsidR="005D464D" w:rsidRDefault="005D464D" w:rsidP="00B07043">
            <w:pPr>
              <w:rPr>
                <w:sz w:val="24"/>
                <w:szCs w:val="24"/>
              </w:rPr>
            </w:pPr>
            <w:r>
              <w:rPr>
                <w:sz w:val="24"/>
                <w:szCs w:val="24"/>
              </w:rPr>
              <w:t>Welcome to TN letters</w:t>
            </w:r>
          </w:p>
        </w:tc>
      </w:tr>
      <w:tr w:rsidR="005D464D" w:rsidTr="004256A8">
        <w:tc>
          <w:tcPr>
            <w:tcW w:w="1728" w:type="dxa"/>
          </w:tcPr>
          <w:p w:rsidR="005D464D" w:rsidRDefault="005D464D" w:rsidP="004256A8">
            <w:pPr>
              <w:jc w:val="center"/>
              <w:rPr>
                <w:sz w:val="24"/>
                <w:szCs w:val="24"/>
              </w:rPr>
            </w:pPr>
            <w:r>
              <w:rPr>
                <w:sz w:val="24"/>
                <w:szCs w:val="24"/>
              </w:rPr>
              <w:t>2017</w:t>
            </w:r>
          </w:p>
        </w:tc>
        <w:tc>
          <w:tcPr>
            <w:tcW w:w="3870" w:type="dxa"/>
            <w:vMerge/>
          </w:tcPr>
          <w:p w:rsidR="005D464D" w:rsidRDefault="005D464D" w:rsidP="00B07043">
            <w:pPr>
              <w:rPr>
                <w:sz w:val="24"/>
                <w:szCs w:val="24"/>
              </w:rPr>
            </w:pPr>
          </w:p>
        </w:tc>
        <w:tc>
          <w:tcPr>
            <w:tcW w:w="7578" w:type="dxa"/>
          </w:tcPr>
          <w:p w:rsidR="005D464D" w:rsidRDefault="005D464D" w:rsidP="00B07043">
            <w:pPr>
              <w:rPr>
                <w:sz w:val="24"/>
                <w:szCs w:val="24"/>
              </w:rPr>
            </w:pPr>
            <w:r>
              <w:rPr>
                <w:sz w:val="24"/>
                <w:szCs w:val="24"/>
              </w:rPr>
              <w:t>Addition of Welcome to TN letters</w:t>
            </w:r>
          </w:p>
        </w:tc>
      </w:tr>
    </w:tbl>
    <w:p w:rsidR="004256A8" w:rsidRDefault="004256A8" w:rsidP="00B07043">
      <w:pPr>
        <w:spacing w:after="0" w:line="240" w:lineRule="auto"/>
        <w:rPr>
          <w:sz w:val="24"/>
          <w:szCs w:val="24"/>
        </w:rPr>
      </w:pPr>
    </w:p>
    <w:p w:rsidR="004256A8" w:rsidRPr="00883440" w:rsidRDefault="004256A8" w:rsidP="00B07043">
      <w:pPr>
        <w:spacing w:after="0" w:line="240" w:lineRule="auto"/>
        <w:rPr>
          <w:sz w:val="24"/>
          <w:szCs w:val="24"/>
        </w:rPr>
      </w:pPr>
    </w:p>
    <w:p w:rsidR="00443FED" w:rsidRPr="00DC184F" w:rsidRDefault="00DC184F" w:rsidP="00B07043">
      <w:pPr>
        <w:spacing w:after="0" w:line="240" w:lineRule="auto"/>
        <w:rPr>
          <w:sz w:val="24"/>
          <w:szCs w:val="24"/>
        </w:rPr>
      </w:pPr>
      <w:r>
        <w:rPr>
          <w:b/>
          <w:sz w:val="24"/>
          <w:szCs w:val="24"/>
          <w:u w:val="single"/>
        </w:rPr>
        <w:t>Laboratory Strengthening</w:t>
      </w:r>
    </w:p>
    <w:p w:rsidR="00F85DA3" w:rsidRPr="00F85DA3" w:rsidRDefault="00F85DA3" w:rsidP="00B07043">
      <w:pPr>
        <w:spacing w:after="0" w:line="240" w:lineRule="auto"/>
        <w:rPr>
          <w:sz w:val="24"/>
          <w:szCs w:val="24"/>
        </w:rPr>
      </w:pPr>
    </w:p>
    <w:sectPr w:rsidR="00F85DA3" w:rsidRPr="00F85DA3" w:rsidSect="00AA40FB">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4D0" w:rsidRDefault="00DE44D0" w:rsidP="00B07043">
      <w:pPr>
        <w:spacing w:after="0" w:line="240" w:lineRule="auto"/>
      </w:pPr>
      <w:r>
        <w:separator/>
      </w:r>
    </w:p>
  </w:endnote>
  <w:endnote w:type="continuationSeparator" w:id="0">
    <w:p w:rsidR="00DE44D0" w:rsidRDefault="00DE44D0" w:rsidP="00B0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47" w:rsidRPr="009E6CC8" w:rsidRDefault="002C6147">
    <w:pPr>
      <w:pStyle w:val="Footer"/>
      <w:rPr>
        <w:sz w:val="24"/>
        <w:szCs w:val="24"/>
      </w:rPr>
    </w:pPr>
    <w:r>
      <w:rPr>
        <w:sz w:val="24"/>
        <w:szCs w:val="24"/>
      </w:rPr>
      <w:t>APR/</w:t>
    </w:r>
    <w:r w:rsidRPr="009E6CC8">
      <w:rPr>
        <w:sz w:val="24"/>
        <w:szCs w:val="24"/>
      </w:rPr>
      <w:t>Closeout Report</w:t>
    </w:r>
    <w:r w:rsidRPr="009E6CC8">
      <w:rPr>
        <w:sz w:val="24"/>
        <w:szCs w:val="24"/>
      </w:rPr>
      <w:tab/>
    </w:r>
    <w:sdt>
      <w:sdtPr>
        <w:rPr>
          <w:sz w:val="24"/>
          <w:szCs w:val="24"/>
        </w:rPr>
        <w:id w:val="1719087129"/>
        <w:docPartObj>
          <w:docPartGallery w:val="Page Numbers (Bottom of Page)"/>
          <w:docPartUnique/>
        </w:docPartObj>
      </w:sdtPr>
      <w:sdtEndPr>
        <w:rPr>
          <w:noProof/>
        </w:rPr>
      </w:sdtEndPr>
      <w:sdtContent>
        <w:r w:rsidRPr="009E6CC8">
          <w:rPr>
            <w:sz w:val="24"/>
            <w:szCs w:val="24"/>
          </w:rPr>
          <w:fldChar w:fldCharType="begin"/>
        </w:r>
        <w:r w:rsidRPr="009E6CC8">
          <w:rPr>
            <w:sz w:val="24"/>
            <w:szCs w:val="24"/>
          </w:rPr>
          <w:instrText xml:space="preserve"> PAGE   \* MERGEFORMAT </w:instrText>
        </w:r>
        <w:r w:rsidRPr="009E6CC8">
          <w:rPr>
            <w:sz w:val="24"/>
            <w:szCs w:val="24"/>
          </w:rPr>
          <w:fldChar w:fldCharType="separate"/>
        </w:r>
        <w:r w:rsidR="001A5972">
          <w:rPr>
            <w:noProof/>
            <w:sz w:val="24"/>
            <w:szCs w:val="24"/>
          </w:rPr>
          <w:t>1</w:t>
        </w:r>
        <w:r w:rsidRPr="009E6CC8">
          <w:rPr>
            <w:noProof/>
            <w:sz w:val="24"/>
            <w:szCs w:val="24"/>
          </w:rPr>
          <w:fldChar w:fldCharType="end"/>
        </w:r>
      </w:sdtContent>
    </w:sdt>
  </w:p>
  <w:p w:rsidR="002C6147" w:rsidRDefault="002C6147">
    <w:pPr>
      <w:pStyle w:val="Footer"/>
    </w:pPr>
    <w:r w:rsidRPr="00164FA0">
      <w:rPr>
        <w:sz w:val="24"/>
        <w:szCs w:val="24"/>
      </w:rPr>
      <w:t>Prevention and Control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47" w:rsidRPr="009E6CC8" w:rsidRDefault="002C6147">
    <w:pPr>
      <w:pStyle w:val="Footer"/>
      <w:rPr>
        <w:sz w:val="24"/>
        <w:szCs w:val="24"/>
      </w:rPr>
    </w:pPr>
    <w:r>
      <w:rPr>
        <w:sz w:val="24"/>
        <w:szCs w:val="24"/>
      </w:rPr>
      <w:t>APR/</w:t>
    </w:r>
    <w:r w:rsidRPr="009E6CC8">
      <w:rPr>
        <w:sz w:val="24"/>
        <w:szCs w:val="24"/>
      </w:rPr>
      <w:t>Closeout Report</w:t>
    </w:r>
    <w:r w:rsidRPr="009E6CC8">
      <w:rPr>
        <w:sz w:val="24"/>
        <w:szCs w:val="24"/>
      </w:rPr>
      <w:tab/>
    </w:r>
    <w:sdt>
      <w:sdtPr>
        <w:rPr>
          <w:sz w:val="24"/>
          <w:szCs w:val="24"/>
        </w:rPr>
        <w:id w:val="-76595013"/>
        <w:docPartObj>
          <w:docPartGallery w:val="Page Numbers (Bottom of Page)"/>
          <w:docPartUnique/>
        </w:docPartObj>
      </w:sdtPr>
      <w:sdtEndPr>
        <w:rPr>
          <w:noProof/>
        </w:rPr>
      </w:sdtEndPr>
      <w:sdtContent>
        <w:r>
          <w:rPr>
            <w:sz w:val="24"/>
            <w:szCs w:val="24"/>
          </w:rPr>
          <w:t xml:space="preserve">                                                                     </w:t>
        </w:r>
        <w:r w:rsidRPr="009E6CC8">
          <w:rPr>
            <w:sz w:val="24"/>
            <w:szCs w:val="24"/>
          </w:rPr>
          <w:fldChar w:fldCharType="begin"/>
        </w:r>
        <w:r w:rsidRPr="009E6CC8">
          <w:rPr>
            <w:sz w:val="24"/>
            <w:szCs w:val="24"/>
          </w:rPr>
          <w:instrText xml:space="preserve"> PAGE   \* MERGEFORMAT </w:instrText>
        </w:r>
        <w:r w:rsidRPr="009E6CC8">
          <w:rPr>
            <w:sz w:val="24"/>
            <w:szCs w:val="24"/>
          </w:rPr>
          <w:fldChar w:fldCharType="separate"/>
        </w:r>
        <w:r w:rsidR="001A5972">
          <w:rPr>
            <w:noProof/>
            <w:sz w:val="24"/>
            <w:szCs w:val="24"/>
          </w:rPr>
          <w:t>3</w:t>
        </w:r>
        <w:r w:rsidRPr="009E6CC8">
          <w:rPr>
            <w:noProof/>
            <w:sz w:val="24"/>
            <w:szCs w:val="24"/>
          </w:rPr>
          <w:fldChar w:fldCharType="end"/>
        </w:r>
      </w:sdtContent>
    </w:sdt>
  </w:p>
  <w:p w:rsidR="002C6147" w:rsidRDefault="002C6147">
    <w:pPr>
      <w:pStyle w:val="Footer"/>
    </w:pPr>
    <w:r w:rsidRPr="00164FA0">
      <w:rPr>
        <w:sz w:val="24"/>
        <w:szCs w:val="24"/>
      </w:rPr>
      <w:t>Prevention and Control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47" w:rsidRPr="009E6CC8" w:rsidRDefault="002C6147">
    <w:pPr>
      <w:pStyle w:val="Footer"/>
      <w:rPr>
        <w:sz w:val="24"/>
        <w:szCs w:val="24"/>
      </w:rPr>
    </w:pPr>
    <w:r>
      <w:rPr>
        <w:sz w:val="24"/>
        <w:szCs w:val="24"/>
      </w:rPr>
      <w:t>APR/</w:t>
    </w:r>
    <w:r w:rsidRPr="009E6CC8">
      <w:rPr>
        <w:sz w:val="24"/>
        <w:szCs w:val="24"/>
      </w:rPr>
      <w:t>Closeout Report</w:t>
    </w:r>
    <w:r w:rsidRPr="009E6CC8">
      <w:rPr>
        <w:sz w:val="24"/>
        <w:szCs w:val="24"/>
      </w:rPr>
      <w:tab/>
    </w:r>
    <w:sdt>
      <w:sdtPr>
        <w:rPr>
          <w:sz w:val="24"/>
          <w:szCs w:val="24"/>
        </w:rPr>
        <w:id w:val="1072389565"/>
        <w:docPartObj>
          <w:docPartGallery w:val="Page Numbers (Bottom of Page)"/>
          <w:docPartUnique/>
        </w:docPartObj>
      </w:sdtPr>
      <w:sdtEndPr>
        <w:rPr>
          <w:noProof/>
        </w:rPr>
      </w:sdtEndPr>
      <w:sdtContent>
        <w:r w:rsidRPr="009E6CC8">
          <w:rPr>
            <w:sz w:val="24"/>
            <w:szCs w:val="24"/>
          </w:rPr>
          <w:fldChar w:fldCharType="begin"/>
        </w:r>
        <w:r w:rsidRPr="009E6CC8">
          <w:rPr>
            <w:sz w:val="24"/>
            <w:szCs w:val="24"/>
          </w:rPr>
          <w:instrText xml:space="preserve"> PAGE   \* MERGEFORMAT </w:instrText>
        </w:r>
        <w:r w:rsidRPr="009E6CC8">
          <w:rPr>
            <w:sz w:val="24"/>
            <w:szCs w:val="24"/>
          </w:rPr>
          <w:fldChar w:fldCharType="separate"/>
        </w:r>
        <w:r w:rsidR="004256A8">
          <w:rPr>
            <w:noProof/>
            <w:sz w:val="24"/>
            <w:szCs w:val="24"/>
          </w:rPr>
          <w:t>6</w:t>
        </w:r>
        <w:r w:rsidRPr="009E6CC8">
          <w:rPr>
            <w:noProof/>
            <w:sz w:val="24"/>
            <w:szCs w:val="24"/>
          </w:rPr>
          <w:fldChar w:fldCharType="end"/>
        </w:r>
      </w:sdtContent>
    </w:sdt>
  </w:p>
  <w:p w:rsidR="002C6147" w:rsidRDefault="002C6147">
    <w:pPr>
      <w:pStyle w:val="Footer"/>
    </w:pPr>
    <w:r w:rsidRPr="00164FA0">
      <w:rPr>
        <w:sz w:val="24"/>
        <w:szCs w:val="24"/>
      </w:rPr>
      <w:t>Prevention and Control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47" w:rsidRPr="009E6CC8" w:rsidRDefault="002C6147">
    <w:pPr>
      <w:pStyle w:val="Footer"/>
      <w:rPr>
        <w:sz w:val="24"/>
        <w:szCs w:val="24"/>
      </w:rPr>
    </w:pPr>
    <w:r>
      <w:rPr>
        <w:sz w:val="24"/>
        <w:szCs w:val="24"/>
      </w:rPr>
      <w:t>APR/</w:t>
    </w:r>
    <w:r w:rsidRPr="009E6CC8">
      <w:rPr>
        <w:sz w:val="24"/>
        <w:szCs w:val="24"/>
      </w:rPr>
      <w:t>Closeout Report</w:t>
    </w:r>
    <w:r w:rsidRPr="009E6CC8">
      <w:rPr>
        <w:sz w:val="24"/>
        <w:szCs w:val="24"/>
      </w:rPr>
      <w:tab/>
    </w:r>
    <w:sdt>
      <w:sdtPr>
        <w:rPr>
          <w:sz w:val="24"/>
          <w:szCs w:val="24"/>
        </w:rPr>
        <w:id w:val="54361961"/>
        <w:docPartObj>
          <w:docPartGallery w:val="Page Numbers (Bottom of Page)"/>
          <w:docPartUnique/>
        </w:docPartObj>
      </w:sdtPr>
      <w:sdtEndPr>
        <w:rPr>
          <w:noProof/>
        </w:rPr>
      </w:sdtEndPr>
      <w:sdtContent>
        <w:r>
          <w:rPr>
            <w:sz w:val="24"/>
            <w:szCs w:val="24"/>
          </w:rPr>
          <w:t xml:space="preserve">                                                            </w:t>
        </w:r>
        <w:r w:rsidRPr="009E6CC8">
          <w:rPr>
            <w:sz w:val="24"/>
            <w:szCs w:val="24"/>
          </w:rPr>
          <w:fldChar w:fldCharType="begin"/>
        </w:r>
        <w:r w:rsidRPr="009E6CC8">
          <w:rPr>
            <w:sz w:val="24"/>
            <w:szCs w:val="24"/>
          </w:rPr>
          <w:instrText xml:space="preserve"> PAGE   \* MERGEFORMAT </w:instrText>
        </w:r>
        <w:r w:rsidRPr="009E6CC8">
          <w:rPr>
            <w:sz w:val="24"/>
            <w:szCs w:val="24"/>
          </w:rPr>
          <w:fldChar w:fldCharType="separate"/>
        </w:r>
        <w:r w:rsidR="004256A8">
          <w:rPr>
            <w:noProof/>
            <w:sz w:val="24"/>
            <w:szCs w:val="24"/>
          </w:rPr>
          <w:t>17</w:t>
        </w:r>
        <w:r w:rsidRPr="009E6CC8">
          <w:rPr>
            <w:noProof/>
            <w:sz w:val="24"/>
            <w:szCs w:val="24"/>
          </w:rPr>
          <w:fldChar w:fldCharType="end"/>
        </w:r>
      </w:sdtContent>
    </w:sdt>
  </w:p>
  <w:p w:rsidR="002C6147" w:rsidRPr="00163B00" w:rsidRDefault="002C6147">
    <w:pPr>
      <w:pStyle w:val="Footer"/>
      <w:rPr>
        <w:sz w:val="24"/>
        <w:szCs w:val="24"/>
      </w:rPr>
    </w:pPr>
    <w:r w:rsidRPr="00163B00">
      <w:rPr>
        <w:sz w:val="24"/>
        <w:szCs w:val="24"/>
      </w:rPr>
      <w:t>Program Evaluation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47" w:rsidRPr="009E6CC8" w:rsidRDefault="002C6147">
    <w:pPr>
      <w:pStyle w:val="Footer"/>
      <w:rPr>
        <w:sz w:val="24"/>
        <w:szCs w:val="24"/>
      </w:rPr>
    </w:pPr>
    <w:r w:rsidRPr="009E6CC8">
      <w:rPr>
        <w:sz w:val="24"/>
        <w:szCs w:val="24"/>
      </w:rPr>
      <w:t>Closeout Report</w:t>
    </w:r>
    <w:r w:rsidRPr="009E6CC8">
      <w:rPr>
        <w:sz w:val="24"/>
        <w:szCs w:val="24"/>
      </w:rPr>
      <w:tab/>
    </w:r>
    <w:sdt>
      <w:sdtPr>
        <w:rPr>
          <w:sz w:val="24"/>
          <w:szCs w:val="24"/>
        </w:rPr>
        <w:id w:val="-297992080"/>
        <w:docPartObj>
          <w:docPartGallery w:val="Page Numbers (Bottom of Page)"/>
          <w:docPartUnique/>
        </w:docPartObj>
      </w:sdtPr>
      <w:sdtEndPr>
        <w:rPr>
          <w:noProof/>
        </w:rPr>
      </w:sdtEndPr>
      <w:sdtContent>
        <w:r>
          <w:rPr>
            <w:sz w:val="24"/>
            <w:szCs w:val="24"/>
          </w:rPr>
          <w:t xml:space="preserve">                                                            </w:t>
        </w:r>
        <w:r w:rsidRPr="009E6CC8">
          <w:rPr>
            <w:sz w:val="24"/>
            <w:szCs w:val="24"/>
          </w:rPr>
          <w:fldChar w:fldCharType="begin"/>
        </w:r>
        <w:r w:rsidRPr="009E6CC8">
          <w:rPr>
            <w:sz w:val="24"/>
            <w:szCs w:val="24"/>
          </w:rPr>
          <w:instrText xml:space="preserve"> PAGE   \* MERGEFORMAT </w:instrText>
        </w:r>
        <w:r w:rsidRPr="009E6CC8">
          <w:rPr>
            <w:sz w:val="24"/>
            <w:szCs w:val="24"/>
          </w:rPr>
          <w:fldChar w:fldCharType="separate"/>
        </w:r>
        <w:r w:rsidR="00E0596D">
          <w:rPr>
            <w:noProof/>
            <w:sz w:val="24"/>
            <w:szCs w:val="24"/>
          </w:rPr>
          <w:t>22</w:t>
        </w:r>
        <w:r w:rsidRPr="009E6CC8">
          <w:rPr>
            <w:noProof/>
            <w:sz w:val="24"/>
            <w:szCs w:val="24"/>
          </w:rPr>
          <w:fldChar w:fldCharType="end"/>
        </w:r>
      </w:sdtContent>
    </w:sdt>
  </w:p>
  <w:p w:rsidR="002C6147" w:rsidRPr="00163B00" w:rsidRDefault="002C6147">
    <w:pPr>
      <w:pStyle w:val="Footer"/>
      <w:rPr>
        <w:sz w:val="24"/>
        <w:szCs w:val="24"/>
      </w:rPr>
    </w:pPr>
    <w:r>
      <w:rPr>
        <w:sz w:val="24"/>
        <w:szCs w:val="24"/>
      </w:rPr>
      <w:t>Human Resources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4D0" w:rsidRDefault="00DE44D0" w:rsidP="00B07043">
      <w:pPr>
        <w:spacing w:after="0" w:line="240" w:lineRule="auto"/>
      </w:pPr>
      <w:r>
        <w:separator/>
      </w:r>
    </w:p>
  </w:footnote>
  <w:footnote w:type="continuationSeparator" w:id="0">
    <w:p w:rsidR="00DE44D0" w:rsidRDefault="00DE44D0" w:rsidP="00B07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47" w:rsidRPr="00B07043" w:rsidRDefault="002C6147" w:rsidP="00B07043">
    <w:pPr>
      <w:pStyle w:val="Header"/>
      <w:rPr>
        <w:sz w:val="24"/>
        <w:szCs w:val="24"/>
      </w:rPr>
    </w:pPr>
    <w:r w:rsidRPr="00B07043">
      <w:rPr>
        <w:sz w:val="24"/>
        <w:szCs w:val="24"/>
        <w:u w:val="single"/>
      </w:rPr>
      <w:t>Grant Number</w:t>
    </w:r>
    <w:r w:rsidRPr="00B07043">
      <w:rPr>
        <w:sz w:val="24"/>
        <w:szCs w:val="24"/>
      </w:rPr>
      <w:t>:  6 NU52PS004696-05-04</w:t>
    </w:r>
  </w:p>
  <w:p w:rsidR="002C6147" w:rsidRPr="00B07043" w:rsidRDefault="002C6147" w:rsidP="00B07043">
    <w:pPr>
      <w:pStyle w:val="Header"/>
      <w:rPr>
        <w:sz w:val="24"/>
        <w:szCs w:val="24"/>
      </w:rPr>
    </w:pPr>
    <w:r w:rsidRPr="00B07043">
      <w:rPr>
        <w:sz w:val="24"/>
        <w:szCs w:val="24"/>
        <w:u w:val="single"/>
      </w:rPr>
      <w:t>Grant Program</w:t>
    </w:r>
    <w:r w:rsidRPr="00B07043">
      <w:rPr>
        <w:sz w:val="24"/>
        <w:szCs w:val="24"/>
      </w:rPr>
      <w:t>:  PS15-1501.NU52 Tuberculosis Elimination and Laboratory Cooperative</w:t>
    </w:r>
  </w:p>
  <w:p w:rsidR="002C6147" w:rsidRPr="00B07043" w:rsidRDefault="002C6147" w:rsidP="00B07043">
    <w:pPr>
      <w:pStyle w:val="Header"/>
      <w:rPr>
        <w:sz w:val="24"/>
        <w:szCs w:val="24"/>
      </w:rPr>
    </w:pPr>
    <w:r w:rsidRPr="00B07043">
      <w:rPr>
        <w:sz w:val="24"/>
        <w:szCs w:val="24"/>
        <w:u w:val="single"/>
      </w:rPr>
      <w:t>Grantee</w:t>
    </w:r>
    <w:r w:rsidRPr="00B07043">
      <w:rPr>
        <w:sz w:val="24"/>
        <w:szCs w:val="24"/>
      </w:rPr>
      <w:t>:  Tennessee Department of Health Tuberculosis Elimination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A4F"/>
    <w:multiLevelType w:val="hybridMultilevel"/>
    <w:tmpl w:val="30E87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94227"/>
    <w:multiLevelType w:val="hybridMultilevel"/>
    <w:tmpl w:val="C0E6A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35F38"/>
    <w:multiLevelType w:val="hybridMultilevel"/>
    <w:tmpl w:val="49D87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A6551"/>
    <w:multiLevelType w:val="hybridMultilevel"/>
    <w:tmpl w:val="480EC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53F60"/>
    <w:multiLevelType w:val="hybridMultilevel"/>
    <w:tmpl w:val="478E81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244911"/>
    <w:multiLevelType w:val="hybridMultilevel"/>
    <w:tmpl w:val="EF623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A6348"/>
    <w:multiLevelType w:val="hybridMultilevel"/>
    <w:tmpl w:val="A3FA6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75069"/>
    <w:multiLevelType w:val="hybridMultilevel"/>
    <w:tmpl w:val="7ECC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47207"/>
    <w:multiLevelType w:val="hybridMultilevel"/>
    <w:tmpl w:val="1348F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E67B3F"/>
    <w:multiLevelType w:val="hybridMultilevel"/>
    <w:tmpl w:val="08F4C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35E0C"/>
    <w:multiLevelType w:val="hybridMultilevel"/>
    <w:tmpl w:val="1E7A8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8161E"/>
    <w:multiLevelType w:val="hybridMultilevel"/>
    <w:tmpl w:val="8730E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33836"/>
    <w:multiLevelType w:val="hybridMultilevel"/>
    <w:tmpl w:val="4E766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0"/>
  </w:num>
  <w:num w:numId="5">
    <w:abstractNumId w:val="12"/>
  </w:num>
  <w:num w:numId="6">
    <w:abstractNumId w:val="11"/>
  </w:num>
  <w:num w:numId="7">
    <w:abstractNumId w:val="9"/>
  </w:num>
  <w:num w:numId="8">
    <w:abstractNumId w:val="0"/>
  </w:num>
  <w:num w:numId="9">
    <w:abstractNumId w:val="2"/>
  </w:num>
  <w:num w:numId="10">
    <w:abstractNumId w:val="1"/>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043"/>
    <w:rsid w:val="000347C9"/>
    <w:rsid w:val="00066030"/>
    <w:rsid w:val="000A4814"/>
    <w:rsid w:val="000B5B99"/>
    <w:rsid w:val="000C4AE7"/>
    <w:rsid w:val="00112EC1"/>
    <w:rsid w:val="00156343"/>
    <w:rsid w:val="00160190"/>
    <w:rsid w:val="0016339C"/>
    <w:rsid w:val="00163B00"/>
    <w:rsid w:val="00164FA0"/>
    <w:rsid w:val="00170377"/>
    <w:rsid w:val="00195FD9"/>
    <w:rsid w:val="001A5972"/>
    <w:rsid w:val="001F05BE"/>
    <w:rsid w:val="001F3299"/>
    <w:rsid w:val="002063D8"/>
    <w:rsid w:val="002065C9"/>
    <w:rsid w:val="002102CA"/>
    <w:rsid w:val="00231C32"/>
    <w:rsid w:val="0025229C"/>
    <w:rsid w:val="002C6147"/>
    <w:rsid w:val="002D0295"/>
    <w:rsid w:val="002F5A31"/>
    <w:rsid w:val="002F65C4"/>
    <w:rsid w:val="00300577"/>
    <w:rsid w:val="0035006C"/>
    <w:rsid w:val="00363877"/>
    <w:rsid w:val="00364E00"/>
    <w:rsid w:val="00385AC6"/>
    <w:rsid w:val="00391CE2"/>
    <w:rsid w:val="00393249"/>
    <w:rsid w:val="003A5021"/>
    <w:rsid w:val="003F233E"/>
    <w:rsid w:val="003F6A09"/>
    <w:rsid w:val="00405936"/>
    <w:rsid w:val="0041398C"/>
    <w:rsid w:val="00416420"/>
    <w:rsid w:val="004217A3"/>
    <w:rsid w:val="004256A8"/>
    <w:rsid w:val="0042582D"/>
    <w:rsid w:val="00443FED"/>
    <w:rsid w:val="00460F21"/>
    <w:rsid w:val="00466B96"/>
    <w:rsid w:val="00467D17"/>
    <w:rsid w:val="00480F1C"/>
    <w:rsid w:val="004863BF"/>
    <w:rsid w:val="004B7617"/>
    <w:rsid w:val="004C3782"/>
    <w:rsid w:val="004F31D0"/>
    <w:rsid w:val="00534DA4"/>
    <w:rsid w:val="00544326"/>
    <w:rsid w:val="005551E3"/>
    <w:rsid w:val="0057652A"/>
    <w:rsid w:val="00583425"/>
    <w:rsid w:val="005A05F9"/>
    <w:rsid w:val="005D0610"/>
    <w:rsid w:val="005D133D"/>
    <w:rsid w:val="005D464D"/>
    <w:rsid w:val="005E780C"/>
    <w:rsid w:val="006148EF"/>
    <w:rsid w:val="00617B78"/>
    <w:rsid w:val="00617BDA"/>
    <w:rsid w:val="00620779"/>
    <w:rsid w:val="00667E97"/>
    <w:rsid w:val="006766EC"/>
    <w:rsid w:val="006827A3"/>
    <w:rsid w:val="0068497E"/>
    <w:rsid w:val="00690A66"/>
    <w:rsid w:val="006A6419"/>
    <w:rsid w:val="006E3D5E"/>
    <w:rsid w:val="00702B67"/>
    <w:rsid w:val="00723165"/>
    <w:rsid w:val="00730CCF"/>
    <w:rsid w:val="007C2CD9"/>
    <w:rsid w:val="007E450E"/>
    <w:rsid w:val="007E771C"/>
    <w:rsid w:val="007F42B1"/>
    <w:rsid w:val="007F6D72"/>
    <w:rsid w:val="00800176"/>
    <w:rsid w:val="00823E05"/>
    <w:rsid w:val="0082779D"/>
    <w:rsid w:val="008374F3"/>
    <w:rsid w:val="00861081"/>
    <w:rsid w:val="00883440"/>
    <w:rsid w:val="008B3CF8"/>
    <w:rsid w:val="008E3134"/>
    <w:rsid w:val="008E6EE5"/>
    <w:rsid w:val="008F0FC0"/>
    <w:rsid w:val="008F7968"/>
    <w:rsid w:val="0090498D"/>
    <w:rsid w:val="009100E2"/>
    <w:rsid w:val="0093546F"/>
    <w:rsid w:val="00935479"/>
    <w:rsid w:val="00951081"/>
    <w:rsid w:val="00961883"/>
    <w:rsid w:val="009A2C1C"/>
    <w:rsid w:val="009E3DAA"/>
    <w:rsid w:val="009E6CC8"/>
    <w:rsid w:val="00A0014F"/>
    <w:rsid w:val="00A153F0"/>
    <w:rsid w:val="00A63AFB"/>
    <w:rsid w:val="00A97721"/>
    <w:rsid w:val="00AA0B4C"/>
    <w:rsid w:val="00AA304B"/>
    <w:rsid w:val="00AA40FB"/>
    <w:rsid w:val="00AA6485"/>
    <w:rsid w:val="00AE1E9F"/>
    <w:rsid w:val="00AE2ED9"/>
    <w:rsid w:val="00AF6756"/>
    <w:rsid w:val="00B0303E"/>
    <w:rsid w:val="00B07043"/>
    <w:rsid w:val="00B143DA"/>
    <w:rsid w:val="00B247F7"/>
    <w:rsid w:val="00B47508"/>
    <w:rsid w:val="00B76770"/>
    <w:rsid w:val="00BA0603"/>
    <w:rsid w:val="00BA12D0"/>
    <w:rsid w:val="00BA5387"/>
    <w:rsid w:val="00BA6055"/>
    <w:rsid w:val="00BC5391"/>
    <w:rsid w:val="00BC76DE"/>
    <w:rsid w:val="00BE277B"/>
    <w:rsid w:val="00BF2C3F"/>
    <w:rsid w:val="00C04DE8"/>
    <w:rsid w:val="00C309D0"/>
    <w:rsid w:val="00C32492"/>
    <w:rsid w:val="00C76FF8"/>
    <w:rsid w:val="00C9158E"/>
    <w:rsid w:val="00CA7532"/>
    <w:rsid w:val="00CC6912"/>
    <w:rsid w:val="00CE4BED"/>
    <w:rsid w:val="00D0071D"/>
    <w:rsid w:val="00D11D53"/>
    <w:rsid w:val="00D14A09"/>
    <w:rsid w:val="00D15E30"/>
    <w:rsid w:val="00D30B37"/>
    <w:rsid w:val="00D3197A"/>
    <w:rsid w:val="00D43B15"/>
    <w:rsid w:val="00D549D3"/>
    <w:rsid w:val="00DA6D01"/>
    <w:rsid w:val="00DC184F"/>
    <w:rsid w:val="00DD53D4"/>
    <w:rsid w:val="00DE44D0"/>
    <w:rsid w:val="00E0596D"/>
    <w:rsid w:val="00EA478A"/>
    <w:rsid w:val="00F14174"/>
    <w:rsid w:val="00F5291F"/>
    <w:rsid w:val="00F623B1"/>
    <w:rsid w:val="00F85DA3"/>
    <w:rsid w:val="00F869E6"/>
    <w:rsid w:val="00F9427C"/>
    <w:rsid w:val="00FA03E4"/>
    <w:rsid w:val="00FA3F6D"/>
    <w:rsid w:val="00FB7B9F"/>
    <w:rsid w:val="00FC6F61"/>
    <w:rsid w:val="00FD336F"/>
    <w:rsid w:val="00FE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C3EB6A-2FA2-7C44-904B-FAD23521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043"/>
  </w:style>
  <w:style w:type="paragraph" w:styleId="Footer">
    <w:name w:val="footer"/>
    <w:basedOn w:val="Normal"/>
    <w:link w:val="FooterChar"/>
    <w:uiPriority w:val="99"/>
    <w:unhideWhenUsed/>
    <w:rsid w:val="00B07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43"/>
  </w:style>
  <w:style w:type="paragraph" w:styleId="ListParagraph">
    <w:name w:val="List Paragraph"/>
    <w:basedOn w:val="Normal"/>
    <w:uiPriority w:val="34"/>
    <w:qFormat/>
    <w:rsid w:val="00B07043"/>
    <w:pPr>
      <w:ind w:left="720"/>
      <w:contextualSpacing/>
    </w:pPr>
  </w:style>
  <w:style w:type="table" w:styleId="TableGrid">
    <w:name w:val="Table Grid"/>
    <w:basedOn w:val="TableNormal"/>
    <w:uiPriority w:val="59"/>
    <w:rsid w:val="00B0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EC91-C784-4392-A4EB-900EFA61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4387</Words>
  <Characters>25011</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29340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Cummins</dc:creator>
  <cp:lastModifiedBy>Jennifer</cp:lastModifiedBy>
  <cp:revision>2</cp:revision>
  <cp:lastPrinted>2019-12-02T12:56:00Z</cp:lastPrinted>
  <dcterms:created xsi:type="dcterms:W3CDTF">2020-01-13T14:44:00Z</dcterms:created>
  <dcterms:modified xsi:type="dcterms:W3CDTF">2020-01-13T14:44:00Z</dcterms:modified>
</cp:coreProperties>
</file>