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6660"/>
      </w:tblGrid>
      <w:tr w:rsidR="001D2034" w:rsidRPr="00073F30" w:rsidTr="00DF70A0">
        <w:trPr>
          <w:trHeight w:val="58"/>
          <w:jc w:val="center"/>
        </w:trPr>
        <w:tc>
          <w:tcPr>
            <w:tcW w:w="14220" w:type="dxa"/>
            <w:gridSpan w:val="2"/>
            <w:shd w:val="clear" w:color="auto" w:fill="auto"/>
          </w:tcPr>
          <w:p w:rsidR="001D2034" w:rsidRPr="00396A64" w:rsidRDefault="001D2034" w:rsidP="00DF70A0">
            <w:pPr>
              <w:tabs>
                <w:tab w:val="left" w:pos="3750"/>
              </w:tabs>
              <w:spacing w:after="0" w:line="240" w:lineRule="auto"/>
              <w:jc w:val="center"/>
              <w:rPr>
                <w:rFonts w:eastAsia="Arial"/>
                <w:b/>
                <w:bCs/>
                <w:color w:val="231F20"/>
                <w:position w:val="-1"/>
                <w:sz w:val="20"/>
                <w:szCs w:val="20"/>
              </w:rPr>
            </w:pPr>
            <w:bookmarkStart w:id="0" w:name="_GoBack"/>
            <w:bookmarkEnd w:id="0"/>
            <w:r w:rsidRPr="00073F30">
              <w:rPr>
                <w:rFonts w:eastAsia="Arial"/>
                <w:b/>
                <w:bCs/>
                <w:color w:val="231F20"/>
                <w:position w:val="-1"/>
                <w:sz w:val="20"/>
                <w:szCs w:val="20"/>
              </w:rPr>
              <w:t>G</w:t>
            </w:r>
            <w:r w:rsidRPr="00396A64">
              <w:rPr>
                <w:rFonts w:eastAsia="Arial"/>
                <w:b/>
                <w:bCs/>
                <w:color w:val="231F20"/>
                <w:position w:val="-1"/>
                <w:sz w:val="20"/>
                <w:szCs w:val="20"/>
              </w:rPr>
              <w:t xml:space="preserve">uidelines </w:t>
            </w:r>
            <w:r w:rsidRPr="00396A64">
              <w:rPr>
                <w:rFonts w:eastAsia="Arial"/>
                <w:b/>
                <w:bCs/>
                <w:color w:val="231F20"/>
                <w:spacing w:val="-6"/>
                <w:position w:val="-1"/>
                <w:sz w:val="20"/>
                <w:szCs w:val="20"/>
              </w:rPr>
              <w:t>f</w:t>
            </w:r>
            <w:r w:rsidRPr="00396A64">
              <w:rPr>
                <w:rFonts w:eastAsia="Arial"/>
                <w:b/>
                <w:bCs/>
                <w:color w:val="231F20"/>
                <w:position w:val="-1"/>
                <w:sz w:val="20"/>
                <w:szCs w:val="20"/>
              </w:rPr>
              <w:t>or</w:t>
            </w:r>
            <w:r w:rsidRPr="00396A64">
              <w:rPr>
                <w:rFonts w:eastAsia="Arial"/>
                <w:b/>
                <w:bCs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b/>
                <w:bCs/>
                <w:color w:val="231F20"/>
                <w:position w:val="-1"/>
                <w:sz w:val="20"/>
                <w:szCs w:val="20"/>
              </w:rPr>
              <w:t xml:space="preserve">the </w:t>
            </w:r>
            <w:r w:rsidRPr="00396A64">
              <w:rPr>
                <w:rFonts w:eastAsia="Arial"/>
                <w:b/>
                <w:bCs/>
                <w:color w:val="231F20"/>
                <w:spacing w:val="-2"/>
                <w:position w:val="-1"/>
                <w:sz w:val="20"/>
                <w:szCs w:val="20"/>
              </w:rPr>
              <w:t>e</w:t>
            </w:r>
            <w:r w:rsidRPr="00396A64">
              <w:rPr>
                <w:rFonts w:eastAsia="Arial"/>
                <w:b/>
                <w:bCs/>
                <w:color w:val="231F20"/>
                <w:spacing w:val="-5"/>
                <w:position w:val="-1"/>
                <w:sz w:val="20"/>
                <w:szCs w:val="20"/>
              </w:rPr>
              <w:t>v</w:t>
            </w:r>
            <w:r w:rsidRPr="00396A64">
              <w:rPr>
                <w:rFonts w:eastAsia="Arial"/>
                <w:b/>
                <w:bCs/>
                <w:color w:val="231F20"/>
                <w:position w:val="-1"/>
                <w:sz w:val="20"/>
                <w:szCs w:val="20"/>
              </w:rPr>
              <w:t>aluation of pulmona</w:t>
            </w:r>
            <w:r w:rsidRPr="00396A64">
              <w:rPr>
                <w:rFonts w:eastAsia="Arial"/>
                <w:b/>
                <w:bCs/>
                <w:color w:val="231F20"/>
                <w:spacing w:val="2"/>
                <w:position w:val="-1"/>
                <w:sz w:val="20"/>
                <w:szCs w:val="20"/>
              </w:rPr>
              <w:t>r</w:t>
            </w:r>
            <w:r w:rsidRPr="00396A64">
              <w:rPr>
                <w:rFonts w:eastAsia="Arial"/>
                <w:b/>
                <w:bCs/>
                <w:color w:val="231F20"/>
                <w:position w:val="-1"/>
                <w:sz w:val="20"/>
                <w:szCs w:val="20"/>
              </w:rPr>
              <w:t>y</w:t>
            </w:r>
            <w:r w:rsidRPr="00396A64">
              <w:rPr>
                <w:rFonts w:eastAsia="Arial"/>
                <w:b/>
                <w:bCs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b/>
                <w:bCs/>
                <w:color w:val="231F20"/>
                <w:position w:val="-1"/>
                <w:sz w:val="20"/>
                <w:szCs w:val="20"/>
              </w:rPr>
              <w:t>tube</w:t>
            </w:r>
            <w:r w:rsidRPr="00396A64">
              <w:rPr>
                <w:rFonts w:eastAsia="Arial"/>
                <w:b/>
                <w:bCs/>
                <w:color w:val="231F20"/>
                <w:spacing w:val="-5"/>
                <w:position w:val="-1"/>
                <w:sz w:val="20"/>
                <w:szCs w:val="20"/>
              </w:rPr>
              <w:t>r</w:t>
            </w:r>
            <w:r w:rsidRPr="00396A64">
              <w:rPr>
                <w:rFonts w:eastAsia="Arial"/>
                <w:b/>
                <w:bCs/>
                <w:color w:val="231F20"/>
                <w:position w:val="-1"/>
                <w:sz w:val="20"/>
                <w:szCs w:val="20"/>
              </w:rPr>
              <w:t xml:space="preserve">culosis (TB) in adults in five </w:t>
            </w:r>
            <w:r w:rsidRPr="00396A64">
              <w:rPr>
                <w:rFonts w:eastAsia="Arial"/>
                <w:b/>
                <w:bCs/>
                <w:color w:val="231F20"/>
                <w:spacing w:val="-2"/>
                <w:position w:val="-1"/>
                <w:sz w:val="20"/>
                <w:szCs w:val="20"/>
              </w:rPr>
              <w:t>c</w:t>
            </w:r>
            <w:r w:rsidRPr="00396A64">
              <w:rPr>
                <w:rFonts w:eastAsia="Arial"/>
                <w:b/>
                <w:bCs/>
                <w:color w:val="231F20"/>
                <w:position w:val="-1"/>
                <w:sz w:val="20"/>
                <w:szCs w:val="20"/>
              </w:rPr>
              <w:t>linical scenario</w:t>
            </w:r>
            <w:r w:rsidRPr="00073F30">
              <w:rPr>
                <w:rFonts w:eastAsia="Arial"/>
                <w:b/>
                <w:bCs/>
                <w:color w:val="231F20"/>
                <w:position w:val="-1"/>
                <w:sz w:val="20"/>
                <w:szCs w:val="20"/>
              </w:rPr>
              <w:t>s</w:t>
            </w:r>
          </w:p>
        </w:tc>
      </w:tr>
      <w:tr w:rsidR="001D2034" w:rsidRPr="00073F30" w:rsidTr="00DF70A0">
        <w:trPr>
          <w:trHeight w:val="276"/>
          <w:jc w:val="center"/>
        </w:trPr>
        <w:tc>
          <w:tcPr>
            <w:tcW w:w="7560" w:type="dxa"/>
            <w:shd w:val="clear" w:color="auto" w:fill="auto"/>
          </w:tcPr>
          <w:p w:rsidR="001D2034" w:rsidRPr="00396A64" w:rsidRDefault="001D2034" w:rsidP="00DF70A0">
            <w:pPr>
              <w:spacing w:after="0" w:line="240" w:lineRule="auto"/>
              <w:ind w:left="1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396A64">
              <w:rPr>
                <w:rFonts w:eastAsia="Arial"/>
                <w:b/>
                <w:bCs/>
                <w:color w:val="231F20"/>
                <w:sz w:val="20"/>
                <w:szCs w:val="20"/>
              </w:rPr>
              <w:t>Patient</w:t>
            </w:r>
            <w:r w:rsidRPr="00396A64">
              <w:rPr>
                <w:rFonts w:eastAsia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b/>
                <w:bCs/>
                <w:color w:val="231F20"/>
                <w:sz w:val="20"/>
                <w:szCs w:val="20"/>
              </w:rPr>
              <w:t>characteristics</w:t>
            </w:r>
          </w:p>
        </w:tc>
        <w:tc>
          <w:tcPr>
            <w:tcW w:w="6660" w:type="dxa"/>
            <w:shd w:val="clear" w:color="auto" w:fill="auto"/>
          </w:tcPr>
          <w:p w:rsidR="001D2034" w:rsidRPr="00396A64" w:rsidRDefault="001D2034" w:rsidP="00DF7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A64">
              <w:rPr>
                <w:rFonts w:eastAsia="Arial"/>
                <w:b/>
                <w:bCs/>
                <w:color w:val="231F20"/>
                <w:sz w:val="20"/>
                <w:szCs w:val="20"/>
              </w:rPr>
              <w:t>Recommended</w:t>
            </w:r>
            <w:r w:rsidRPr="00396A64">
              <w:rPr>
                <w:rFonts w:eastAsia="Arial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color w:val="231F20"/>
                <w:spacing w:val="-8"/>
                <w:sz w:val="20"/>
                <w:szCs w:val="20"/>
              </w:rPr>
              <w:t xml:space="preserve">clinical </w:t>
            </w:r>
            <w:r w:rsidRPr="00396A64">
              <w:rPr>
                <w:rFonts w:eastAsia="Arial"/>
                <w:b/>
                <w:bCs/>
                <w:color w:val="231F20"/>
                <w:sz w:val="20"/>
                <w:szCs w:val="20"/>
              </w:rPr>
              <w:t>evaluation</w:t>
            </w:r>
          </w:p>
        </w:tc>
      </w:tr>
      <w:tr w:rsidR="001D2034" w:rsidRPr="00073F30" w:rsidTr="00DF70A0">
        <w:trPr>
          <w:jc w:val="center"/>
        </w:trPr>
        <w:tc>
          <w:tcPr>
            <w:tcW w:w="7560" w:type="dxa"/>
            <w:shd w:val="clear" w:color="auto" w:fill="auto"/>
          </w:tcPr>
          <w:p w:rsidR="001D2034" w:rsidRDefault="001D2034" w:rsidP="00DF70A0">
            <w:pPr>
              <w:spacing w:after="0" w:line="240" w:lineRule="auto"/>
              <w:ind w:left="120" w:right="-20"/>
              <w:rPr>
                <w:rFonts w:eastAsia="Arial"/>
                <w:color w:val="231F20"/>
                <w:sz w:val="20"/>
                <w:szCs w:val="20"/>
              </w:rPr>
            </w:pPr>
            <w:r w:rsidRPr="00396A6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4403B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Any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patient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with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cough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 xml:space="preserve">of </w:t>
            </w:r>
            <w:r>
              <w:rPr>
                <w:rFonts w:eastAsia="Arial"/>
                <w:color w:val="231F20"/>
                <w:sz w:val="20"/>
                <w:szCs w:val="20"/>
              </w:rPr>
              <w:t xml:space="preserve">≥ </w:t>
            </w:r>
            <w:r w:rsidRPr="00D4403B">
              <w:rPr>
                <w:rFonts w:eastAsia="Arial"/>
                <w:color w:val="231F20"/>
                <w:sz w:val="20"/>
                <w:szCs w:val="20"/>
              </w:rPr>
              <w:t xml:space="preserve">2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weeks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duration,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with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at least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one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additional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symptom,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including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fever,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night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sweats, weight</w:t>
            </w:r>
            <w:r w:rsidRPr="00396A64"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loss,</w:t>
            </w:r>
            <w:r w:rsidRPr="00396A64"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or</w:t>
            </w:r>
            <w:r w:rsidRPr="00396A64"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hemoptysis</w:t>
            </w:r>
          </w:p>
          <w:p w:rsidR="001D2034" w:rsidRDefault="001D2034" w:rsidP="00DF70A0">
            <w:pPr>
              <w:spacing w:after="0" w:line="240" w:lineRule="auto"/>
              <w:ind w:left="120" w:right="-20"/>
              <w:rPr>
                <w:rFonts w:eastAsia="Arial"/>
                <w:color w:val="231F20"/>
                <w:sz w:val="20"/>
                <w:szCs w:val="20"/>
              </w:rPr>
            </w:pPr>
          </w:p>
          <w:p w:rsidR="001D2034" w:rsidRDefault="001D2034" w:rsidP="00DF70A0">
            <w:pPr>
              <w:spacing w:after="0" w:line="240" w:lineRule="auto"/>
              <w:ind w:left="120" w:right="-20"/>
              <w:rPr>
                <w:rFonts w:eastAsia="Arial"/>
                <w:color w:val="231F20"/>
                <w:sz w:val="20"/>
                <w:szCs w:val="20"/>
              </w:rPr>
            </w:pPr>
            <w:r>
              <w:rPr>
                <w:rFonts w:eastAsia="Arial"/>
                <w:color w:val="231F20"/>
                <w:sz w:val="20"/>
                <w:szCs w:val="20"/>
              </w:rPr>
              <w:t>OR</w:t>
            </w:r>
          </w:p>
          <w:p w:rsidR="001D2034" w:rsidRDefault="001D2034" w:rsidP="00DF70A0">
            <w:pPr>
              <w:spacing w:after="0" w:line="240" w:lineRule="auto"/>
              <w:ind w:left="120" w:right="-20"/>
              <w:rPr>
                <w:rFonts w:eastAsia="Arial"/>
                <w:color w:val="231F20"/>
                <w:sz w:val="20"/>
                <w:szCs w:val="20"/>
              </w:rPr>
            </w:pPr>
          </w:p>
          <w:p w:rsidR="001D2034" w:rsidRPr="00396A64" w:rsidRDefault="001D2034" w:rsidP="00DF70A0">
            <w:pPr>
              <w:spacing w:after="0" w:line="240" w:lineRule="auto"/>
              <w:ind w:left="120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1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Any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patient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at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high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risk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for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T</w:t>
            </w:r>
            <w:r w:rsidRPr="00396A64">
              <w:rPr>
                <w:rFonts w:eastAsia="Arial"/>
                <w:color w:val="231F20"/>
                <w:spacing w:val="1"/>
                <w:sz w:val="20"/>
                <w:szCs w:val="20"/>
              </w:rPr>
              <w:t>B</w:t>
            </w:r>
            <w:r w:rsidRPr="00D4403B">
              <w:rPr>
                <w:rFonts w:eastAsia="Arial"/>
                <w:color w:val="231F20"/>
                <w:sz w:val="20"/>
                <w:szCs w:val="20"/>
                <w:vertAlign w:val="superscript"/>
              </w:rPr>
              <w:t>‡</w:t>
            </w:r>
            <w:r w:rsidRPr="00396A64">
              <w:rPr>
                <w:rFonts w:eastAsia="Arial"/>
                <w:color w:val="231F20"/>
                <w:spacing w:val="14"/>
                <w:position w:val="5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with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an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unexplained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illness, including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respiratory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symptoms,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of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231F20"/>
                <w:sz w:val="20"/>
                <w:szCs w:val="20"/>
              </w:rPr>
              <w:t xml:space="preserve">≥ </w:t>
            </w:r>
            <w:r w:rsidRPr="00D4403B">
              <w:rPr>
                <w:rFonts w:eastAsia="Arial"/>
                <w:color w:val="231F20"/>
                <w:sz w:val="20"/>
                <w:szCs w:val="20"/>
              </w:rPr>
              <w:t>2</w:t>
            </w:r>
            <w:r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weeks</w:t>
            </w:r>
            <w:r w:rsidRPr="00396A64"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duration</w:t>
            </w:r>
          </w:p>
        </w:tc>
        <w:tc>
          <w:tcPr>
            <w:tcW w:w="6660" w:type="dxa"/>
            <w:shd w:val="clear" w:color="auto" w:fill="auto"/>
          </w:tcPr>
          <w:p w:rsidR="001D2034" w:rsidRPr="00396A64" w:rsidRDefault="001D2034" w:rsidP="00DF70A0">
            <w:pPr>
              <w:widowControl w:val="0"/>
              <w:spacing w:after="0" w:line="240" w:lineRule="auto"/>
              <w:ind w:right="-48"/>
              <w:rPr>
                <w:rFonts w:eastAsia="Arial"/>
                <w:color w:val="231F20"/>
                <w:spacing w:val="14"/>
                <w:sz w:val="20"/>
                <w:szCs w:val="20"/>
              </w:rPr>
            </w:pPr>
            <w:r w:rsidRPr="00396A64">
              <w:rPr>
                <w:rFonts w:eastAsia="Arial"/>
                <w:color w:val="231F20"/>
                <w:sz w:val="20"/>
                <w:szCs w:val="20"/>
              </w:rPr>
              <w:t>Chest</w:t>
            </w:r>
            <w:r w:rsidRPr="00396A64">
              <w:rPr>
                <w:rFonts w:eastAsia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radiograph:</w:t>
            </w:r>
            <w:r w:rsidRPr="00396A64">
              <w:rPr>
                <w:rFonts w:eastAsia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if</w:t>
            </w:r>
            <w:r w:rsidRPr="00396A64">
              <w:rPr>
                <w:rFonts w:eastAsia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suggestive</w:t>
            </w:r>
            <w:r w:rsidRPr="00396A64">
              <w:rPr>
                <w:rFonts w:eastAsia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of</w:t>
            </w:r>
            <w:r w:rsidRPr="00396A64">
              <w:rPr>
                <w:rFonts w:eastAsia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TB,</w:t>
            </w:r>
            <w:r w:rsidRPr="00396A64">
              <w:rPr>
                <w:rFonts w:eastAsia="Arial"/>
                <w:b/>
                <w:color w:val="231F20"/>
                <w:sz w:val="20"/>
                <w:szCs w:val="20"/>
              </w:rPr>
              <w:t>*</w:t>
            </w:r>
          </w:p>
          <w:p w:rsidR="001D2034" w:rsidRPr="00D4403B" w:rsidRDefault="001D2034" w:rsidP="00DF70A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32" w:right="-48" w:hanging="270"/>
              <w:contextualSpacing/>
              <w:rPr>
                <w:rFonts w:eastAsia="Arial"/>
                <w:color w:val="231F20"/>
                <w:sz w:val="20"/>
                <w:szCs w:val="20"/>
              </w:rPr>
            </w:pPr>
            <w:r w:rsidRPr="00396A64">
              <w:rPr>
                <w:rFonts w:eastAsia="Arial"/>
                <w:color w:val="231F20"/>
                <w:sz w:val="20"/>
                <w:szCs w:val="20"/>
              </w:rPr>
              <w:t>Collect</w:t>
            </w:r>
            <w:r w:rsidRPr="00396A64">
              <w:rPr>
                <w:rFonts w:eastAsia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three</w:t>
            </w:r>
            <w:r w:rsidRPr="00396A64">
              <w:rPr>
                <w:rFonts w:eastAsia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231F20"/>
                <w:spacing w:val="14"/>
                <w:sz w:val="20"/>
                <w:szCs w:val="20"/>
              </w:rPr>
              <w:t>respiratory specimens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 xml:space="preserve"> for</w:t>
            </w:r>
            <w:r w:rsidRPr="00396A64"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acid-fast</w:t>
            </w:r>
            <w:r w:rsidRPr="00396A64"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bacilli</w:t>
            </w:r>
            <w:r w:rsidRPr="00396A64"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(AFB)</w:t>
            </w:r>
            <w:r w:rsidRPr="00396A64"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smear</w:t>
            </w:r>
            <w:r w:rsidRPr="00396A64"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microscopy</w:t>
            </w:r>
            <w:r w:rsidRPr="00396A64"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and culture</w:t>
            </w:r>
            <w:r>
              <w:rPr>
                <w:rFonts w:eastAsia="Arial"/>
                <w:color w:val="231F20"/>
                <w:sz w:val="20"/>
                <w:szCs w:val="20"/>
              </w:rPr>
              <w:t xml:space="preserve"> collected 8–24 hours apart, including 1 early morning specimen; respiratory specimens include</w:t>
            </w:r>
          </w:p>
          <w:p w:rsidR="001D2034" w:rsidRDefault="001D2034" w:rsidP="00DF70A0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792" w:right="-48"/>
              <w:contextualSpacing/>
              <w:rPr>
                <w:rFonts w:eastAsia="Arial"/>
                <w:color w:val="231F20"/>
                <w:sz w:val="20"/>
                <w:szCs w:val="20"/>
              </w:rPr>
            </w:pPr>
            <w:r>
              <w:rPr>
                <w:rFonts w:eastAsia="Arial"/>
                <w:color w:val="231F20"/>
                <w:sz w:val="20"/>
                <w:szCs w:val="20"/>
              </w:rPr>
              <w:t xml:space="preserve">3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sput</w:t>
            </w:r>
            <w:r>
              <w:rPr>
                <w:rFonts w:eastAsia="Arial"/>
                <w:color w:val="231F20"/>
                <w:sz w:val="20"/>
                <w:szCs w:val="20"/>
              </w:rPr>
              <w:t>a(preferably induced), OR</w:t>
            </w:r>
          </w:p>
          <w:p w:rsidR="001D2034" w:rsidRPr="00396A64" w:rsidRDefault="001D2034" w:rsidP="00DF70A0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702" w:right="-48" w:hanging="270"/>
              <w:contextualSpacing/>
              <w:rPr>
                <w:rFonts w:eastAsia="Arial"/>
                <w:color w:val="231F20"/>
                <w:sz w:val="20"/>
                <w:szCs w:val="20"/>
              </w:rPr>
            </w:pPr>
            <w:r>
              <w:rPr>
                <w:rFonts w:eastAsia="Arial"/>
                <w:color w:val="231F20"/>
                <w:sz w:val="20"/>
                <w:szCs w:val="20"/>
              </w:rPr>
              <w:t xml:space="preserve">2 sputa (preferably induced) and 1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bronchoalveolar lavage (BAL); at least 1 sputum should be collected after BAL</w:t>
            </w:r>
          </w:p>
          <w:p w:rsidR="001D2034" w:rsidRPr="00396A64" w:rsidRDefault="001D2034" w:rsidP="00DF70A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32" w:right="-48" w:hanging="270"/>
              <w:contextualSpacing/>
              <w:rPr>
                <w:sz w:val="20"/>
                <w:szCs w:val="20"/>
              </w:rPr>
            </w:pPr>
            <w:r w:rsidRPr="00396A64">
              <w:rPr>
                <w:sz w:val="20"/>
                <w:szCs w:val="20"/>
              </w:rPr>
              <w:t xml:space="preserve">Process at least one </w:t>
            </w:r>
            <w:r>
              <w:rPr>
                <w:sz w:val="20"/>
                <w:szCs w:val="20"/>
              </w:rPr>
              <w:t>respiratory</w:t>
            </w:r>
            <w:r w:rsidRPr="00396A64">
              <w:rPr>
                <w:sz w:val="20"/>
                <w:szCs w:val="20"/>
              </w:rPr>
              <w:t xml:space="preserve"> specimen for nucleic acid amplification test (NAAT)</w:t>
            </w:r>
          </w:p>
        </w:tc>
      </w:tr>
      <w:tr w:rsidR="001D2034" w:rsidRPr="00073F30" w:rsidTr="00DF70A0">
        <w:trPr>
          <w:jc w:val="center"/>
        </w:trPr>
        <w:tc>
          <w:tcPr>
            <w:tcW w:w="7560" w:type="dxa"/>
            <w:shd w:val="clear" w:color="auto" w:fill="auto"/>
          </w:tcPr>
          <w:p w:rsidR="001D2034" w:rsidRDefault="001D2034" w:rsidP="00DF70A0">
            <w:pPr>
              <w:widowControl w:val="0"/>
              <w:spacing w:after="0" w:line="240" w:lineRule="auto"/>
              <w:ind w:left="120" w:right="73"/>
              <w:rPr>
                <w:rFonts w:eastAsia="Arial"/>
                <w:color w:val="231F20"/>
                <w:sz w:val="20"/>
                <w:szCs w:val="20"/>
              </w:rPr>
            </w:pPr>
            <w:r w:rsidRPr="00561B01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Any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patient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with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HIV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infection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and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unexplained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cough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and fever</w:t>
            </w:r>
          </w:p>
          <w:p w:rsidR="001D2034" w:rsidRDefault="001D2034" w:rsidP="00DF70A0">
            <w:pPr>
              <w:widowControl w:val="0"/>
              <w:spacing w:after="0" w:line="240" w:lineRule="auto"/>
              <w:ind w:left="120" w:right="73"/>
              <w:rPr>
                <w:rFonts w:eastAsia="Arial"/>
                <w:color w:val="231F20"/>
                <w:sz w:val="20"/>
                <w:szCs w:val="20"/>
              </w:rPr>
            </w:pPr>
          </w:p>
          <w:p w:rsidR="001D2034" w:rsidRDefault="001D2034" w:rsidP="00DF70A0">
            <w:pPr>
              <w:widowControl w:val="0"/>
              <w:spacing w:after="0" w:line="240" w:lineRule="auto"/>
              <w:ind w:left="120" w:right="73"/>
              <w:rPr>
                <w:rFonts w:eastAsia="Arial"/>
                <w:color w:val="231F20"/>
                <w:sz w:val="20"/>
                <w:szCs w:val="20"/>
              </w:rPr>
            </w:pPr>
            <w:r>
              <w:rPr>
                <w:rFonts w:eastAsia="Arial"/>
                <w:color w:val="231F20"/>
                <w:sz w:val="20"/>
                <w:szCs w:val="20"/>
              </w:rPr>
              <w:t>OR</w:t>
            </w:r>
          </w:p>
          <w:p w:rsidR="001D2034" w:rsidRDefault="001D2034" w:rsidP="00DF70A0">
            <w:pPr>
              <w:widowControl w:val="0"/>
              <w:spacing w:after="0" w:line="240" w:lineRule="auto"/>
              <w:ind w:left="120" w:right="73"/>
              <w:rPr>
                <w:rFonts w:eastAsia="Arial"/>
                <w:color w:val="231F20"/>
                <w:sz w:val="20"/>
                <w:szCs w:val="20"/>
              </w:rPr>
            </w:pPr>
          </w:p>
          <w:p w:rsidR="001D2034" w:rsidRPr="00396A64" w:rsidRDefault="001D2034" w:rsidP="00DF70A0">
            <w:pPr>
              <w:widowControl w:val="0"/>
              <w:spacing w:after="0" w:line="240" w:lineRule="auto"/>
              <w:ind w:left="120" w:right="73"/>
              <w:rPr>
                <w:rFonts w:eastAsia="Arial"/>
                <w:sz w:val="20"/>
                <w:szCs w:val="20"/>
              </w:rPr>
            </w:pPr>
            <w:r w:rsidRPr="00561B01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Any</w:t>
            </w:r>
            <w:r w:rsidRPr="00396A64">
              <w:rPr>
                <w:rFonts w:eastAsia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patient</w:t>
            </w:r>
            <w:r w:rsidRPr="00396A64">
              <w:rPr>
                <w:rFonts w:eastAsia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at</w:t>
            </w:r>
            <w:r w:rsidRPr="00396A64">
              <w:rPr>
                <w:rFonts w:eastAsia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high</w:t>
            </w:r>
            <w:r w:rsidRPr="00396A64">
              <w:rPr>
                <w:rFonts w:eastAsia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risk</w:t>
            </w:r>
            <w:r w:rsidRPr="00396A64">
              <w:rPr>
                <w:rFonts w:eastAsia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for</w:t>
            </w:r>
            <w:r w:rsidRPr="00396A64">
              <w:rPr>
                <w:rFonts w:eastAsia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TB</w:t>
            </w:r>
            <w:r w:rsidRPr="00561B01">
              <w:rPr>
                <w:rFonts w:eastAsia="Arial"/>
                <w:color w:val="231F20"/>
                <w:sz w:val="20"/>
                <w:szCs w:val="20"/>
                <w:vertAlign w:val="superscript"/>
              </w:rPr>
              <w:t>‡</w:t>
            </w:r>
            <w:r w:rsidRPr="00396A64">
              <w:rPr>
                <w:rFonts w:eastAsia="Arial"/>
                <w:color w:val="231F20"/>
                <w:spacing w:val="-17"/>
                <w:position w:val="5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with</w:t>
            </w:r>
            <w:r w:rsidRPr="00396A64">
              <w:rPr>
                <w:rFonts w:eastAsia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</w:t>
            </w:r>
            <w:r w:rsidRPr="00396A64">
              <w:rPr>
                <w:rFonts w:eastAsia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diagnosis</w:t>
            </w:r>
            <w:r w:rsidRPr="00396A64">
              <w:rPr>
                <w:rFonts w:eastAsia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of community-acquired</w:t>
            </w:r>
            <w:r w:rsidRPr="00396A64">
              <w:rPr>
                <w:rFonts w:eastAsia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pneumonia</w:t>
            </w:r>
            <w:r w:rsidRPr="00396A64">
              <w:rPr>
                <w:rFonts w:eastAsia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who</w:t>
            </w:r>
            <w:r w:rsidRPr="00396A64">
              <w:rPr>
                <w:rFonts w:eastAsia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has</w:t>
            </w:r>
            <w:r w:rsidRPr="00396A64">
              <w:rPr>
                <w:rFonts w:eastAsia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not</w:t>
            </w:r>
            <w:r w:rsidRPr="00396A64">
              <w:rPr>
                <w:rFonts w:eastAsia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improved after</w:t>
            </w:r>
            <w:r w:rsidRPr="00396A64">
              <w:rPr>
                <w:rFonts w:eastAsia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7</w:t>
            </w:r>
            <w:r w:rsidRPr="00396A64">
              <w:rPr>
                <w:rFonts w:eastAsia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days</w:t>
            </w:r>
            <w:r w:rsidRPr="00396A64">
              <w:rPr>
                <w:rFonts w:eastAsia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of</w:t>
            </w:r>
            <w:r w:rsidRPr="00396A64">
              <w:rPr>
                <w:rFonts w:eastAsia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treatment</w:t>
            </w:r>
          </w:p>
        </w:tc>
        <w:tc>
          <w:tcPr>
            <w:tcW w:w="6660" w:type="dxa"/>
            <w:shd w:val="clear" w:color="auto" w:fill="auto"/>
          </w:tcPr>
          <w:p w:rsidR="001D2034" w:rsidRPr="00396A64" w:rsidRDefault="001D2034" w:rsidP="00DF70A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32" w:right="-20" w:hanging="270"/>
              <w:contextualSpacing/>
              <w:rPr>
                <w:rFonts w:eastAsia="Arial"/>
                <w:color w:val="231F20"/>
                <w:sz w:val="20"/>
                <w:szCs w:val="20"/>
              </w:rPr>
            </w:pPr>
            <w:r>
              <w:rPr>
                <w:rFonts w:eastAsia="Arial"/>
                <w:color w:val="231F20"/>
                <w:sz w:val="20"/>
                <w:szCs w:val="20"/>
              </w:rPr>
              <w:t>C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hest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radiograph</w:t>
            </w:r>
            <w:r>
              <w:rPr>
                <w:rFonts w:eastAsia="Arial"/>
                <w:color w:val="231F20"/>
                <w:sz w:val="20"/>
                <w:szCs w:val="20"/>
              </w:rPr>
              <w:t>*</w:t>
            </w:r>
          </w:p>
          <w:p w:rsidR="001D2034" w:rsidRPr="00A60612" w:rsidRDefault="001D2034" w:rsidP="00DF70A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32" w:right="-48" w:hanging="270"/>
              <w:contextualSpacing/>
              <w:rPr>
                <w:rFonts w:eastAsia="Arial"/>
                <w:color w:val="231F20"/>
                <w:sz w:val="20"/>
                <w:szCs w:val="20"/>
              </w:rPr>
            </w:pPr>
            <w:r w:rsidRPr="00A60612">
              <w:rPr>
                <w:rFonts w:eastAsia="Arial"/>
                <w:color w:val="231F20"/>
                <w:sz w:val="20"/>
                <w:szCs w:val="20"/>
              </w:rPr>
              <w:t xml:space="preserve">Collect </w:t>
            </w:r>
            <w:r w:rsidRPr="00D4403B">
              <w:rPr>
                <w:rFonts w:eastAsia="Arial"/>
                <w:color w:val="231F20"/>
                <w:spacing w:val="14"/>
                <w:sz w:val="20"/>
                <w:szCs w:val="20"/>
              </w:rPr>
              <w:t>three</w:t>
            </w:r>
            <w:r w:rsidRPr="00A60612">
              <w:rPr>
                <w:rFonts w:eastAsia="Arial"/>
                <w:color w:val="231F20"/>
                <w:sz w:val="20"/>
                <w:szCs w:val="20"/>
              </w:rPr>
              <w:t xml:space="preserve"> respiratory specimens for acid-fast bacilli (AFB) smear microscopy and culture collected 8–24 h</w:t>
            </w:r>
            <w:r>
              <w:rPr>
                <w:rFonts w:eastAsia="Arial"/>
                <w:color w:val="231F20"/>
                <w:sz w:val="20"/>
                <w:szCs w:val="20"/>
              </w:rPr>
              <w:t>ou</w:t>
            </w:r>
            <w:r w:rsidRPr="00A60612">
              <w:rPr>
                <w:rFonts w:eastAsia="Arial"/>
                <w:color w:val="231F20"/>
                <w:sz w:val="20"/>
                <w:szCs w:val="20"/>
              </w:rPr>
              <w:t>rs apart, including 1 early morning specimen; respiratory specimens include</w:t>
            </w:r>
          </w:p>
          <w:p w:rsidR="001D2034" w:rsidRPr="00A60612" w:rsidRDefault="001D2034" w:rsidP="00DF70A0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702" w:right="-48" w:hanging="270"/>
              <w:contextualSpacing/>
              <w:rPr>
                <w:rFonts w:eastAsia="Arial"/>
                <w:color w:val="231F20"/>
                <w:sz w:val="20"/>
                <w:szCs w:val="20"/>
              </w:rPr>
            </w:pPr>
            <w:r w:rsidRPr="00A60612">
              <w:rPr>
                <w:rFonts w:eastAsia="Arial"/>
                <w:color w:val="231F20"/>
                <w:sz w:val="20"/>
                <w:szCs w:val="20"/>
              </w:rPr>
              <w:t>3 sputa(preferably induced), OR</w:t>
            </w:r>
          </w:p>
          <w:p w:rsidR="001D2034" w:rsidRPr="00A60612" w:rsidRDefault="001D2034" w:rsidP="00DF70A0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702" w:right="-48" w:hanging="270"/>
              <w:contextualSpacing/>
              <w:rPr>
                <w:rFonts w:eastAsia="Arial"/>
                <w:color w:val="231F20"/>
                <w:sz w:val="20"/>
                <w:szCs w:val="20"/>
              </w:rPr>
            </w:pPr>
            <w:r w:rsidRPr="00A60612">
              <w:rPr>
                <w:rFonts w:eastAsia="Arial"/>
                <w:color w:val="231F20"/>
                <w:sz w:val="20"/>
                <w:szCs w:val="20"/>
              </w:rPr>
              <w:t xml:space="preserve">2 sputa (preferably induced) and 1 </w:t>
            </w:r>
            <w:r>
              <w:rPr>
                <w:rFonts w:eastAsia="Arial"/>
                <w:color w:val="231F20"/>
                <w:sz w:val="20"/>
                <w:szCs w:val="20"/>
              </w:rPr>
              <w:t>BAL</w:t>
            </w:r>
            <w:r w:rsidRPr="00A60612">
              <w:rPr>
                <w:rFonts w:eastAsia="Arial"/>
                <w:color w:val="231F20"/>
                <w:sz w:val="20"/>
                <w:szCs w:val="20"/>
              </w:rPr>
              <w:t>; at least 1 sputum should be collected after BAL</w:t>
            </w:r>
          </w:p>
          <w:p w:rsidR="001D2034" w:rsidRPr="00396A64" w:rsidRDefault="001D2034" w:rsidP="00DF70A0">
            <w:pPr>
              <w:numPr>
                <w:ilvl w:val="0"/>
                <w:numId w:val="2"/>
              </w:numPr>
              <w:spacing w:after="0" w:line="240" w:lineRule="auto"/>
              <w:ind w:left="432" w:hanging="270"/>
              <w:contextualSpacing/>
              <w:rPr>
                <w:rFonts w:eastAsia="Arial"/>
                <w:sz w:val="20"/>
                <w:szCs w:val="20"/>
              </w:rPr>
            </w:pPr>
            <w:r w:rsidRPr="00A60612">
              <w:rPr>
                <w:rFonts w:eastAsia="Arial"/>
                <w:color w:val="231F20"/>
                <w:sz w:val="20"/>
                <w:szCs w:val="20"/>
              </w:rPr>
              <w:t>Process at least one respiratory specimen for nucleic acid amplification test (NAAT)</w:t>
            </w:r>
          </w:p>
        </w:tc>
      </w:tr>
      <w:tr w:rsidR="001D2034" w:rsidRPr="00073F30" w:rsidTr="00DF70A0">
        <w:trPr>
          <w:jc w:val="center"/>
        </w:trPr>
        <w:tc>
          <w:tcPr>
            <w:tcW w:w="7560" w:type="dxa"/>
            <w:tcBorders>
              <w:bottom w:val="single" w:sz="12" w:space="0" w:color="auto"/>
            </w:tcBorders>
            <w:shd w:val="clear" w:color="auto" w:fill="auto"/>
          </w:tcPr>
          <w:p w:rsidR="001D2034" w:rsidRPr="00396A64" w:rsidRDefault="001D2034" w:rsidP="00DF70A0">
            <w:pPr>
              <w:widowControl w:val="0"/>
              <w:spacing w:after="0" w:line="240" w:lineRule="auto"/>
              <w:ind w:left="120"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1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Any</w:t>
            </w:r>
            <w:r w:rsidRPr="00396A64">
              <w:rPr>
                <w:rFonts w:eastAsia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patient</w:t>
            </w:r>
            <w:r w:rsidRPr="00396A64">
              <w:rPr>
                <w:rFonts w:eastAsia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at</w:t>
            </w:r>
            <w:r w:rsidRPr="00396A64">
              <w:rPr>
                <w:rFonts w:eastAsia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high</w:t>
            </w:r>
            <w:r w:rsidRPr="00396A64">
              <w:rPr>
                <w:rFonts w:eastAsia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risk</w:t>
            </w:r>
            <w:r w:rsidRPr="00396A64">
              <w:rPr>
                <w:rFonts w:eastAsia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for</w:t>
            </w:r>
            <w:r w:rsidRPr="00396A64">
              <w:rPr>
                <w:rFonts w:eastAsia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TB</w:t>
            </w:r>
            <w:r w:rsidRPr="00561B01">
              <w:rPr>
                <w:rFonts w:eastAsia="Arial"/>
                <w:color w:val="231F20"/>
                <w:sz w:val="20"/>
                <w:szCs w:val="20"/>
                <w:vertAlign w:val="superscript"/>
              </w:rPr>
              <w:t>‡</w:t>
            </w:r>
            <w:r w:rsidRPr="00396A64">
              <w:rPr>
                <w:rFonts w:eastAsia="Arial"/>
                <w:color w:val="231F20"/>
                <w:spacing w:val="-17"/>
                <w:position w:val="5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with</w:t>
            </w:r>
            <w:r w:rsidRPr="00396A64">
              <w:rPr>
                <w:rFonts w:eastAsia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231F20"/>
                <w:sz w:val="20"/>
                <w:szCs w:val="20"/>
              </w:rPr>
              <w:t>equivocal</w:t>
            </w:r>
            <w:r w:rsidRPr="00396A64">
              <w:rPr>
                <w:rFonts w:eastAsia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findings</w:t>
            </w:r>
            <w:r w:rsidRPr="00396A64">
              <w:rPr>
                <w:rFonts w:eastAsia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on chest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radiograph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(performed for any reason)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suggestive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of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TB</w:t>
            </w:r>
            <w:r w:rsidRPr="00396A64">
              <w:rPr>
                <w:rFonts w:eastAsia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even</w:t>
            </w:r>
            <w:r w:rsidRPr="00396A64"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if</w:t>
            </w:r>
            <w:r w:rsidRPr="00396A64"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symptoms</w:t>
            </w:r>
            <w:r w:rsidRPr="00396A64">
              <w:rPr>
                <w:rFonts w:eastAsia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are minimal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or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absent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1D2034" w:rsidRPr="00396A64" w:rsidRDefault="001D2034" w:rsidP="00DF70A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32" w:right="188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"/>
                <w:color w:val="231F20"/>
                <w:sz w:val="20"/>
                <w:szCs w:val="20"/>
              </w:rPr>
              <w:t>R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eview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of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previous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chest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radiographs</w:t>
            </w:r>
            <w:r>
              <w:rPr>
                <w:rFonts w:eastAsia="Arial"/>
                <w:color w:val="231F20"/>
                <w:sz w:val="20"/>
                <w:szCs w:val="20"/>
              </w:rPr>
              <w:t>*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if</w:t>
            </w:r>
            <w:r w:rsidRPr="00396A64">
              <w:rPr>
                <w:rFonts w:eastAsia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396A64">
              <w:rPr>
                <w:rFonts w:eastAsia="Arial"/>
                <w:color w:val="231F20"/>
                <w:sz w:val="20"/>
                <w:szCs w:val="20"/>
              </w:rPr>
              <w:t>available</w:t>
            </w:r>
          </w:p>
          <w:p w:rsidR="001D2034" w:rsidRPr="00A60612" w:rsidRDefault="001D2034" w:rsidP="00DF70A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32" w:right="188" w:hanging="270"/>
              <w:contextualSpacing/>
              <w:rPr>
                <w:rFonts w:eastAsia="Arial"/>
                <w:color w:val="231F20"/>
                <w:sz w:val="20"/>
                <w:szCs w:val="20"/>
              </w:rPr>
            </w:pPr>
            <w:r w:rsidRPr="00A60612">
              <w:rPr>
                <w:rFonts w:eastAsia="Arial"/>
                <w:color w:val="231F20"/>
                <w:sz w:val="20"/>
                <w:szCs w:val="20"/>
              </w:rPr>
              <w:t>Collect three respiratory specimens for acid-fast bacilli (AFB) smear microscopy and culture collected 8–24 h</w:t>
            </w:r>
            <w:r>
              <w:rPr>
                <w:rFonts w:eastAsia="Arial"/>
                <w:color w:val="231F20"/>
                <w:sz w:val="20"/>
                <w:szCs w:val="20"/>
              </w:rPr>
              <w:t>ou</w:t>
            </w:r>
            <w:r w:rsidRPr="00A60612">
              <w:rPr>
                <w:rFonts w:eastAsia="Arial"/>
                <w:color w:val="231F20"/>
                <w:sz w:val="20"/>
                <w:szCs w:val="20"/>
              </w:rPr>
              <w:t>rs apart, including 1 early morning specimen; respiratory specimens include</w:t>
            </w:r>
          </w:p>
          <w:p w:rsidR="001D2034" w:rsidRPr="00A60612" w:rsidRDefault="001D2034" w:rsidP="00DF70A0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792" w:right="-48"/>
              <w:contextualSpacing/>
              <w:rPr>
                <w:rFonts w:eastAsia="Arial"/>
                <w:color w:val="231F20"/>
                <w:sz w:val="20"/>
                <w:szCs w:val="20"/>
              </w:rPr>
            </w:pPr>
            <w:r w:rsidRPr="00A60612">
              <w:rPr>
                <w:rFonts w:eastAsia="Arial"/>
                <w:color w:val="231F20"/>
                <w:sz w:val="20"/>
                <w:szCs w:val="20"/>
              </w:rPr>
              <w:t>3 sputa(preferably induced), OR</w:t>
            </w:r>
          </w:p>
          <w:p w:rsidR="001D2034" w:rsidRPr="00A60612" w:rsidRDefault="001D2034" w:rsidP="00DF70A0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702" w:right="-48" w:hanging="270"/>
              <w:contextualSpacing/>
              <w:rPr>
                <w:rFonts w:eastAsia="Arial"/>
                <w:color w:val="231F20"/>
                <w:sz w:val="20"/>
                <w:szCs w:val="20"/>
              </w:rPr>
            </w:pPr>
            <w:r w:rsidRPr="00A60612">
              <w:rPr>
                <w:rFonts w:eastAsia="Arial"/>
                <w:color w:val="231F20"/>
                <w:sz w:val="20"/>
                <w:szCs w:val="20"/>
              </w:rPr>
              <w:t>2 sputa (preferably induced) and 1 BAL; at least 1 sputum should be collected after BAL</w:t>
            </w:r>
          </w:p>
          <w:p w:rsidR="001D2034" w:rsidRPr="00396A64" w:rsidRDefault="001D2034" w:rsidP="00DF70A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32" w:right="188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0612">
              <w:rPr>
                <w:rFonts w:eastAsia="Arial"/>
                <w:color w:val="231F20"/>
                <w:sz w:val="20"/>
                <w:szCs w:val="20"/>
              </w:rPr>
              <w:t>Process at least one respiratory specimen for nucleic acid amplification test (NAAT)</w:t>
            </w:r>
          </w:p>
        </w:tc>
      </w:tr>
      <w:tr w:rsidR="001D2034" w:rsidRPr="00073F30" w:rsidTr="00DF70A0">
        <w:trPr>
          <w:jc w:val="center"/>
        </w:trPr>
        <w:tc>
          <w:tcPr>
            <w:tcW w:w="142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D2034" w:rsidRPr="00D4403B" w:rsidRDefault="001D2034" w:rsidP="00DF70A0">
            <w:pPr>
              <w:widowControl w:val="0"/>
              <w:spacing w:after="0" w:line="240" w:lineRule="auto"/>
              <w:ind w:left="211" w:right="72" w:hanging="211"/>
              <w:rPr>
                <w:rFonts w:eastAsia="Arial"/>
                <w:sz w:val="20"/>
                <w:szCs w:val="20"/>
              </w:rPr>
            </w:pPr>
            <w:r w:rsidRPr="00D4403B">
              <w:rPr>
                <w:rFonts w:eastAsia="Arial"/>
                <w:bCs/>
                <w:color w:val="231F20"/>
                <w:sz w:val="20"/>
                <w:szCs w:val="20"/>
              </w:rPr>
              <w:t xml:space="preserve">*See </w:t>
            </w:r>
            <w:hyperlink r:id="rId5" w:history="1">
              <w:r w:rsidRPr="00064C50">
                <w:rPr>
                  <w:rStyle w:val="Hyperlink"/>
                  <w:rFonts w:eastAsia="Arial"/>
                  <w:bCs/>
                  <w:sz w:val="20"/>
                  <w:szCs w:val="20"/>
                </w:rPr>
                <w:t>TB Radiology Resource Page</w:t>
              </w:r>
            </w:hyperlink>
            <w:r w:rsidRPr="00655751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</w:tc>
      </w:tr>
      <w:tr w:rsidR="001D2034" w:rsidRPr="00073F30" w:rsidTr="00DF70A0">
        <w:trPr>
          <w:jc w:val="center"/>
        </w:trPr>
        <w:tc>
          <w:tcPr>
            <w:tcW w:w="14220" w:type="dxa"/>
            <w:gridSpan w:val="2"/>
            <w:shd w:val="clear" w:color="auto" w:fill="auto"/>
          </w:tcPr>
          <w:p w:rsidR="001D2034" w:rsidRPr="00D4403B" w:rsidRDefault="001D2034" w:rsidP="00DF70A0">
            <w:pPr>
              <w:widowControl w:val="0"/>
              <w:spacing w:after="0" w:line="240" w:lineRule="auto"/>
              <w:ind w:righ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D4403B">
              <w:rPr>
                <w:rFonts w:eastAsia="Arial"/>
                <w:color w:val="231F20"/>
                <w:sz w:val="18"/>
                <w:szCs w:val="18"/>
                <w:vertAlign w:val="superscript"/>
              </w:rPr>
              <w:t>‡</w:t>
            </w:r>
            <w:r w:rsidRPr="00D4403B">
              <w:rPr>
                <w:rFonts w:eastAsia="Arial"/>
                <w:color w:val="231F20"/>
                <w:spacing w:val="-17"/>
                <w:position w:val="5"/>
                <w:sz w:val="18"/>
                <w:szCs w:val="18"/>
              </w:rPr>
              <w:t xml:space="preserve"> </w:t>
            </w:r>
            <w:r w:rsidRPr="00655751">
              <w:rPr>
                <w:rFonts w:eastAsia="Arial"/>
                <w:color w:val="231F20"/>
                <w:sz w:val="18"/>
                <w:szCs w:val="18"/>
              </w:rPr>
              <w:t>I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nclude</w:t>
            </w:r>
            <w:r w:rsidRPr="00655751">
              <w:rPr>
                <w:rFonts w:eastAsia="Arial"/>
                <w:color w:val="231F20"/>
                <w:spacing w:val="2"/>
                <w:sz w:val="18"/>
                <w:szCs w:val="18"/>
              </w:rPr>
              <w:t>s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:</w:t>
            </w:r>
            <w:r w:rsidRPr="00D4403B">
              <w:rPr>
                <w:rFonts w:eastAsia="Arial"/>
                <w:color w:val="231F20"/>
                <w:spacing w:val="18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recen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t</w:t>
            </w:r>
            <w:r w:rsidRPr="00D4403B">
              <w:rPr>
                <w:rFonts w:eastAsia="Arial"/>
                <w:color w:val="231F20"/>
                <w:spacing w:val="2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-4"/>
                <w:sz w:val="18"/>
                <w:szCs w:val="18"/>
              </w:rPr>
              <w:t>e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xposur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e</w:t>
            </w:r>
            <w:r w:rsidRPr="00D4403B">
              <w:rPr>
                <w:rFonts w:eastAsia="Arial"/>
                <w:color w:val="231F20"/>
                <w:spacing w:val="2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t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o</w:t>
            </w:r>
            <w:r w:rsidRPr="00D4403B">
              <w:rPr>
                <w:rFonts w:eastAsia="Arial"/>
                <w:color w:val="231F20"/>
                <w:spacing w:val="2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a</w:t>
            </w:r>
            <w:r w:rsidRPr="00D4403B">
              <w:rPr>
                <w:rFonts w:eastAsia="Arial"/>
                <w:color w:val="231F20"/>
                <w:spacing w:val="2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perso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n</w:t>
            </w:r>
            <w:r w:rsidRPr="00D4403B">
              <w:rPr>
                <w:rFonts w:eastAsia="Arial"/>
                <w:color w:val="231F20"/>
                <w:spacing w:val="2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wit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h</w:t>
            </w:r>
            <w:r w:rsidRPr="00D4403B">
              <w:rPr>
                <w:rFonts w:eastAsia="Arial"/>
                <w:color w:val="231F20"/>
                <w:spacing w:val="2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in</w:t>
            </w:r>
            <w:r w:rsidRPr="00D4403B">
              <w:rPr>
                <w:rFonts w:eastAsia="Arial"/>
                <w:color w:val="231F20"/>
                <w:spacing w:val="-2"/>
                <w:sz w:val="18"/>
                <w:szCs w:val="18"/>
              </w:rPr>
              <w:t>f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ectiou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s</w:t>
            </w:r>
            <w:r w:rsidRPr="00D4403B">
              <w:rPr>
                <w:rFonts w:eastAsia="Arial"/>
                <w:color w:val="231F20"/>
                <w:spacing w:val="17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TB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;</w:t>
            </w:r>
            <w:r w:rsidRPr="00D4403B">
              <w:rPr>
                <w:rFonts w:eastAsia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histo</w:t>
            </w:r>
            <w:r w:rsidRPr="00D4403B">
              <w:rPr>
                <w:rFonts w:eastAsia="Arial"/>
                <w:color w:val="231F20"/>
                <w:spacing w:val="7"/>
                <w:sz w:val="18"/>
                <w:szCs w:val="18"/>
              </w:rPr>
              <w:t>r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y</w:t>
            </w:r>
            <w:r w:rsidRPr="00D4403B">
              <w:rPr>
                <w:rFonts w:eastAsia="Arial"/>
                <w:color w:val="231F20"/>
                <w:spacing w:val="2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o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f</w:t>
            </w:r>
            <w:r w:rsidRPr="00D4403B">
              <w:rPr>
                <w:rFonts w:eastAsia="Arial"/>
                <w:color w:val="231F20"/>
                <w:spacing w:val="2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a</w:t>
            </w:r>
            <w:r w:rsidRPr="00D4403B">
              <w:rPr>
                <w:rFonts w:eastAsia="Arial"/>
                <w:color w:val="231F20"/>
                <w:spacing w:val="2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pos</w:t>
            </w:r>
            <w:r w:rsidRPr="00D4403B">
              <w:rPr>
                <w:rFonts w:eastAsia="Arial"/>
                <w:color w:val="231F20"/>
                <w:spacing w:val="3"/>
                <w:sz w:val="18"/>
                <w:szCs w:val="18"/>
              </w:rPr>
              <w:t>i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ti</w:t>
            </w:r>
            <w:r w:rsidRPr="00D4403B">
              <w:rPr>
                <w:rFonts w:eastAsia="Arial"/>
                <w:color w:val="231F20"/>
                <w:spacing w:val="-1"/>
                <w:sz w:val="18"/>
                <w:szCs w:val="18"/>
              </w:rPr>
              <w:t>v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e</w:t>
            </w:r>
            <w:r w:rsidRPr="00D4403B">
              <w:rPr>
                <w:rFonts w:eastAsia="Arial"/>
                <w:color w:val="231F20"/>
                <w:spacing w:val="2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tes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t</w:t>
            </w:r>
            <w:r w:rsidRPr="00D4403B">
              <w:rPr>
                <w:rFonts w:eastAsia="Arial"/>
                <w:color w:val="231F20"/>
                <w:spacing w:val="2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resul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t</w:t>
            </w:r>
            <w:r w:rsidRPr="00D4403B">
              <w:rPr>
                <w:rFonts w:eastAsia="Arial"/>
                <w:color w:val="231F20"/>
                <w:spacing w:val="2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-1"/>
                <w:sz w:val="18"/>
                <w:szCs w:val="18"/>
              </w:rPr>
              <w:t>f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o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 xml:space="preserve">r </w:t>
            </w:r>
            <w:proofErr w:type="spellStart"/>
            <w:r w:rsidRPr="00655751">
              <w:rPr>
                <w:rFonts w:eastAsia="Arial"/>
                <w:color w:val="231F20"/>
                <w:sz w:val="18"/>
                <w:szCs w:val="18"/>
              </w:rPr>
              <w:t>M.</w:t>
            </w:r>
            <w:r w:rsidRPr="00D4403B">
              <w:rPr>
                <w:rFonts w:eastAsia="Arial"/>
                <w:i/>
                <w:color w:val="231F20"/>
                <w:sz w:val="18"/>
                <w:szCs w:val="18"/>
              </w:rPr>
              <w:t>tb</w:t>
            </w:r>
            <w:proofErr w:type="spellEnd"/>
            <w:r w:rsidRPr="00D4403B">
              <w:rPr>
                <w:rFonts w:eastAsia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infection;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HIV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infection;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injection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or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D4403B">
              <w:rPr>
                <w:rFonts w:eastAsia="Arial"/>
                <w:color w:val="231F20"/>
                <w:sz w:val="18"/>
                <w:szCs w:val="18"/>
              </w:rPr>
              <w:t>noninjection</w:t>
            </w:r>
            <w:proofErr w:type="spellEnd"/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drug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use;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foreign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birth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and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immigration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in</w:t>
            </w:r>
            <w:r w:rsidRPr="00D4403B">
              <w:rPr>
                <w:rFonts w:eastAsia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  <w:u w:val="single" w:color="231F20"/>
              </w:rPr>
              <w:t>&lt;5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years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from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a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region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in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which incidence is high; residents and employees of high-risk congregate settings; membership in a medically underserved, low-income</w:t>
            </w:r>
            <w:r w:rsidRPr="00D4403B">
              <w:rPr>
                <w:rFonts w:eastAsia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population; or a medical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isk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-5"/>
                <w:sz w:val="18"/>
                <w:szCs w:val="18"/>
              </w:rPr>
              <w:t>f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actor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-4"/>
                <w:sz w:val="18"/>
                <w:szCs w:val="18"/>
              </w:rPr>
              <w:t>f</w:t>
            </w:r>
            <w:r w:rsidRPr="00D4403B">
              <w:rPr>
                <w:rFonts w:eastAsia="Arial"/>
                <w:color w:val="231F20"/>
                <w:spacing w:val="-1"/>
                <w:sz w:val="18"/>
                <w:szCs w:val="18"/>
              </w:rPr>
              <w:t>o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r</w:t>
            </w:r>
            <w:r w:rsidRPr="00D4403B">
              <w:rPr>
                <w:rFonts w:eastAsia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TB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(including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diabetes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mellitu</w:t>
            </w:r>
            <w:r w:rsidRPr="00D4403B">
              <w:rPr>
                <w:rFonts w:eastAsia="Arial"/>
                <w:color w:val="231F20"/>
                <w:spacing w:val="-2"/>
                <w:sz w:val="18"/>
                <w:szCs w:val="18"/>
              </w:rPr>
              <w:t>s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,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conditions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requi</w:t>
            </w:r>
            <w:r w:rsidRPr="00D4403B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ing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prolonged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co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>r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ticosteroid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and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other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immunosuppressi</w:t>
            </w:r>
            <w:r w:rsidRPr="00D4403B">
              <w:rPr>
                <w:rFonts w:eastAsia="Arial"/>
                <w:color w:val="231F20"/>
                <w:spacing w:val="-4"/>
                <w:sz w:val="18"/>
                <w:szCs w:val="18"/>
              </w:rPr>
              <w:t>v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e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thera</w:t>
            </w:r>
            <w:r w:rsidRPr="00D4403B">
              <w:rPr>
                <w:rFonts w:eastAsia="Arial"/>
                <w:color w:val="231F20"/>
                <w:spacing w:val="-4"/>
                <w:sz w:val="18"/>
                <w:szCs w:val="18"/>
              </w:rPr>
              <w:t>p</w:t>
            </w:r>
            <w:r w:rsidRPr="00D4403B">
              <w:rPr>
                <w:rFonts w:eastAsia="Arial"/>
                <w:color w:val="231F20"/>
                <w:spacing w:val="-16"/>
                <w:sz w:val="18"/>
                <w:szCs w:val="18"/>
              </w:rPr>
              <w:t>y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,</w:t>
            </w:r>
            <w:r w:rsidRPr="00D4403B">
              <w:rPr>
                <w:rFonts w:eastAsia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chronic renal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-5"/>
                <w:sz w:val="18"/>
                <w:szCs w:val="18"/>
              </w:rPr>
              <w:t>f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ailur</w:t>
            </w:r>
            <w:r w:rsidRPr="00D4403B">
              <w:rPr>
                <w:rFonts w:eastAsia="Arial"/>
                <w:color w:val="231F20"/>
                <w:spacing w:val="-2"/>
                <w:sz w:val="18"/>
                <w:szCs w:val="18"/>
              </w:rPr>
              <w:t>e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,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ce</w:t>
            </w:r>
            <w:r w:rsidRPr="00D4403B">
              <w:rPr>
                <w:rFonts w:eastAsia="Arial"/>
                <w:color w:val="231F20"/>
                <w:spacing w:val="6"/>
                <w:sz w:val="18"/>
                <w:szCs w:val="18"/>
              </w:rPr>
              <w:t>r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tain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hematological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malignancies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and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carcinoma</w:t>
            </w:r>
            <w:r w:rsidRPr="00D4403B">
              <w:rPr>
                <w:rFonts w:eastAsia="Arial"/>
                <w:color w:val="231F20"/>
                <w:spacing w:val="-2"/>
                <w:sz w:val="18"/>
                <w:szCs w:val="18"/>
              </w:rPr>
              <w:t>s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,</w:t>
            </w:r>
            <w:r w:rsidRPr="00D4403B">
              <w:rPr>
                <w:rFonts w:eastAsia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-1"/>
                <w:sz w:val="18"/>
                <w:szCs w:val="18"/>
              </w:rPr>
              <w:t>w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eight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&gt;10%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bel</w:t>
            </w:r>
            <w:r w:rsidRPr="00D4403B">
              <w:rPr>
                <w:rFonts w:eastAsia="Arial"/>
                <w:color w:val="231F20"/>
                <w:spacing w:val="-2"/>
                <w:sz w:val="18"/>
                <w:szCs w:val="18"/>
              </w:rPr>
              <w:t>o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w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ideal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body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-2"/>
                <w:sz w:val="18"/>
                <w:szCs w:val="18"/>
              </w:rPr>
              <w:t>w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eight,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silicosi</w:t>
            </w:r>
            <w:r w:rsidRPr="00D4403B">
              <w:rPr>
                <w:rFonts w:eastAsia="Arial"/>
                <w:color w:val="231F20"/>
                <w:spacing w:val="-2"/>
                <w:sz w:val="18"/>
                <w:szCs w:val="18"/>
              </w:rPr>
              <w:t>s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,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gastrecto</w:t>
            </w:r>
            <w:r w:rsidRPr="00D4403B">
              <w:rPr>
                <w:rFonts w:eastAsia="Arial"/>
                <w:color w:val="231F20"/>
                <w:spacing w:val="-1"/>
                <w:sz w:val="18"/>
                <w:szCs w:val="18"/>
              </w:rPr>
              <w:t>m</w:t>
            </w:r>
            <w:r w:rsidRPr="00D4403B">
              <w:rPr>
                <w:rFonts w:eastAsia="Arial"/>
                <w:color w:val="231F20"/>
                <w:spacing w:val="-16"/>
                <w:sz w:val="18"/>
                <w:szCs w:val="18"/>
              </w:rPr>
              <w:t>y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,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or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jejunoileal</w:t>
            </w:r>
            <w:r w:rsidRPr="00D4403B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4403B">
              <w:rPr>
                <w:rFonts w:eastAsia="Arial"/>
                <w:color w:val="231F20"/>
                <w:spacing w:val="-2"/>
                <w:sz w:val="18"/>
                <w:szCs w:val="18"/>
              </w:rPr>
              <w:t>b</w:t>
            </w:r>
            <w:r w:rsidRPr="00D4403B">
              <w:rPr>
                <w:rFonts w:eastAsia="Arial"/>
                <w:color w:val="231F20"/>
                <w:sz w:val="18"/>
                <w:szCs w:val="18"/>
              </w:rPr>
              <w:t>ypass).</w:t>
            </w:r>
          </w:p>
        </w:tc>
      </w:tr>
    </w:tbl>
    <w:p w:rsidR="001D2034" w:rsidRPr="007F72AC" w:rsidRDefault="001D2034" w:rsidP="001D2034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  <w:r w:rsidRPr="007F72AC">
        <w:rPr>
          <w:rFonts w:ascii="Verdana" w:eastAsia="Times New Roman" w:hAnsi="Verdana"/>
          <w:sz w:val="18"/>
          <w:szCs w:val="18"/>
        </w:rPr>
        <w:t>Source:</w:t>
      </w:r>
    </w:p>
    <w:p w:rsidR="001D2034" w:rsidRPr="007F72AC" w:rsidRDefault="00CC4885" w:rsidP="001D20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eastAsia="Times New Roman" w:hAnsi="Verdana"/>
          <w:sz w:val="18"/>
          <w:szCs w:val="18"/>
        </w:rPr>
      </w:pPr>
      <w:hyperlink r:id="rId6" w:history="1">
        <w:r w:rsidR="001D2034" w:rsidRPr="007F72AC">
          <w:rPr>
            <w:rFonts w:ascii="Verdana" w:eastAsia="Times New Roman" w:hAnsi="Verdana"/>
            <w:color w:val="0A29A5"/>
            <w:sz w:val="18"/>
            <w:szCs w:val="18"/>
            <w:u w:val="single"/>
          </w:rPr>
          <w:t>Controlling Tuberculosis in the United States Recommendations from the American Thoracic Society, CDC, and the Infectious Diseases Society of America</w:t>
        </w:r>
      </w:hyperlink>
      <w:r w:rsidR="001D2034" w:rsidRPr="007F72AC">
        <w:rPr>
          <w:rFonts w:ascii="Verdana" w:eastAsia="Times New Roman" w:hAnsi="Verdana"/>
          <w:sz w:val="18"/>
          <w:szCs w:val="18"/>
        </w:rPr>
        <w:t xml:space="preserve">, </w:t>
      </w:r>
      <w:r w:rsidR="001D2034" w:rsidRPr="007F72AC">
        <w:rPr>
          <w:rFonts w:ascii="Verdana" w:eastAsia="Times New Roman" w:hAnsi="Verdana"/>
          <w:i/>
          <w:iCs/>
          <w:sz w:val="18"/>
          <w:szCs w:val="18"/>
        </w:rPr>
        <w:t>MMWR</w:t>
      </w:r>
      <w:r w:rsidR="001D2034" w:rsidRPr="007F72AC">
        <w:rPr>
          <w:rFonts w:ascii="Verdana" w:eastAsia="Times New Roman" w:hAnsi="Verdana"/>
          <w:sz w:val="18"/>
          <w:szCs w:val="18"/>
        </w:rPr>
        <w:t xml:space="preserve"> 2005; 54 (No. RR-12)</w:t>
      </w:r>
      <w:r w:rsidR="001D2034">
        <w:rPr>
          <w:rFonts w:ascii="Verdana" w:eastAsia="Times New Roman" w:hAnsi="Verdana"/>
          <w:sz w:val="18"/>
          <w:szCs w:val="18"/>
        </w:rPr>
        <w:t>.</w:t>
      </w:r>
    </w:p>
    <w:p w:rsidR="001D2034" w:rsidRDefault="00CC4885" w:rsidP="001D203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Verdana" w:eastAsia="Times New Roman" w:hAnsi="Verdana"/>
          <w:sz w:val="18"/>
          <w:szCs w:val="18"/>
        </w:rPr>
      </w:pPr>
      <w:hyperlink r:id="rId7" w:history="1">
        <w:r w:rsidR="001D2034" w:rsidRPr="007F72AC">
          <w:rPr>
            <w:rFonts w:ascii="Verdana" w:eastAsia="Times New Roman" w:hAnsi="Verdana"/>
            <w:color w:val="0A29A5"/>
            <w:sz w:val="18"/>
            <w:szCs w:val="18"/>
            <w:u w:val="single"/>
          </w:rPr>
          <w:t>Updated Guidelines for the Use of Nucleic Acid Amplification Tests in the Diagnosis of Tuberculosis</w:t>
        </w:r>
      </w:hyperlink>
      <w:r w:rsidR="001D2034" w:rsidRPr="007F72AC">
        <w:rPr>
          <w:rFonts w:ascii="Verdana" w:eastAsia="Times New Roman" w:hAnsi="Verdana"/>
          <w:sz w:val="18"/>
          <w:szCs w:val="18"/>
        </w:rPr>
        <w:t xml:space="preserve">, </w:t>
      </w:r>
      <w:r w:rsidR="001D2034" w:rsidRPr="007F72AC">
        <w:rPr>
          <w:rFonts w:ascii="Verdana" w:eastAsia="Times New Roman" w:hAnsi="Verdana"/>
          <w:i/>
          <w:iCs/>
          <w:sz w:val="18"/>
          <w:szCs w:val="18"/>
        </w:rPr>
        <w:t>MMWR</w:t>
      </w:r>
      <w:r w:rsidR="001D2034" w:rsidRPr="007F72AC">
        <w:rPr>
          <w:rFonts w:ascii="Verdana" w:eastAsia="Times New Roman" w:hAnsi="Verdana"/>
          <w:sz w:val="18"/>
          <w:szCs w:val="18"/>
        </w:rPr>
        <w:t xml:space="preserve"> 2009; 58 (01); 7-10</w:t>
      </w:r>
      <w:r w:rsidR="001D2034">
        <w:rPr>
          <w:rFonts w:ascii="Verdana" w:eastAsia="Times New Roman" w:hAnsi="Verdana"/>
          <w:sz w:val="18"/>
          <w:szCs w:val="18"/>
        </w:rPr>
        <w:t>.</w:t>
      </w:r>
    </w:p>
    <w:p w:rsidR="001D2034" w:rsidRPr="00D4403B" w:rsidRDefault="001D2034" w:rsidP="001D203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szCs w:val="24"/>
        </w:rPr>
      </w:pPr>
      <w:r w:rsidRPr="00655751">
        <w:rPr>
          <w:rFonts w:ascii="Verdana" w:eastAsia="Times New Roman" w:hAnsi="Verdana"/>
          <w:sz w:val="18"/>
          <w:szCs w:val="18"/>
        </w:rPr>
        <w:t xml:space="preserve">CDPH/CTCA. </w:t>
      </w:r>
      <w:hyperlink r:id="rId8" w:history="1">
        <w:r w:rsidRPr="00D4403B">
          <w:rPr>
            <w:rStyle w:val="Hyperlink"/>
            <w:rFonts w:ascii="Verdana" w:eastAsia="Times New Roman" w:hAnsi="Verdana"/>
            <w:sz w:val="18"/>
            <w:szCs w:val="18"/>
          </w:rPr>
          <w:t>Guidelines for the Assessment of Tuberculosis Patient Infectiousness and Placement into High and Lower Risk Settings</w:t>
        </w:r>
      </w:hyperlink>
      <w:r w:rsidRPr="00655751">
        <w:rPr>
          <w:rFonts w:ascii="Verdana" w:eastAsia="Times New Roman" w:hAnsi="Verdana"/>
          <w:sz w:val="18"/>
          <w:szCs w:val="18"/>
        </w:rPr>
        <w:t>, 2009.</w:t>
      </w:r>
    </w:p>
    <w:p w:rsidR="0094349F" w:rsidRDefault="00CC4885"/>
    <w:sectPr w:rsidR="0094349F" w:rsidSect="001D20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0F99"/>
    <w:multiLevelType w:val="multilevel"/>
    <w:tmpl w:val="2D52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D2118"/>
    <w:multiLevelType w:val="hybridMultilevel"/>
    <w:tmpl w:val="8FE4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51666"/>
    <w:multiLevelType w:val="multilevel"/>
    <w:tmpl w:val="E46C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2F67F4"/>
    <w:multiLevelType w:val="hybridMultilevel"/>
    <w:tmpl w:val="BB48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211A7"/>
    <w:multiLevelType w:val="hybridMultilevel"/>
    <w:tmpl w:val="2F20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34"/>
    <w:rsid w:val="001D2034"/>
    <w:rsid w:val="004034AB"/>
    <w:rsid w:val="00994950"/>
    <w:rsid w:val="00AE467A"/>
    <w:rsid w:val="00B85B33"/>
    <w:rsid w:val="00CC4885"/>
    <w:rsid w:val="00DF0841"/>
    <w:rsid w:val="00F66C99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37A03-01A2-4B9B-9DA0-68FE9AD4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2034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20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a.org/fileLibrary/file_5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mmwr/preview/mmwrhtml/mm5801a3.htm?s_cid=mm5801a3_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mmwr/preview/mmwrhtml/rr5412a1.htm" TargetMode="External"/><Relationship Id="rId5" Type="http://schemas.openxmlformats.org/officeDocument/2006/relationships/hyperlink" Target="http://www.currytbcenter.ucsf.edu/tbradiolog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Elson</dc:creator>
  <cp:lastModifiedBy>Jennifer</cp:lastModifiedBy>
  <cp:revision>2</cp:revision>
  <dcterms:created xsi:type="dcterms:W3CDTF">2017-03-10T18:05:00Z</dcterms:created>
  <dcterms:modified xsi:type="dcterms:W3CDTF">2017-03-10T18:05:00Z</dcterms:modified>
</cp:coreProperties>
</file>